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sz w:val="72"/>
          <w:szCs w:val="72"/>
        </w:rPr>
      </w:pPr>
      <w:bookmarkStart w:id="0" w:name="_Toc15377193"/>
      <w:bookmarkStart w:id="1" w:name="_Toc15377425"/>
      <w:bookmarkStart w:id="2" w:name="_Toc15396597"/>
      <w:bookmarkStart w:id="3" w:name="_Toc15378441"/>
      <w:bookmarkStart w:id="4" w:name="_Toc15396475"/>
      <w:bookmarkStart w:id="5" w:name="_Toc15306267"/>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r>
        <w:rPr>
          <w:rFonts w:ascii="方正小标宋简体" w:eastAsia="方正小标宋简体" w:cs="方正小标宋简体" w:hAnsi="方正小标宋简体" w:hint="eastAsia"/>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6" w:name="_Toc15377426"/>
      <w:bookmarkStart w:id="7" w:name="_Toc15377194"/>
      <w:bookmarkStart w:id="8" w:name="_Toc15378442"/>
      <w:bookmarkStart w:id="9" w:name="_Toc15396476"/>
      <w:bookmarkStart w:id="10" w:name="_Toc15396598"/>
      <w:r>
        <w:rPr>
          <w:rFonts w:ascii="方正小标宋简体" w:eastAsia="方正小标宋简体" w:cs="方正小标宋简体" w:hAnsi="方正小标宋简体" w:hint="eastAsia"/>
          <w:sz w:val="72"/>
          <w:szCs w:val="72"/>
        </w:rPr>
        <w:t>四川省</w:t>
      </w:r>
      <w:bookmarkStart w:id="11" w:name="_Toc15306268"/>
      <w:bookmarkEnd w:id="5"/>
      <w:r>
        <w:rPr>
          <w:rFonts w:ascii="方正小标宋简体" w:eastAsia="方正小标宋简体" w:cs="方正小标宋简体" w:hAnsi="方正小标宋简体" w:hint="eastAsia"/>
          <w:sz w:val="72"/>
          <w:szCs w:val="72"/>
        </w:rPr>
        <w:t>广元市区应急部门决算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eastAsia="方正小标宋简体" w:hAnsi="宋体"/>
          <w:sz w:val="52"/>
          <w:szCs w:val="52"/>
        </w:rPr>
      </w:pPr>
      <w:r>
        <w:rPr>
          <w:rFonts w:ascii="方正小标宋简体" w:eastAsia="方正小标宋简体" w:hAnsi="宋体" w:hint="eastAsia"/>
          <w:sz w:val="52"/>
          <w:szCs w:val="52"/>
        </w:rPr>
        <w:t>(部门公开)</w:t>
      </w:r>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目录</w:t>
      </w:r>
    </w:p>
    <w:p>
      <w:pPr>
        <w:widowControl/>
        <w:jc w:val="center"/>
        <w:rPr>
          <w:rFonts w:ascii="黑体" w:eastAsia="黑体" w:cs="Arial" w:hAnsi="黑体"/>
          <w:sz w:val="28"/>
          <w:szCs w:val="28"/>
        </w:rPr>
      </w:pPr>
    </w:p>
    <w:p>
      <w:pPr>
        <w:pStyle w:val="22"/>
        <w:tabs>
          <w:tab w:val="right" w:leader="dot" w:pos="8296"/>
        </w:tabs>
        <w:rPr>
          <w:color w:val="FF0000"/>
        </w:rPr>
      </w:pPr>
      <w:r>
        <w:rPr>
          <w:rFonts w:hint="eastAsia"/>
          <w:color w:val="FF0000"/>
        </w:rPr>
        <w:t>公开时间：2023年9月26日</w:t>
      </w:r>
    </w:p>
    <w:p/>
    <w:p>
      <w:pPr>
        <w:pStyle w:val="22"/>
        <w:tabs>
          <w:tab w:val="right" w:leader="dot" w:pos="8296"/>
        </w:tabs>
        <w:adjustRightInd w:val="0"/>
        <w:snapToGrid w:val="0"/>
        <w:spacing w:before="0" w:line="440" w:lineRule="exact"/>
        <w:jc w:val="left"/>
        <w:rPr>
          <w:rFonts w:cs="Arial"/>
          <w:sz w:val="24"/>
          <w:szCs w:val="24"/>
        </w:rPr>
      </w:pPr>
      <w:r>
        <w:rPr>
          <w:rFonts w:hint="eastAsia"/>
          <w:sz w:val="24"/>
        </w:rPr>
        <w:t>第一部分部门概况</w:t>
      </w:r>
      <w:r>
        <w:rPr>
          <w:sz w:val="24"/>
        </w:rPr>
        <w:t>………………………………………………………………</w:t>
      </w:r>
      <w:r>
        <w:rPr>
          <w:rFonts w:hint="eastAsia"/>
          <w:sz w:val="24"/>
        </w:rPr>
        <w:t>.</w:t>
      </w:r>
      <w:r>
        <w:rPr>
          <w:sz w:val="24"/>
        </w:rPr>
        <w:t>…</w:t>
      </w:r>
      <w:r>
        <w:rPr>
          <w:rFonts w:hint="eastAsia"/>
          <w:sz w:val="24"/>
        </w:rPr>
        <w:t>..1</w:t>
      </w:r>
    </w:p>
    <w:p>
      <w:pPr>
        <w:pStyle w:val="24"/>
        <w:tabs>
          <w:tab w:val="right" w:leader="dot" w:pos="8296"/>
        </w:tabs>
        <w:adjustRightInd w:val="0"/>
        <w:snapToGrid w:val="0"/>
        <w:spacing w:line="440" w:lineRule="exact"/>
        <w:jc w:val="left"/>
        <w:rPr>
          <w:rFonts w:ascii="仿宋" w:eastAsia="仿宋" w:hAnsi="仿宋"/>
          <w:sz w:val="24"/>
        </w:rPr>
      </w:pPr>
      <w:r>
        <w:rPr>
          <w:rFonts w:hint="eastAsia"/>
          <w:sz w:val="24"/>
        </w:rPr>
        <w:t>一、部门职责</w:t>
      </w:r>
      <w:r>
        <w:rPr>
          <w:sz w:val="24"/>
        </w:rPr>
        <w:t>…………………………………………………………………</w:t>
      </w:r>
      <w:r>
        <w:rPr>
          <w:rFonts w:hint="eastAsia"/>
          <w:sz w:val="24"/>
        </w:rPr>
        <w:t>.</w:t>
      </w:r>
      <w:r>
        <w:rPr>
          <w:sz w:val="24"/>
        </w:rPr>
        <w:t>…</w:t>
      </w:r>
      <w:r>
        <w:rPr>
          <w:rFonts w:hint="eastAsia"/>
          <w:sz w:val="24"/>
        </w:rPr>
        <w:t>1</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二、机构设置</w:t>
      </w:r>
      <w:r>
        <w:rPr>
          <w:sz w:val="24"/>
        </w:rPr>
        <w:t>…………………………………………………………………</w:t>
      </w:r>
      <w:r>
        <w:rPr>
          <w:rFonts w:hint="eastAsia"/>
          <w:sz w:val="24"/>
        </w:rPr>
        <w:t>.....4</w:t>
      </w:r>
    </w:p>
    <w:p>
      <w:pPr>
        <w:pStyle w:val="22"/>
        <w:tabs>
          <w:tab w:val="right" w:leader="dot" w:pos="8296"/>
        </w:tabs>
        <w:adjustRightInd w:val="0"/>
        <w:snapToGrid w:val="0"/>
        <w:spacing w:before="0" w:line="440" w:lineRule="exact"/>
        <w:jc w:val="left"/>
        <w:rPr>
          <w:sz w:val="24"/>
          <w:szCs w:val="24"/>
        </w:rPr>
      </w:pPr>
      <w:r>
        <w:rPr>
          <w:rFonts w:hint="eastAsia"/>
          <w:sz w:val="24"/>
        </w:rPr>
        <w:t>第二部分 2022年度部门决算情况说明</w:t>
      </w:r>
      <w:r>
        <w:rPr>
          <w:sz w:val="24"/>
        </w:rPr>
        <w:t>……………………………………………</w:t>
      </w:r>
      <w:r>
        <w:rPr>
          <w:rFonts w:hint="eastAsia"/>
          <w:sz w:val="24"/>
        </w:rPr>
        <w:t>4</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一、收入支出决算总体情况说明</w:t>
      </w:r>
      <w:r>
        <w:rPr>
          <w:sz w:val="24"/>
        </w:rPr>
        <w:t>…………………………………………</w:t>
      </w:r>
      <w:r>
        <w:rPr>
          <w:rFonts w:hint="eastAsia"/>
          <w:sz w:val="24"/>
        </w:rPr>
        <w:t>.</w:t>
      </w:r>
      <w:r>
        <w:rPr>
          <w:sz w:val="24"/>
        </w:rPr>
        <w:t>……</w:t>
      </w:r>
      <w:r>
        <w:rPr>
          <w:rFonts w:hint="eastAsia"/>
          <w:sz w:val="24"/>
        </w:rPr>
        <w:t>4</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二、收入决算情况说明</w:t>
      </w:r>
      <w:r>
        <w:rPr>
          <w:sz w:val="24"/>
        </w:rPr>
        <w:t>……………………………………………………</w:t>
      </w:r>
      <w:r>
        <w:rPr>
          <w:rFonts w:hint="eastAsia"/>
          <w:sz w:val="24"/>
        </w:rPr>
        <w:t>.</w:t>
      </w:r>
      <w:r>
        <w:rPr>
          <w:sz w:val="24"/>
        </w:rPr>
        <w:t>…</w:t>
      </w:r>
      <w:r>
        <w:rPr>
          <w:rFonts w:hint="eastAsia"/>
          <w:sz w:val="24"/>
        </w:rPr>
        <w:t>...5</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三、支出决算情况说明</w:t>
      </w:r>
      <w:r>
        <w:rPr>
          <w:sz w:val="24"/>
        </w:rPr>
        <w:t>……………………………………………………</w:t>
      </w:r>
      <w:r>
        <w:rPr>
          <w:rFonts w:hint="eastAsia"/>
          <w:sz w:val="24"/>
        </w:rPr>
        <w:t>.</w:t>
      </w:r>
      <w:r>
        <w:rPr>
          <w:sz w:val="24"/>
        </w:rPr>
        <w:t>…</w:t>
      </w:r>
      <w:r>
        <w:rPr>
          <w:rFonts w:hint="eastAsia"/>
          <w:sz w:val="24"/>
        </w:rPr>
        <w:t>...6</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四、财政拨款收入支出决算总体情况说明</w:t>
      </w:r>
      <w:r>
        <w:rPr>
          <w:sz w:val="24"/>
        </w:rPr>
        <w:t>………………………………</w:t>
      </w:r>
      <w:r>
        <w:rPr>
          <w:rFonts w:hint="eastAsia"/>
          <w:sz w:val="24"/>
        </w:rPr>
        <w:t>.</w:t>
      </w:r>
      <w:r>
        <w:rPr>
          <w:sz w:val="24"/>
        </w:rPr>
        <w:t>……</w:t>
      </w:r>
      <w:r>
        <w:rPr>
          <w:rFonts w:hint="eastAsia"/>
          <w:sz w:val="24"/>
        </w:rPr>
        <w:t>6</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五、一般公共预算财政拨款支出决算情况说明</w:t>
      </w:r>
      <w:r>
        <w:rPr>
          <w:sz w:val="24"/>
        </w:rPr>
        <w:t>…………………………</w:t>
      </w:r>
      <w:r>
        <w:rPr>
          <w:rFonts w:hint="eastAsia"/>
          <w:sz w:val="24"/>
        </w:rPr>
        <w:t>.</w:t>
      </w:r>
      <w:r>
        <w:rPr>
          <w:sz w:val="24"/>
        </w:rPr>
        <w:t>……</w:t>
      </w:r>
      <w:r>
        <w:rPr>
          <w:rFonts w:hint="eastAsia"/>
          <w:sz w:val="24"/>
        </w:rPr>
        <w:t>7</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六、一般公共预算财政拨款基本支出决算情况说明</w:t>
      </w:r>
      <w:r>
        <w:rPr>
          <w:sz w:val="24"/>
        </w:rPr>
        <w:t>…………………………</w:t>
      </w:r>
      <w:r>
        <w:rPr>
          <w:rFonts w:hint="eastAsia"/>
          <w:sz w:val="24"/>
        </w:rPr>
        <w:t>10</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七、财政拨款“三公”经费支出决算情况说明</w:t>
      </w:r>
      <w:r>
        <w:rPr>
          <w:sz w:val="24"/>
        </w:rPr>
        <w:t>………………………………</w:t>
      </w:r>
      <w:r>
        <w:rPr>
          <w:rFonts w:hint="eastAsia"/>
          <w:sz w:val="24"/>
        </w:rPr>
        <w:t>10</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八、政府性基金预算支出决算情况说明</w:t>
      </w:r>
      <w:r>
        <w:rPr>
          <w:sz w:val="24"/>
        </w:rPr>
        <w:t>………………………………………</w:t>
      </w:r>
      <w:r>
        <w:rPr>
          <w:rFonts w:hint="eastAsia"/>
          <w:sz w:val="24"/>
        </w:rPr>
        <w:t>12</w:t>
      </w:r>
    </w:p>
    <w:p>
      <w:pPr>
        <w:pStyle w:val="24"/>
        <w:tabs>
          <w:tab w:val="right" w:leader="dot" w:pos="8296"/>
        </w:tabs>
        <w:adjustRightInd w:val="0"/>
        <w:snapToGrid w:val="0"/>
        <w:spacing w:line="440" w:lineRule="exact"/>
        <w:ind w:leftChars="0" w:left="420"/>
        <w:jc w:val="left"/>
        <w:rPr>
          <w:rFonts w:ascii="宋体" w:eastAsia="宋体" w:cs="宋体"/>
          <w:sz w:val="24"/>
        </w:rPr>
      </w:pPr>
      <w:r>
        <w:rPr>
          <w:rFonts w:ascii="宋体" w:eastAsia="宋体" w:cs="宋体" w:hint="eastAsia"/>
          <w:sz w:val="24"/>
        </w:rPr>
        <w:t>九、国有资本经营预算支出决算情况说明</w:t>
      </w:r>
      <w:r>
        <w:rPr>
          <w:rFonts w:ascii="宋体" w:eastAsia="宋体" w:cs="宋体"/>
          <w:sz w:val="24"/>
        </w:rPr>
        <w:t>……………………………………</w:t>
      </w:r>
      <w:r>
        <w:rPr>
          <w:rFonts w:ascii="宋体" w:eastAsia="宋体" w:cs="宋体" w:hint="eastAsia"/>
          <w:sz w:val="24"/>
        </w:rPr>
        <w:t>12</w:t>
      </w:r>
    </w:p>
    <w:p>
      <w:pPr>
        <w:adjustRightInd w:val="0"/>
        <w:snapToGrid w:val="0"/>
        <w:spacing w:line="440" w:lineRule="exact"/>
        <w:ind w:firstLineChars="175" w:firstLine="420"/>
        <w:jc w:val="left"/>
        <w:rPr>
          <w:rFonts w:ascii="宋体" w:eastAsia="宋体" w:cs="宋体"/>
          <w:sz w:val="24"/>
        </w:rPr>
      </w:pPr>
      <w:r>
        <w:rPr>
          <w:rStyle w:val="29"/>
          <w:rFonts w:ascii="宋体" w:eastAsia="宋体" w:cs="宋体" w:hint="eastAsia"/>
          <w:color w:val="auto"/>
          <w:sz w:val="24"/>
          <w:u w:val="none"/>
        </w:rPr>
        <w:t>十、</w:t>
      </w:r>
      <w:r>
        <w:rPr>
          <w:rFonts w:ascii="宋体" w:eastAsia="宋体" w:cs="宋体" w:hint="eastAsia"/>
          <w:sz w:val="24"/>
        </w:rPr>
        <w:t>其他重要事项的情况说明</w:t>
      </w:r>
      <w:r>
        <w:rPr>
          <w:rFonts w:ascii="宋体" w:eastAsia="宋体" w:cs="宋体"/>
          <w:sz w:val="24"/>
        </w:rPr>
        <w:t>…………………………………………………</w:t>
      </w:r>
      <w:r>
        <w:rPr>
          <w:rFonts w:ascii="宋体" w:eastAsia="宋体" w:cs="宋体" w:hint="eastAsia"/>
          <w:sz w:val="24"/>
        </w:rPr>
        <w:t>12</w:t>
      </w:r>
    </w:p>
    <w:p>
      <w:pPr>
        <w:pStyle w:val="22"/>
        <w:tabs>
          <w:tab w:val="right" w:leader="dot" w:pos="8296"/>
        </w:tabs>
        <w:adjustRightInd w:val="0"/>
        <w:snapToGrid w:val="0"/>
        <w:spacing w:before="0" w:line="440" w:lineRule="exact"/>
        <w:jc w:val="left"/>
        <w:rPr>
          <w:rFonts w:cs="Arial"/>
          <w:sz w:val="24"/>
          <w:szCs w:val="24"/>
        </w:rPr>
      </w:pPr>
      <w:r>
        <w:rPr>
          <w:rFonts w:hint="eastAsia"/>
          <w:sz w:val="24"/>
        </w:rPr>
        <w:t>第三部分名词解释</w:t>
      </w:r>
      <w:r>
        <w:rPr>
          <w:sz w:val="24"/>
        </w:rPr>
        <w:t>…………………………………………………………………</w:t>
      </w:r>
      <w:r>
        <w:rPr>
          <w:rFonts w:hint="eastAsia"/>
          <w:sz w:val="24"/>
        </w:rPr>
        <w:t>15.</w:t>
      </w:r>
    </w:p>
    <w:p>
      <w:pPr>
        <w:pStyle w:val="22"/>
        <w:tabs>
          <w:tab w:val="right" w:leader="dot" w:pos="8296"/>
        </w:tabs>
        <w:adjustRightInd w:val="0"/>
        <w:snapToGrid w:val="0"/>
        <w:spacing w:before="0" w:line="440" w:lineRule="exact"/>
        <w:jc w:val="left"/>
        <w:rPr>
          <w:rFonts w:cs="Arial"/>
          <w:sz w:val="24"/>
          <w:szCs w:val="24"/>
        </w:rPr>
      </w:pPr>
      <w:r>
        <w:rPr>
          <w:rFonts w:hint="eastAsia"/>
          <w:sz w:val="24"/>
        </w:rPr>
        <w:t>第四部分附件</w:t>
      </w:r>
      <w:r>
        <w:rPr>
          <w:sz w:val="24"/>
        </w:rPr>
        <w:t>………………………………………………………………………</w:t>
      </w:r>
      <w:r>
        <w:rPr>
          <w:rFonts w:hint="eastAsia"/>
          <w:sz w:val="24"/>
        </w:rPr>
        <w:t>.18</w:t>
      </w:r>
    </w:p>
    <w:p>
      <w:pPr>
        <w:pStyle w:val="22"/>
        <w:tabs>
          <w:tab w:val="right" w:leader="dot" w:pos="8296"/>
        </w:tabs>
        <w:adjustRightInd w:val="0"/>
        <w:snapToGrid w:val="0"/>
        <w:spacing w:before="0" w:line="440" w:lineRule="exact"/>
        <w:jc w:val="left"/>
        <w:rPr>
          <w:rFonts w:cs="Arial"/>
          <w:sz w:val="24"/>
          <w:szCs w:val="24"/>
        </w:rPr>
      </w:pPr>
      <w:r>
        <w:rPr>
          <w:rFonts w:hint="eastAsia"/>
          <w:sz w:val="24"/>
        </w:rPr>
        <w:t>第五部分附表</w:t>
      </w:r>
      <w:r>
        <w:rPr>
          <w:sz w:val="24"/>
        </w:rPr>
        <w:t>…………………………………………</w:t>
      </w:r>
      <w:r>
        <w:rPr>
          <w:rFonts w:hint="eastAsia"/>
          <w:sz w:val="24"/>
        </w:rPr>
        <w:t>..</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一、收入支出决算总表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二、收入决算表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三、支出决算表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四、财政拨款收入支出决算总表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五、财政拨款支出决算明细表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六、一般公共预算财政拨款支出决算表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七、一般公共预算财政拨款支出决算明细表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八、一般公共预算财政拨款基本支出决算明细表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九、一般公共预算财政拨款项目支出决算表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十、政府性基金预算财政拨款收入支出决算表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十一、国有资本经营预算财政拨款收入支出决算表</w:t>
      </w:r>
      <w:r>
        <w:rPr>
          <w:sz w:val="24"/>
        </w:rPr>
        <w:t>………………………</w:t>
      </w:r>
      <w:r>
        <w:rPr>
          <w:rFonts w:hint="eastAsia"/>
          <w:sz w:val="24"/>
        </w:rPr>
        <w:t>115</w:t>
      </w:r>
    </w:p>
    <w:p>
      <w:pPr>
        <w:pStyle w:val="24"/>
        <w:tabs>
          <w:tab w:val="right" w:leader="dot" w:pos="8296"/>
        </w:tabs>
        <w:adjustRightInd w:val="0"/>
        <w:snapToGrid w:val="0"/>
        <w:spacing w:line="440" w:lineRule="exact"/>
        <w:jc w:val="left"/>
        <w:rPr>
          <w:sz w:val="24"/>
        </w:rPr>
      </w:pPr>
      <w:r>
        <w:rPr>
          <w:rFonts w:hint="eastAsia"/>
          <w:sz w:val="24"/>
        </w:rPr>
        <w:t>十二、国有资本经营预算财政拨款支出决算表</w:t>
      </w:r>
      <w:r>
        <w:rPr>
          <w:sz w:val="24"/>
        </w:rPr>
        <w:t>……………………………</w:t>
      </w:r>
      <w:r>
        <w:rPr>
          <w:rFonts w:hint="eastAsia"/>
          <w:sz w:val="24"/>
        </w:rPr>
        <w:t>115</w:t>
      </w:r>
    </w:p>
    <w:p>
      <w:pPr>
        <w:pStyle w:val="24"/>
        <w:tabs>
          <w:tab w:val="right" w:leader="dot" w:pos="8296"/>
        </w:tabs>
        <w:adjustRightInd w:val="0"/>
        <w:snapToGrid w:val="0"/>
        <w:spacing w:line="440" w:lineRule="exact"/>
        <w:jc w:val="left"/>
        <w:rPr>
          <w:rFonts w:ascii="宋体" w:eastAsia="宋体" w:cs="宋体"/>
          <w:sz w:val="24"/>
        </w:rPr>
      </w:pPr>
      <w:r>
        <w:rPr>
          <w:rFonts w:hint="eastAsia"/>
          <w:sz w:val="24"/>
        </w:rPr>
        <w:t>十三、财政拨款“三公”经费支出决算表</w:t>
      </w:r>
      <w:r>
        <w:rPr>
          <w:sz w:val="24"/>
        </w:rPr>
        <w:t>…………………………………</w:t>
      </w:r>
      <w:r>
        <w:rPr>
          <w:rFonts w:hint="eastAsia"/>
          <w:sz w:val="24"/>
        </w:rPr>
        <w:t>115</w:t>
      </w:r>
    </w:p>
    <w:p>
      <w:pPr>
        <w:widowControl/>
        <w:adjustRightInd w:val="0"/>
        <w:snapToGrid w:val="0"/>
        <w:spacing w:line="440" w:lineRule="exact"/>
        <w:ind w:firstLineChars="550" w:firstLine="1320"/>
        <w:jc w:val="left"/>
        <w:rPr>
          <w:rFonts w:ascii="仿宋" w:eastAsia="仿宋" w:hAnsi="仿宋"/>
          <w:sz w:val="24"/>
        </w:rPr>
      </w:pPr>
      <w:r>
        <w:rPr>
          <w:rFonts w:ascii="仿宋" w:eastAsia="仿宋" w:hAnsi="仿宋"/>
          <w:sz w:val="24"/>
        </w:rPr>
        <w:t>(注：</w:t>
      </w:r>
      <w:r>
        <w:rPr>
          <w:rFonts w:ascii="仿宋" w:eastAsia="仿宋" w:hAnsi="仿宋" w:hint="eastAsia"/>
          <w:sz w:val="24"/>
        </w:rPr>
        <w:t>请部门根据实际注明页码</w:t>
      </w:r>
      <w:r>
        <w:rPr>
          <w:rFonts w:ascii="仿宋" w:eastAsia="仿宋" w:hAnsi="仿宋"/>
          <w:sz w:val="24"/>
        </w:rPr>
        <w:t>)</w:t>
      </w:r>
    </w:p>
    <w:p>
      <w:pPr>
        <w:pStyle w:val="1"/>
        <w:jc w:val="center"/>
        <w:rPr>
          <w:rFonts w:ascii="黑体" w:eastAsia="黑体" w:hAnsi="黑体"/>
          <w:b w:val="0"/>
        </w:rPr>
        <w:sectPr>
          <w:headerReference w:type="default" r:id="rId2"/>
          <w:footerReference w:type="default" r:id="rId3"/>
          <w:footerReference w:type="first" r:id="rId4"/>
          <w:pgSz w:w="11906" w:h="16838"/>
          <w:pgMar w:top="1440" w:right="1800" w:bottom="1440" w:left="1800" w:header="851" w:footer="992" w:gutter="0"/>
          <w:pgNumType w:start="1"/>
          <w:cols w:num="1" w:space="425"/>
          <w:titlePg/>
          <w:docGrid w:type="lines" w:linePitch="312" w:charSpace="0"/>
        </w:sectPr>
      </w:pPr>
      <w:bookmarkStart w:id="12" w:name="_Toc15396599"/>
      <w:bookmarkStart w:id="13" w:name="_Toc15377196"/>
    </w:p>
    <w:p>
      <w:pPr>
        <w:pStyle w:val="1"/>
        <w:jc w:val="center"/>
        <w:rPr>
          <w:rFonts w:ascii="黑体" w:eastAsia="黑体" w:hAnsi="黑体"/>
          <w:bCs w:val="0"/>
        </w:rPr>
      </w:pPr>
      <w:r>
        <w:rPr>
          <w:rFonts w:ascii="黑体" w:eastAsia="黑体" w:hAnsi="黑体" w:hint="eastAsia"/>
          <w:b w:val="0"/>
        </w:rPr>
        <w:t xml:space="preserve">第一部分 </w:t>
      </w:r>
      <w:r>
        <w:rPr>
          <w:rStyle w:val="1Char"/>
          <w:rFonts w:ascii="黑体" w:eastAsia="黑体" w:hAnsi="黑体" w:hint="eastAsia"/>
        </w:rPr>
        <w:t>部门概况</w:t>
      </w:r>
      <w:bookmarkEnd w:id="12"/>
      <w:bookmarkEnd w:id="13"/>
    </w:p>
    <w:p>
      <w:pPr>
        <w:pStyle w:val="2"/>
        <w:spacing w:before="0" w:after="0" w:line="576" w:lineRule="exact"/>
        <w:ind w:firstLineChars="200" w:firstLine="640"/>
        <w:rPr>
          <w:rFonts w:ascii="黑体" w:eastAsia="黑体" w:hAnsi="黑体"/>
          <w:b w:val="0"/>
        </w:rPr>
      </w:pPr>
      <w:r>
        <w:rPr>
          <w:rFonts w:ascii="黑体" w:eastAsia="黑体" w:hAnsi="黑体" w:hint="eastAsia"/>
          <w:b w:val="0"/>
        </w:rPr>
        <w:t>一、部门职责</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主要职能。（职能参照区政府批准的三定方案）</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1.负责应急管理工作，组织和指导各乡镇（街道）、区级各部门应对安全生产类、自然灾害类等突发事件和综合防灾减灾救灾工作。负责安全生产综合监督管理和工矿商贸、煤炭行业安全生产监督管理工作。</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2.拟订应急管理、安全生产等政策措施，组织编制应急救援体系建设、安全生产和综合防灾减灾规划。</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 xml:space="preserve">3.负责组织、指导应急预案体系建设，建立完善事故和自然灾害分级应对制度，牵头组织编制综合应急防灾减灾预案和安全生产类、自然灾害类专项预案，负责应急预案衔接工作，组织开展预案演练并落实，推动应急避难设施建设。      </w:t>
      </w:r>
    </w:p>
    <w:p>
      <w:pPr>
        <w:pStyle w:val="15"/>
        <w:adjustRightInd w:val="0"/>
        <w:snapToGrid w:val="0"/>
        <w:spacing w:beforeLines="0" w:before="30" w:line="576" w:lineRule="exact"/>
        <w:ind w:firstLineChars="150" w:firstLine="480"/>
        <w:outlineLvl w:val="2"/>
        <w:rPr>
          <w:rFonts w:ascii="仿宋" w:eastAsia="仿宋" w:hAnsi="仿宋"/>
          <w:bCs/>
          <w:color w:val="000000"/>
          <w:sz w:val="32"/>
          <w:szCs w:val="32"/>
        </w:rPr>
      </w:pPr>
      <w:r>
        <w:rPr>
          <w:rFonts w:ascii="仿宋" w:eastAsia="仿宋" w:hAnsi="仿宋" w:hint="eastAsia"/>
          <w:bCs/>
          <w:color w:val="000000"/>
          <w:sz w:val="32"/>
          <w:szCs w:val="32"/>
        </w:rPr>
        <w:t xml:space="preserve"> 4 .牵头建立统一的应急管理信息系统，负责信息传输渠道的规划和布局，建立监测预警和灾情报告制度，健全自然灾害信息资源获取和共享机制，依法统一发布灾情。</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5.负责组织、指导、协调安全生产类、自然灾害类等突发事件应急救援，承担全区应对灾害指挥部工作，综合研判突发事件发展态势并提出应对建议，负责组织灾害应急处置工作。</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6.统一协调指挥各类应急专业队伍，建立应急协调联动机制，推进指挥平台对接，提请衔接解放军和武警部队参与应急救援工作。</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7.按照国家、省、市相关政策和规定负责消防、森林火灾扑救、抗洪抢险、地震和地质灾害救援、生产安全事故救援等专业应急救援力量建设，依法依规统筹指导各乡镇（街道）、区级有关部门及社会应急救援力量和应急能力建设。</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8.按照国家相关政策和省、市、区相关规定负责消防工作，组织和指导消防监督、火灾预防、火灾扑救等工作。</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9.负责灾害综合监测预警工作，承担自然灾害综合风险评估工作。指导协调森林火灾、水旱灾害、地质灾害等防治工作。</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10.负责组织、协调灾害救助工作，组织和指导灾情核查、损失评估、救灾捐赠工作，管理、分配中央、省级、市级下拨及区级救灾款物并监督使用。</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11.依法承担区政府安全生产综合监督管理责任，指导协调、监督检查各乡镇（街道）和区级有关部门安全生产工作，组织开展安全生产巡查、考核工作。</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12.按照分级、属地管理原则，依法监督检查工矿商贸生产经营单位贯彻执行安全生产法律法规情况及其安全生产条件和有关设备（特种设备除外）、材料、劳动防护用品的安全生产管理工作。协助省、市应急管理部门做好辖区内央属、省属、市属重点工矿商贸企业安全生产监督管理工作。负责危险化学品安全监督管理综合工作和烟花爆竹安全生产监督管理工作。</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13.承担煤矿、非煤矿山安全生产准入初审，危险化学品和烟花爆竹等生产经营单位安全生产准入及非药品类易制毒化学品备案管理责任。</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14.拟订煤炭产业发展计划并组织实施，按权限审核、上报煤炭建设项目并负责监督管理。负责煤炭生产协调和监督管理，煤炭行业结构调整和产业升级，瓦斯治理和利用。推进煤炭体制改革。</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15.承担煤矿安全生产监督管理责任，依法监督检查煤矿企业贯彻执行安全生产法律法规情况及其安全生产条件和有关设备（特种设备除外）、材料、劳动防护用品的安全生产管理工作。负责组织、指导、监督煤矿企业安全专项整治、安全标准化、瓦斯和水害防治及相关安全科技发展工作。参与煤矿事故调查处理工作。</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16.承担防震减灾工作职责。负责地震监测设施和观测环境保护工作，负责全区工程建设场地地震安全性评价的监督管理工作，承担全区重大工程的抗震设防监督工作。接受上级地震机构的业务指导。</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17.依法组织、指导生产安全事故调查处理，监督事故查处和责任追究落实情况。组织开展自然灾害类突发事件的调查评估工作。</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18.开展应急管理和安全生产方面的交流与合作，参与安全生产类、自然灾害类等突发事件的跨区域救援工作 。</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19.制定应急物资和应急救援装备规划并组织实施，会同区发展改革局等部门建立健全应急物资信息平台和调拨制度，在救灾时统一调度。</w:t>
      </w:r>
    </w:p>
    <w:p>
      <w:pPr>
        <w:pStyle w:val="15"/>
        <w:adjustRightInd w:val="0"/>
        <w:snapToGrid w:val="0"/>
        <w:spacing w:beforeLines="0" w:before="30" w:line="576"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20.负责应急管理、安全生产等宣传教育和培训工作，组织和指导应急管理、安全生产的科学技术研究、推广应用和信息化建设工作。</w:t>
      </w:r>
    </w:p>
    <w:p>
      <w:pPr>
        <w:pStyle w:val="15"/>
        <w:adjustRightInd w:val="0"/>
        <w:snapToGrid w:val="0"/>
        <w:spacing w:beforeLines="0" w:before="30" w:line="576" w:lineRule="exact"/>
        <w:ind w:firstLineChars="250" w:firstLine="800"/>
        <w:outlineLvl w:val="2"/>
        <w:rPr>
          <w:rFonts w:ascii="仿宋" w:eastAsia="仿宋" w:hAnsi="仿宋"/>
          <w:bCs/>
          <w:color w:val="000000"/>
          <w:sz w:val="32"/>
          <w:szCs w:val="32"/>
        </w:rPr>
      </w:pPr>
      <w:r>
        <w:rPr>
          <w:rFonts w:ascii="仿宋" w:eastAsia="仿宋" w:hAnsi="仿宋" w:hint="eastAsia"/>
          <w:bCs/>
          <w:color w:val="000000"/>
          <w:sz w:val="32"/>
          <w:szCs w:val="32"/>
        </w:rPr>
        <w:t>21.负责职责范围内的职业健康、生态环境保护、审批服务便民化等工作。</w:t>
      </w:r>
    </w:p>
    <w:p>
      <w:pPr>
        <w:pStyle w:val="15"/>
        <w:adjustRightInd w:val="0"/>
        <w:snapToGrid w:val="0"/>
        <w:spacing w:beforeLines="0" w:before="30" w:line="576" w:lineRule="exact"/>
        <w:ind w:firstLineChars="250" w:firstLine="800"/>
        <w:outlineLvl w:val="2"/>
        <w:rPr>
          <w:rFonts w:ascii="仿宋" w:eastAsia="仿宋" w:hAnsi="仿宋"/>
          <w:bCs/>
          <w:color w:val="000000"/>
          <w:sz w:val="32"/>
          <w:szCs w:val="32"/>
        </w:rPr>
      </w:pPr>
      <w:r>
        <w:rPr>
          <w:rFonts w:ascii="仿宋" w:eastAsia="仿宋" w:hAnsi="仿宋" w:hint="eastAsia"/>
          <w:bCs/>
          <w:color w:val="000000"/>
          <w:sz w:val="32"/>
          <w:szCs w:val="32"/>
        </w:rPr>
        <w:t>22.完成区委、区政府交办的其他任务。</w:t>
      </w:r>
    </w:p>
    <w:p>
      <w:pPr>
        <w:pStyle w:val="2"/>
        <w:spacing w:before="0" w:after="0" w:line="576" w:lineRule="exact"/>
        <w:ind w:firstLineChars="200" w:firstLine="640"/>
        <w:rPr>
          <w:rStyle w:val="2Char"/>
          <w:rFonts w:ascii="黑体" w:eastAsia="黑体" w:hAnsi="黑体"/>
        </w:rPr>
      </w:pPr>
      <w:bookmarkStart w:id="14" w:name="_Toc15377200"/>
      <w:bookmarkStart w:id="15" w:name="_Toc15396601"/>
      <w:r>
        <w:rPr>
          <w:rFonts w:ascii="黑体" w:eastAsia="黑体" w:hAnsi="黑体" w:hint="eastAsia"/>
          <w:b w:val="0"/>
        </w:rPr>
        <w:t>二、机</w:t>
      </w:r>
      <w:r>
        <w:rPr>
          <w:rStyle w:val="2Char"/>
          <w:rFonts w:ascii="黑体" w:eastAsia="黑体" w:hAnsi="黑体" w:hint="eastAsia"/>
        </w:rPr>
        <w:t>构设置</w:t>
      </w:r>
      <w:bookmarkEnd w:id="14"/>
      <w:bookmarkEnd w:id="15"/>
    </w:p>
    <w:p>
      <w:pPr>
        <w:pStyle w:val="15"/>
        <w:adjustRightInd w:val="0"/>
        <w:snapToGrid w:val="0"/>
        <w:spacing w:beforeLines="0" w:before="30" w:line="576" w:lineRule="exact"/>
        <w:ind w:firstLineChars="200" w:firstLine="640"/>
        <w:outlineLvl w:val="2"/>
        <w:rPr>
          <w:rFonts w:ascii="仿宋" w:eastAsia="仿宋" w:hAnsi="仿宋"/>
          <w:color w:val="000000"/>
          <w:sz w:val="32"/>
          <w:szCs w:val="32"/>
        </w:rPr>
      </w:pPr>
      <w:r>
        <w:rPr>
          <w:rFonts w:ascii="仿宋" w:eastAsia="仿宋" w:hAnsi="仿宋"/>
          <w:color w:val="000000"/>
          <w:sz w:val="32"/>
          <w:szCs w:val="32"/>
        </w:rPr>
        <w:t>区应急管理</w:t>
      </w:r>
      <w:r>
        <w:rPr>
          <w:rFonts w:ascii="仿宋" w:eastAsia="仿宋" w:hAnsi="仿宋" w:hint="eastAsia"/>
          <w:color w:val="000000"/>
          <w:sz w:val="32"/>
          <w:szCs w:val="32"/>
        </w:rPr>
        <w:t>共有</w:t>
      </w:r>
      <w:r>
        <w:rPr>
          <w:rFonts w:ascii="仿宋" w:eastAsia="仿宋" w:hAnsi="仿宋"/>
          <w:color w:val="000000"/>
          <w:sz w:val="32"/>
          <w:szCs w:val="32"/>
        </w:rPr>
        <w:t>预算单位5个，其中行政单位1个</w:t>
      </w:r>
      <w:r>
        <w:rPr>
          <w:rFonts w:ascii="仿宋" w:eastAsia="仿宋" w:hAnsi="仿宋" w:hint="eastAsia"/>
          <w:color w:val="000000"/>
          <w:sz w:val="32"/>
          <w:szCs w:val="32"/>
        </w:rPr>
        <w:t>，</w:t>
      </w:r>
      <w:r>
        <w:rPr>
          <w:rFonts w:ascii="仿宋" w:eastAsia="仿宋" w:hAnsi="仿宋"/>
          <w:color w:val="000000"/>
          <w:sz w:val="32"/>
          <w:szCs w:val="32"/>
        </w:rPr>
        <w:t xml:space="preserve">其他事业单位4个。主要包括： </w:t>
      </w:r>
    </w:p>
    <w:p>
      <w:pPr>
        <w:pStyle w:val="15"/>
        <w:adjustRightInd w:val="0"/>
        <w:snapToGrid w:val="0"/>
        <w:spacing w:beforeLines="0" w:before="30" w:line="576" w:lineRule="exact"/>
        <w:outlineLvl w:val="2"/>
        <w:rPr>
          <w:rFonts w:ascii="仿宋" w:eastAsia="仿宋" w:hAnsi="仿宋"/>
          <w:color w:val="000000"/>
          <w:sz w:val="32"/>
          <w:szCs w:val="32"/>
        </w:rPr>
      </w:pPr>
      <w:r>
        <w:rPr>
          <w:rFonts w:ascii="仿宋" w:eastAsia="仿宋" w:hAnsi="仿宋" w:hint="eastAsia"/>
          <w:color w:val="000000"/>
          <w:sz w:val="32"/>
          <w:szCs w:val="32"/>
        </w:rPr>
        <w:t>纳入2022年度部门决算编制范围的二级预算单位包括：</w:t>
      </w:r>
    </w:p>
    <w:p>
      <w:pPr>
        <w:pStyle w:val="15"/>
        <w:adjustRightInd w:val="0"/>
        <w:snapToGrid w:val="0"/>
        <w:spacing w:beforeLines="0" w:before="30" w:line="576" w:lineRule="exact"/>
        <w:outlineLvl w:val="2"/>
        <w:rPr>
          <w:rFonts w:ascii="仿宋" w:eastAsia="仿宋" w:hAnsi="仿宋"/>
          <w:color w:val="000000"/>
          <w:sz w:val="32"/>
          <w:szCs w:val="32"/>
        </w:rPr>
      </w:pPr>
      <w:bookmarkStart w:id="16" w:name="_Toc15306275"/>
      <w:bookmarkStart w:id="17" w:name="_Toc15377432"/>
      <w:bookmarkStart w:id="18" w:name="_Toc15378448"/>
      <w:bookmarkStart w:id="19" w:name="_Toc15377201"/>
      <w:r>
        <w:rPr>
          <w:rFonts w:ascii="仿宋" w:eastAsia="仿宋" w:hAnsi="仿宋" w:hint="eastAsia"/>
          <w:color w:val="000000"/>
          <w:sz w:val="32"/>
          <w:szCs w:val="32"/>
        </w:rPr>
        <w:t>1.区减灾中心</w:t>
      </w:r>
    </w:p>
    <w:p>
      <w:pPr>
        <w:pStyle w:val="15"/>
        <w:adjustRightInd w:val="0"/>
        <w:snapToGrid w:val="0"/>
        <w:spacing w:beforeLines="0" w:before="30" w:line="576" w:lineRule="exact"/>
        <w:outlineLvl w:val="2"/>
        <w:rPr>
          <w:rFonts w:ascii="仿宋" w:eastAsia="仿宋" w:hAnsi="仿宋"/>
          <w:color w:val="000000"/>
          <w:sz w:val="32"/>
          <w:szCs w:val="32"/>
        </w:rPr>
      </w:pPr>
      <w:r>
        <w:rPr>
          <w:rFonts w:ascii="仿宋" w:eastAsia="仿宋" w:hAnsi="仿宋" w:hint="eastAsia"/>
          <w:color w:val="000000"/>
          <w:sz w:val="32"/>
          <w:szCs w:val="32"/>
        </w:rPr>
        <w:t>2.区安全生产应急救援中心</w:t>
      </w:r>
    </w:p>
    <w:p>
      <w:pPr>
        <w:pStyle w:val="15"/>
        <w:adjustRightInd w:val="0"/>
        <w:snapToGrid w:val="0"/>
        <w:spacing w:beforeLines="0" w:before="30" w:line="576" w:lineRule="exact"/>
        <w:outlineLvl w:val="2"/>
        <w:rPr>
          <w:rFonts w:ascii="仿宋" w:eastAsia="仿宋" w:hAnsi="仿宋"/>
          <w:color w:val="000000"/>
          <w:sz w:val="32"/>
          <w:szCs w:val="32"/>
        </w:rPr>
      </w:pPr>
      <w:r>
        <w:rPr>
          <w:rFonts w:ascii="仿宋" w:eastAsia="仿宋" w:hAnsi="仿宋" w:hint="eastAsia"/>
          <w:color w:val="000000"/>
          <w:sz w:val="32"/>
          <w:szCs w:val="32"/>
        </w:rPr>
        <w:t>3.区应急管理技术服务中心</w:t>
      </w:r>
    </w:p>
    <w:p>
      <w:pPr>
        <w:pStyle w:val="15"/>
        <w:adjustRightInd w:val="0"/>
        <w:snapToGrid w:val="0"/>
        <w:spacing w:beforeLines="0" w:before="30" w:line="576" w:lineRule="exact"/>
        <w:outlineLvl w:val="2"/>
        <w:rPr>
          <w:rFonts w:ascii="仿宋" w:eastAsia="仿宋" w:hAnsi="仿宋"/>
          <w:color w:val="000000"/>
          <w:sz w:val="32"/>
          <w:szCs w:val="32"/>
        </w:rPr>
      </w:pPr>
      <w:r>
        <w:rPr>
          <w:rFonts w:ascii="仿宋" w:eastAsia="仿宋" w:hAnsi="仿宋" w:hint="eastAsia"/>
          <w:color w:val="000000"/>
          <w:sz w:val="32"/>
          <w:szCs w:val="32"/>
        </w:rPr>
        <w:t>4.区矿山安全技术指导站</w:t>
      </w:r>
      <w:bookmarkEnd w:id="16"/>
      <w:bookmarkEnd w:id="17"/>
      <w:bookmarkEnd w:id="18"/>
      <w:bookmarkEnd w:id="19"/>
    </w:p>
    <w:p>
      <w:pPr>
        <w:pStyle w:val="1"/>
        <w:ind w:right="440"/>
        <w:jc w:val="center"/>
        <w:rPr>
          <w:rFonts w:ascii="黑体" w:eastAsia="黑体" w:hAnsi="黑体"/>
          <w:b w:val="0"/>
        </w:rPr>
      </w:pPr>
      <w:bookmarkStart w:id="20" w:name="_Toc15377204"/>
      <w:bookmarkStart w:id="21" w:name="_Toc15396602"/>
      <w:r>
        <w:rPr>
          <w:rFonts w:ascii="黑体" w:eastAsia="黑体" w:hAnsi="黑体" w:hint="eastAsia"/>
          <w:b w:val="0"/>
        </w:rPr>
        <w:t>第二部分 2022年度</w:t>
      </w:r>
      <w:r>
        <w:rPr>
          <w:rStyle w:val="1Char"/>
          <w:rFonts w:ascii="黑体" w:eastAsia="黑体" w:hAnsi="黑体" w:hint="eastAsia"/>
          <w:bCs/>
        </w:rPr>
        <w:t>部门决算情况说明</w:t>
      </w:r>
      <w:bookmarkEnd w:id="20"/>
      <w:bookmarkEnd w:id="21"/>
    </w:p>
    <w:p>
      <w:pPr>
        <w:pStyle w:val="35"/>
        <w:numPr>
          <w:ilvl w:val="0"/>
          <w:numId w:val="1"/>
        </w:numPr>
        <w:spacing w:line="600" w:lineRule="exact"/>
        <w:ind w:firstLineChars="0"/>
        <w:outlineLvl w:val="1"/>
        <w:rPr>
          <w:rStyle w:val="2Char"/>
          <w:rFonts w:ascii="黑体" w:eastAsia="黑体" w:hAnsi="黑体"/>
          <w:b w:val="0"/>
        </w:rPr>
      </w:pPr>
      <w:bookmarkStart w:id="22" w:name="_Toc15377205"/>
      <w:bookmarkStart w:id="23"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22"/>
      <w:bookmarkEnd w:id="23"/>
    </w:p>
    <w:p>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2022年度收支总计2639.76万元。与2021年相比收支总计增长75.81万元，增长率29.56%。主要变动原因是2021年中央项目资金下达较晚，2022年才完成支付所致。</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pPr>
        <w:pStyle w:val="15"/>
        <w:spacing w:beforeLines="0" w:before="93"/>
      </w:pPr>
      <w:r>
        <w:rPr>
          <w:rFonts w:hint="eastAsia"/>
          <w:color w:val="FF0000"/>
        </w:rPr>
        <w:drawing>
          <wp:inline distT="0" distB="0" distL="114300" distR="114300">
            <wp:extent cx="4588510" cy="2976880"/>
            <wp:effectExtent l="0" t="0" r="0" b="0"/>
            <wp:docPr id="13" name="图表 1"/>
            <wp:cNvGraphicFramePr>
              <a:graphicFrameLocks noChangeAspect="0"/>
            </wp:cNvGraphicFramePr>
            <a:graphic>
              <a:graphicData uri="http://schemas.openxmlformats.org/drawingml/2006/chart">
                <c:chart xmlns:c="http://schemas.openxmlformats.org/drawingml/2006/chart" r:id="rId7"/>
              </a:graphicData>
            </a:graphic>
          </wp:inline>
        </w:drawing>
      </w:r>
    </w:p>
    <w:p>
      <w:pPr>
        <w:pStyle w:val="35"/>
        <w:numPr>
          <w:ilvl w:val="0"/>
          <w:numId w:val="1"/>
        </w:numPr>
        <w:spacing w:line="600" w:lineRule="exact"/>
        <w:ind w:firstLineChars="0"/>
        <w:jc w:val="left"/>
        <w:outlineLvl w:val="1"/>
        <w:rPr>
          <w:rStyle w:val="2Char"/>
          <w:rFonts w:ascii="黑体" w:eastAsia="黑体" w:hAnsi="黑体"/>
          <w:b w:val="0"/>
        </w:rPr>
      </w:pPr>
      <w:bookmarkStart w:id="24" w:name="_Toc15377206"/>
      <w:bookmarkStart w:id="25"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4"/>
      <w:bookmarkEnd w:id="25"/>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22年本年收入合计1465.24万元，其中：一般公共预算财政拨款收入1465.24万元，占100</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01表）</w:t>
      </w:r>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22年本年收入合计1465.24万元，其中：一般公共预算财政拨款收入1465.24万元，占100</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w:t>
      </w:r>
    </w:p>
    <w:p>
      <w:pPr>
        <w:pStyle w:val="15"/>
        <w:spacing w:beforeLines="0" w:before="93"/>
      </w:pPr>
      <w:r>
        <w:rPr>
          <w:rFonts w:hint="eastAsia"/>
        </w:rPr>
        <w:drawing>
          <wp:inline distT="0" distB="0" distL="114300" distR="114300">
            <wp:extent cx="4048759" cy="2638425"/>
            <wp:effectExtent l="0" t="0" r="0" b="0"/>
            <wp:docPr id="14" name="图表 4"/>
            <wp:cNvGraphicFramePr>
              <a:graphicFrameLocks noChangeAspect="0"/>
            </wp:cNvGraphicFramePr>
            <a:graphic>
              <a:graphicData uri="http://schemas.openxmlformats.org/drawingml/2006/chart">
                <c:chart xmlns:c="http://schemas.openxmlformats.org/drawingml/2006/chart" r:id="rId8"/>
              </a:graphicData>
            </a:graphic>
          </wp:inline>
        </w:drawing>
      </w:r>
    </w:p>
    <w:p>
      <w:pPr>
        <w:pStyle w:val="35"/>
        <w:numPr>
          <w:ilvl w:val="0"/>
          <w:numId w:val="1"/>
        </w:numPr>
        <w:spacing w:line="600" w:lineRule="exact"/>
        <w:ind w:firstLineChars="0"/>
        <w:outlineLvl w:val="1"/>
        <w:rPr>
          <w:rStyle w:val="2Char"/>
          <w:rFonts w:ascii="黑体" w:eastAsia="黑体" w:hAnsi="黑体"/>
          <w:b w:val="0"/>
        </w:rPr>
      </w:pPr>
      <w:bookmarkStart w:id="26" w:name="_Toc15396605"/>
      <w:bookmarkStart w:id="27"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6"/>
      <w:bookmarkEnd w:id="27"/>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22年本年支出合计2639.76万元，其中：基本支出1090.60万元，占59</w:t>
      </w:r>
      <w:r>
        <w:rPr>
          <w:rFonts w:ascii="仿宋" w:eastAsia="仿宋" w:hAnsi="仿宋"/>
          <w:sz w:val="32"/>
          <w:szCs w:val="32"/>
        </w:rPr>
        <w:t>%</w:t>
      </w:r>
      <w:r>
        <w:rPr>
          <w:rFonts w:ascii="仿宋" w:eastAsia="仿宋" w:hAnsi="仿宋" w:hint="eastAsia"/>
          <w:sz w:val="32"/>
          <w:szCs w:val="32"/>
        </w:rPr>
        <w:t>；项目支出1549.16万元，占41</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p>
    <w:p>
      <w:pPr>
        <w:pStyle w:val="15"/>
        <w:spacing w:beforeLines="0" w:before="93"/>
      </w:pPr>
      <w:r>
        <w:rPr>
          <w:rFonts w:hint="eastAsia"/>
        </w:rPr>
        <w:drawing>
          <wp:anchor distT="0" distB="0" distL="114300" distR="114300" simplePos="0" relativeHeight="35" behindDoc="0" locked="0" layoutInCell="1" hidden="0" allowOverlap="1">
            <wp:simplePos x="0" y="0"/>
            <wp:positionH relativeFrom="column">
              <wp:posOffset>147320</wp:posOffset>
            </wp:positionH>
            <wp:positionV relativeFrom="paragraph">
              <wp:posOffset>347345</wp:posOffset>
            </wp:positionV>
            <wp:extent cx="3374389" cy="2295525"/>
            <wp:effectExtent l="0" t="0" r="0" b="0"/>
            <wp:wrapTight wrapText="bothSides">
              <wp:wrapPolygon>
                <wp:start x="-28" y="-42"/>
                <wp:lineTo x="-28" y="21557"/>
                <wp:lineTo x="21554" y="21557"/>
                <wp:lineTo x="21554" y="-42"/>
                <wp:lineTo x="-28" y="-42"/>
              </wp:wrapPolygon>
            </wp:wrapTight>
            <wp:docPr id="15" name="图表 3"/>
            <wp:cNvGraphicFramePr>
              <a:graphicFrameLocks noChangeAspect="0"/>
            </wp:cNvGraphicFramePr>
            <a:graphic>
              <a:graphicData uri="http://schemas.openxmlformats.org/drawingml/2006/chart">
                <c:chart xmlns:c="http://schemas.openxmlformats.org/drawingml/2006/chart" r:id="rId9"/>
              </a:graphicData>
            </a:graphic>
          </wp:anchor>
        </w:drawing>
      </w:r>
    </w:p>
    <w:p>
      <w:pPr>
        <w:pStyle w:val="15"/>
        <w:spacing w:beforeLines="0" w:before="93"/>
      </w:pPr>
    </w:p>
    <w:p>
      <w:pPr>
        <w:pStyle w:val="15"/>
        <w:spacing w:beforeLines="0" w:before="93"/>
      </w:pPr>
    </w:p>
    <w:p>
      <w:pPr>
        <w:pStyle w:val="15"/>
        <w:spacing w:beforeLines="0" w:before="93"/>
      </w:pPr>
    </w:p>
    <w:p>
      <w:pPr>
        <w:pStyle w:val="15"/>
        <w:spacing w:beforeLines="0" w:before="93"/>
      </w:pPr>
    </w:p>
    <w:p>
      <w:pPr>
        <w:spacing w:line="600" w:lineRule="exact"/>
        <w:rPr>
          <w:rFonts w:ascii="仿宋_GB2312" w:eastAsia="仿宋_GB2312"/>
          <w:sz w:val="32"/>
          <w:szCs w:val="32"/>
        </w:rPr>
      </w:pPr>
    </w:p>
    <w:p>
      <w:pPr>
        <w:spacing w:line="600" w:lineRule="exact"/>
        <w:ind w:firstLineChars="200" w:firstLine="640"/>
        <w:outlineLvl w:val="1"/>
        <w:rPr>
          <w:rStyle w:val="2Char"/>
          <w:rFonts w:ascii="黑体" w:eastAsia="黑体" w:hAnsi="黑体"/>
          <w:b w:val="0"/>
        </w:rPr>
      </w:pPr>
      <w:bookmarkStart w:id="28" w:name="_Toc15377208"/>
      <w:bookmarkStart w:id="29"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8"/>
      <w:bookmarkEnd w:id="29"/>
    </w:p>
    <w:p>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2022年度收支总计2639.76万元。与2021年相比，收入支出总计各增加75.81万元，增长率29.56%，主要变动原因是2021年中央项目资金下达较晚，2022年才完成支付所致。</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pPr>
        <w:spacing w:line="600" w:lineRule="exact"/>
        <w:ind w:firstLineChars="200" w:firstLine="640"/>
      </w:pPr>
      <w:r>
        <w:rPr>
          <w:rFonts w:ascii="仿宋" w:eastAsia="仿宋" w:hAnsi="仿宋" w:hint="eastAsia"/>
          <w:sz w:val="32"/>
          <w:szCs w:val="32"/>
        </w:rPr>
        <w:t>（图4：财政拨款收、支决算总计变动情况）</w:t>
      </w:r>
      <w:bookmarkStart w:id="30" w:name="_Toc15377209"/>
      <w:bookmarkStart w:id="31" w:name="_Toc15396607"/>
    </w:p>
    <w:p>
      <w:pPr>
        <w:pStyle w:val="15"/>
        <w:spacing w:beforeLines="0" w:before="93"/>
      </w:pPr>
    </w:p>
    <w:p>
      <w:pPr>
        <w:pStyle w:val="15"/>
        <w:spacing w:beforeLines="0" w:before="93"/>
      </w:pPr>
    </w:p>
    <w:p>
      <w:pPr>
        <w:pStyle w:val="15"/>
        <w:spacing w:beforeLines="0" w:before="93"/>
      </w:pPr>
      <w:r>
        <w:rPr>
          <w:rFonts w:hint="eastAsia"/>
          <w:color w:val="FF0000"/>
        </w:rPr>
        <w:drawing>
          <wp:anchor distT="0" distB="0" distL="114300" distR="114300" simplePos="0" relativeHeight="39" behindDoc="0" locked="0" layoutInCell="1" hidden="0" allowOverlap="1">
            <wp:simplePos x="0" y="0"/>
            <wp:positionH relativeFrom="column">
              <wp:posOffset>76200</wp:posOffset>
            </wp:positionH>
            <wp:positionV relativeFrom="paragraph">
              <wp:posOffset>-66675</wp:posOffset>
            </wp:positionV>
            <wp:extent cx="4751070" cy="3422650"/>
            <wp:effectExtent l="0" t="1" r="23" b="10"/>
            <wp:wrapSquare wrapText="bothSides"/>
            <wp:docPr id="16" name="图表 5"/>
            <wp:cNvGraphicFramePr>
              <a:graphicFrameLocks noChangeAspect="0"/>
            </wp:cNvGraphicFramePr>
            <a:graphic>
              <a:graphicData uri="http://schemas.openxmlformats.org/drawingml/2006/chart">
                <c:chart xmlns:c="http://schemas.openxmlformats.org/drawingml/2006/chart" r:id="rId10"/>
              </a:graphicData>
            </a:graphic>
          </wp:anchor>
        </w:drawing>
      </w: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spacing w:line="600" w:lineRule="exact"/>
        <w:ind w:firstLineChars="200" w:firstLine="640"/>
        <w:outlineLvl w:val="1"/>
        <w:rPr>
          <w:rFonts w:ascii="黑体" w:eastAsia="黑体" w:hAnsi="黑体"/>
          <w:sz w:val="32"/>
          <w:szCs w:val="32"/>
        </w:rPr>
      </w:pPr>
    </w:p>
    <w:p>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0"/>
      <w:bookmarkEnd w:id="31"/>
    </w:p>
    <w:p>
      <w:pPr>
        <w:spacing w:line="600" w:lineRule="exact"/>
        <w:ind w:firstLineChars="200" w:firstLine="640"/>
        <w:outlineLvl w:val="2"/>
        <w:rPr>
          <w:rFonts w:ascii="仿宋" w:eastAsia="仿宋" w:hAnsi="仿宋"/>
          <w:b/>
          <w:sz w:val="32"/>
          <w:szCs w:val="32"/>
        </w:rPr>
      </w:pPr>
      <w:bookmarkStart w:id="32" w:name="_Toc15377210"/>
      <w:r>
        <w:rPr>
          <w:rFonts w:ascii="仿宋" w:eastAsia="仿宋" w:hAnsi="仿宋" w:hint="eastAsia"/>
          <w:b/>
          <w:sz w:val="32"/>
          <w:szCs w:val="32"/>
        </w:rPr>
        <w:t>（一）一般公共预算财政拨款支出决算总体情况</w:t>
      </w:r>
      <w:bookmarkEnd w:id="32"/>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22年一般公共预算财政拨款支出2639.76万元，占本年支出合计的100%，2</w:t>
      </w:r>
      <w:r>
        <w:rPr>
          <w:rFonts w:ascii="仿宋" w:eastAsia="仿宋" w:hAnsi="仿宋"/>
          <w:sz w:val="32"/>
          <w:szCs w:val="32"/>
        </w:rPr>
        <w:t>0</w:t>
      </w:r>
      <w:r>
        <w:rPr>
          <w:rFonts w:ascii="仿宋" w:eastAsia="仿宋" w:hAnsi="仿宋" w:hint="eastAsia"/>
          <w:sz w:val="32"/>
          <w:szCs w:val="32"/>
        </w:rPr>
        <w:t>21年相比，一般公共预算财政拨款支出增长75.81万元，增长29.56</w:t>
      </w:r>
      <w:r>
        <w:rPr>
          <w:rFonts w:ascii="仿宋" w:eastAsia="仿宋" w:hAnsi="仿宋"/>
          <w:sz w:val="32"/>
          <w:szCs w:val="32"/>
        </w:rPr>
        <w:t>%</w:t>
      </w:r>
      <w:r>
        <w:rPr>
          <w:rFonts w:ascii="仿宋" w:eastAsia="仿宋" w:hAnsi="仿宋" w:hint="eastAsia"/>
          <w:sz w:val="32"/>
          <w:szCs w:val="32"/>
        </w:rPr>
        <w:t>。主要变动原因是2021年中央项目资金下达较晚，2022年才完成支付所致。</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pPr>
        <w:pStyle w:val="15"/>
        <w:spacing w:beforeLines="0" w:before="93"/>
      </w:pPr>
      <w:r>
        <w:rPr>
          <w:rFonts w:hint="eastAsia"/>
        </w:rPr>
        <w:drawing>
          <wp:inline distT="0" distB="0" distL="114300" distR="114300">
            <wp:extent cx="4861560" cy="3429000"/>
            <wp:effectExtent l="0" t="0" r="0" b="0"/>
            <wp:docPr id="17" name="图表 2"/>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600" w:lineRule="exact"/>
        <w:ind w:firstLineChars="200" w:firstLine="640"/>
        <w:outlineLvl w:val="2"/>
        <w:rPr>
          <w:rFonts w:ascii="仿宋" w:eastAsia="仿宋" w:hAnsi="仿宋"/>
          <w:b/>
          <w:sz w:val="32"/>
          <w:szCs w:val="32"/>
        </w:rPr>
      </w:pPr>
      <w:bookmarkStart w:id="33" w:name="_Toc15377211"/>
      <w:r>
        <w:rPr>
          <w:rFonts w:ascii="仿宋" w:eastAsia="仿宋" w:hAnsi="仿宋" w:hint="eastAsia"/>
          <w:b/>
          <w:sz w:val="32"/>
          <w:szCs w:val="32"/>
        </w:rPr>
        <w:t>（二）一般公共预算财政拨款支出决算结构情况</w:t>
      </w:r>
      <w:bookmarkEnd w:id="33"/>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22年一般公共预算财政拨款支出2639.77万元，主要用于以下方面</w:t>
      </w:r>
      <w:r>
        <w:rPr>
          <w:rFonts w:ascii="仿宋" w:eastAsia="仿宋" w:hAnsi="仿宋"/>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84.28万元，占3.19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39.77万元，占1.51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56.20万元，占2.13</w:t>
      </w:r>
      <w:r>
        <w:rPr>
          <w:rFonts w:ascii="仿宋" w:eastAsia="仿宋" w:hAnsi="仿宋"/>
          <w:sz w:val="32"/>
          <w:szCs w:val="32"/>
        </w:rPr>
        <w:t>%</w:t>
      </w:r>
      <w:r>
        <w:rPr>
          <w:rFonts w:ascii="仿宋" w:eastAsia="仿宋" w:hAnsi="仿宋" w:hint="eastAsia"/>
          <w:sz w:val="32"/>
          <w:szCs w:val="32"/>
        </w:rPr>
        <w:t>；自然资源海洋气象等34万元，占1.28%；灾害防治及应急管理支出2425.52。占91.89%</w:t>
      </w:r>
    </w:p>
    <w:p>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（注：数据来源于财决01-1表，）</w:t>
      </w:r>
    </w:p>
    <w:p>
      <w:pPr>
        <w:spacing w:line="600" w:lineRule="exact"/>
        <w:ind w:firstLine="640"/>
        <w:rPr>
          <w:rFonts w:ascii="仿宋" w:eastAsia="仿宋" w:hAnsi="仿宋"/>
          <w:sz w:val="32"/>
          <w:szCs w:val="32"/>
        </w:rPr>
      </w:pPr>
    </w:p>
    <w:p>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pPr>
        <w:pStyle w:val="15"/>
        <w:spacing w:beforeLines="0" w:before="93"/>
      </w:pPr>
    </w:p>
    <w:p>
      <w:pPr>
        <w:pStyle w:val="15"/>
        <w:spacing w:beforeLines="0" w:before="93"/>
      </w:pPr>
      <w:r>
        <w:rPr>
          <w:rFonts w:hint="eastAsia"/>
        </w:rPr>
        <w:drawing>
          <wp:inline distT="0" distB="0" distL="114300" distR="114300">
            <wp:extent cx="5274310" cy="4147820"/>
            <wp:effectExtent l="0" t="0" r="0" b="0"/>
            <wp:docPr id="18" name="图表 6"/>
            <wp:cNvGraphicFramePr>
              <a:graphicFrameLocks noChangeAspect="0"/>
            </wp:cNvGraphicFramePr>
            <a:graphic>
              <a:graphicData uri="http://schemas.openxmlformats.org/drawingml/2006/chart">
                <c:chart xmlns:c="http://schemas.openxmlformats.org/drawingml/2006/chart" r:id="rId12"/>
              </a:graphicData>
            </a:graphic>
          </wp:inline>
        </w:drawing>
      </w:r>
    </w:p>
    <w:p>
      <w:pPr>
        <w:spacing w:line="600" w:lineRule="exact"/>
        <w:ind w:firstLineChars="200" w:firstLine="640"/>
        <w:outlineLvl w:val="2"/>
        <w:rPr>
          <w:rFonts w:ascii="仿宋" w:eastAsia="仿宋" w:hAnsi="仿宋"/>
          <w:b/>
          <w:sz w:val="32"/>
          <w:szCs w:val="32"/>
        </w:rPr>
      </w:pPr>
      <w:bookmarkStart w:id="34" w:name="_Toc15377212"/>
      <w:r>
        <w:rPr>
          <w:rFonts w:ascii="仿宋" w:eastAsia="仿宋" w:hAnsi="仿宋" w:hint="eastAsia"/>
          <w:b/>
          <w:sz w:val="32"/>
          <w:szCs w:val="32"/>
        </w:rPr>
        <w:t>（三）一般公共预算财政拨款支出决算具体情况</w:t>
      </w:r>
      <w:bookmarkEnd w:id="34"/>
    </w:p>
    <w:p>
      <w:pPr>
        <w:spacing w:line="600" w:lineRule="exact"/>
        <w:ind w:firstLineChars="200" w:firstLine="640"/>
        <w:outlineLvl w:val="2"/>
        <w:rPr>
          <w:rFonts w:ascii="仿宋" w:eastAsia="仿宋" w:hAnsi="仿宋"/>
          <w:sz w:val="32"/>
          <w:szCs w:val="32"/>
        </w:rPr>
      </w:pPr>
      <w:bookmarkStart w:id="35" w:name="_Toc15377213"/>
      <w:bookmarkStart w:id="36" w:name="_Toc15378460"/>
      <w:bookmarkStart w:id="37" w:name="_Toc15377444"/>
      <w:r>
        <w:rPr>
          <w:rFonts w:ascii="仿宋" w:eastAsia="仿宋" w:hAnsi="仿宋" w:hint="eastAsia"/>
          <w:b/>
          <w:sz w:val="32"/>
          <w:szCs w:val="32"/>
        </w:rPr>
        <w:t>2022年一般公共预算支出决算数为2639.76万元</w:t>
      </w:r>
      <w:r>
        <w:rPr>
          <w:rFonts w:ascii="仿宋" w:eastAsia="仿宋" w:hAnsi="仿宋" w:hint="eastAsia"/>
          <w:sz w:val="32"/>
          <w:szCs w:val="32"/>
        </w:rPr>
        <w:t>，</w:t>
      </w:r>
      <w:r>
        <w:rPr>
          <w:rStyle w:val="28"/>
          <w:rFonts w:ascii="仿宋" w:eastAsia="仿宋" w:hAnsi="仿宋" w:hint="eastAsia"/>
          <w:bCs/>
          <w:sz w:val="32"/>
          <w:szCs w:val="32"/>
        </w:rPr>
        <w:t>完成预算100</w:t>
      </w:r>
      <w:r>
        <w:rPr>
          <w:rStyle w:val="28"/>
          <w:rFonts w:ascii="仿宋" w:eastAsia="仿宋" w:hAnsi="仿宋"/>
          <w:bCs/>
          <w:sz w:val="32"/>
          <w:szCs w:val="32"/>
        </w:rPr>
        <w:t>%</w:t>
      </w:r>
      <w:r>
        <w:rPr>
          <w:rStyle w:val="28"/>
          <w:rFonts w:ascii="仿宋" w:eastAsia="仿宋" w:hAnsi="仿宋" w:hint="eastAsia"/>
          <w:bCs/>
          <w:sz w:val="32"/>
          <w:szCs w:val="32"/>
        </w:rPr>
        <w:t>。其中：</w:t>
      </w:r>
      <w:bookmarkEnd w:id="35"/>
      <w:bookmarkEnd w:id="36"/>
      <w:bookmarkEnd w:id="37"/>
    </w:p>
    <w:p>
      <w:pPr>
        <w:spacing w:line="600" w:lineRule="exact"/>
        <w:ind w:firstLineChars="200" w:firstLine="640"/>
        <w:rPr>
          <w:rFonts w:ascii="仿宋" w:eastAsia="仿宋" w:hAnsi="仿宋"/>
          <w:sz w:val="32"/>
          <w:szCs w:val="32"/>
        </w:rPr>
      </w:pPr>
      <w:r>
        <w:rPr>
          <w:rStyle w:val="28"/>
          <w:rFonts w:ascii="仿宋" w:eastAsia="仿宋" w:hAnsi="仿宋"/>
          <w:bCs/>
          <w:color w:val="000000"/>
          <w:sz w:val="32"/>
          <w:szCs w:val="32"/>
        </w:rPr>
        <w:t>1.</w:t>
      </w:r>
      <w:r>
        <w:rPr>
          <w:rStyle w:val="28"/>
          <w:rFonts w:ascii="仿宋" w:eastAsia="仿宋" w:hAnsi="仿宋" w:hint="eastAsia"/>
          <w:bCs/>
          <w:color w:val="000000"/>
          <w:sz w:val="32"/>
          <w:szCs w:val="32"/>
        </w:rPr>
        <w:t>灾害防治及应急管理支出224（类）01（款）99（项）</w:t>
      </w:r>
      <w:r>
        <w:rPr>
          <w:rStyle w:val="28"/>
          <w:rFonts w:ascii="仿宋" w:eastAsia="仿宋" w:hAnsi="仿宋"/>
          <w:bCs/>
          <w:color w:val="000000"/>
          <w:sz w:val="32"/>
          <w:szCs w:val="32"/>
        </w:rPr>
        <w:t>:</w:t>
      </w:r>
      <w:r>
        <w:rPr>
          <w:rStyle w:val="28"/>
          <w:rFonts w:ascii="仿宋" w:eastAsia="仿宋" w:hAnsi="仿宋" w:hint="eastAsia"/>
          <w:b w:val="0"/>
          <w:bCs/>
          <w:color w:val="000000"/>
          <w:sz w:val="32"/>
          <w:szCs w:val="32"/>
        </w:rPr>
        <w:t>支出决算为2425.52万元，完成预算100</w:t>
      </w:r>
      <w:r>
        <w:rPr>
          <w:rStyle w:val="28"/>
          <w:rFonts w:ascii="仿宋" w:eastAsia="仿宋" w:hAnsi="仿宋"/>
          <w:b w:val="0"/>
          <w:bCs/>
          <w:color w:val="000000"/>
          <w:sz w:val="32"/>
          <w:szCs w:val="32"/>
        </w:rPr>
        <w:t>%</w:t>
      </w:r>
      <w:r>
        <w:rPr>
          <w:rStyle w:val="28"/>
          <w:rFonts w:ascii="仿宋" w:eastAsia="仿宋" w:hAnsi="仿宋" w:hint="eastAsia"/>
          <w:b w:val="0"/>
          <w:bCs/>
          <w:color w:val="000000"/>
          <w:sz w:val="32"/>
          <w:szCs w:val="32"/>
        </w:rPr>
        <w:t>，决算数等于预</w:t>
      </w:r>
      <w:r>
        <w:rPr>
          <w:rStyle w:val="28"/>
          <w:rFonts w:ascii="仿宋" w:eastAsia="仿宋" w:hAnsi="仿宋" w:hint="eastAsia"/>
          <w:b w:val="0"/>
          <w:bCs/>
          <w:sz w:val="32"/>
          <w:szCs w:val="32"/>
        </w:rPr>
        <w:t>算数</w:t>
      </w:r>
      <w:r>
        <w:rPr>
          <w:rFonts w:ascii="仿宋" w:eastAsia="仿宋" w:hAnsi="仿宋" w:hint="eastAsia"/>
          <w:sz w:val="32"/>
          <w:szCs w:val="32"/>
        </w:rPr>
        <w:t>。</w:t>
      </w:r>
    </w:p>
    <w:p>
      <w:pPr>
        <w:spacing w:line="600" w:lineRule="exact"/>
        <w:ind w:firstLineChars="200" w:firstLine="640"/>
        <w:rPr>
          <w:rStyle w:val="28"/>
          <w:rFonts w:ascii="仿宋" w:eastAsia="仿宋" w:hAnsi="仿宋"/>
          <w:b w:val="0"/>
          <w:bCs/>
          <w:color w:val="000000"/>
          <w:sz w:val="32"/>
          <w:szCs w:val="32"/>
        </w:rPr>
      </w:pPr>
      <w:r>
        <w:rPr>
          <w:rStyle w:val="28"/>
          <w:rFonts w:ascii="仿宋" w:eastAsia="仿宋" w:hAnsi="仿宋"/>
          <w:bCs/>
          <w:color w:val="000000"/>
          <w:sz w:val="32"/>
          <w:szCs w:val="32"/>
        </w:rPr>
        <w:t>2.</w:t>
      </w:r>
      <w:r>
        <w:rPr>
          <w:rStyle w:val="28"/>
          <w:rFonts w:ascii="仿宋" w:eastAsia="仿宋" w:hAnsi="仿宋" w:hint="eastAsia"/>
          <w:bCs/>
          <w:color w:val="000000"/>
          <w:sz w:val="32"/>
          <w:szCs w:val="32"/>
        </w:rPr>
        <w:t>卫生健康支出210（类）11（款）01（项）</w:t>
      </w:r>
      <w:r>
        <w:rPr>
          <w:rStyle w:val="28"/>
          <w:rFonts w:ascii="仿宋" w:eastAsia="仿宋" w:hAnsi="仿宋"/>
          <w:bCs/>
          <w:color w:val="000000"/>
          <w:sz w:val="32"/>
          <w:szCs w:val="32"/>
        </w:rPr>
        <w:t>:</w:t>
      </w:r>
      <w:r>
        <w:rPr>
          <w:rStyle w:val="28"/>
          <w:rFonts w:ascii="仿宋" w:eastAsia="仿宋" w:hAnsi="仿宋" w:hint="eastAsia"/>
          <w:b w:val="0"/>
          <w:bCs/>
          <w:color w:val="000000"/>
          <w:sz w:val="32"/>
          <w:szCs w:val="32"/>
        </w:rPr>
        <w:t>支出决算为39.77万元，完成预算100</w:t>
      </w:r>
      <w:r>
        <w:rPr>
          <w:rStyle w:val="28"/>
          <w:rFonts w:ascii="仿宋" w:eastAsia="仿宋" w:hAnsi="仿宋"/>
          <w:b w:val="0"/>
          <w:bCs/>
          <w:color w:val="000000"/>
          <w:sz w:val="32"/>
          <w:szCs w:val="32"/>
        </w:rPr>
        <w:t>%</w:t>
      </w:r>
      <w:r>
        <w:rPr>
          <w:rStyle w:val="28"/>
          <w:rFonts w:ascii="仿宋" w:eastAsia="仿宋" w:hAnsi="仿宋" w:hint="eastAsia"/>
          <w:b w:val="0"/>
          <w:bCs/>
          <w:color w:val="000000"/>
          <w:sz w:val="32"/>
          <w:szCs w:val="32"/>
        </w:rPr>
        <w:t>，决算数等于预算数。</w:t>
      </w:r>
    </w:p>
    <w:p>
      <w:pPr>
        <w:spacing w:line="600" w:lineRule="exact"/>
        <w:ind w:firstLineChars="200" w:firstLine="640"/>
        <w:rPr>
          <w:rFonts w:ascii="仿宋" w:eastAsia="仿宋" w:hAnsi="仿宋"/>
          <w:b/>
          <w:sz w:val="32"/>
          <w:szCs w:val="32"/>
        </w:rPr>
      </w:pPr>
      <w:r>
        <w:rPr>
          <w:rStyle w:val="28"/>
          <w:rFonts w:ascii="仿宋" w:eastAsia="仿宋" w:hAnsi="仿宋"/>
          <w:bCs/>
          <w:sz w:val="32"/>
          <w:szCs w:val="32"/>
        </w:rPr>
        <w:t>3.</w:t>
      </w:r>
      <w:r>
        <w:rPr>
          <w:rStyle w:val="28"/>
          <w:rFonts w:ascii="仿宋" w:eastAsia="仿宋" w:hAnsi="仿宋" w:hint="eastAsia"/>
          <w:bCs/>
          <w:sz w:val="32"/>
          <w:szCs w:val="32"/>
        </w:rPr>
        <w:t>自然资源海洋气象事务220（类）05（款）08（项）</w:t>
      </w:r>
      <w:r>
        <w:rPr>
          <w:rStyle w:val="28"/>
          <w:rFonts w:ascii="仿宋" w:eastAsia="仿宋" w:hAnsi="仿宋"/>
          <w:bCs/>
          <w:sz w:val="32"/>
          <w:szCs w:val="32"/>
        </w:rPr>
        <w:t>:</w:t>
      </w:r>
      <w:r>
        <w:rPr>
          <w:rStyle w:val="28"/>
          <w:rFonts w:ascii="仿宋" w:eastAsia="仿宋" w:hAnsi="仿宋" w:hint="eastAsia"/>
          <w:b w:val="0"/>
          <w:bCs/>
          <w:sz w:val="32"/>
          <w:szCs w:val="32"/>
        </w:rPr>
        <w:t>支出决算为34万元，预算100%，决算数等于预算数。</w:t>
      </w:r>
    </w:p>
    <w:p>
      <w:pPr>
        <w:spacing w:line="600" w:lineRule="exact"/>
        <w:ind w:firstLineChars="200" w:firstLine="640"/>
        <w:rPr>
          <w:rFonts w:ascii="仿宋" w:eastAsia="仿宋" w:hAnsi="仿宋"/>
          <w:b/>
          <w:sz w:val="32"/>
          <w:szCs w:val="32"/>
        </w:rPr>
      </w:pPr>
      <w:r>
        <w:rPr>
          <w:rStyle w:val="28"/>
          <w:rFonts w:ascii="仿宋" w:eastAsia="仿宋" w:hAnsi="仿宋"/>
          <w:bCs/>
          <w:sz w:val="32"/>
          <w:szCs w:val="32"/>
        </w:rPr>
        <w:t>4.</w:t>
      </w:r>
      <w:r>
        <w:rPr>
          <w:rStyle w:val="28"/>
          <w:rFonts w:ascii="仿宋" w:eastAsia="仿宋" w:hAnsi="仿宋" w:hint="eastAsia"/>
          <w:bCs/>
          <w:sz w:val="32"/>
          <w:szCs w:val="32"/>
        </w:rPr>
        <w:t>住房保障改革支出221（类）01（款）02（项）</w:t>
      </w:r>
      <w:r>
        <w:rPr>
          <w:rStyle w:val="28"/>
          <w:rFonts w:ascii="仿宋" w:eastAsia="仿宋" w:hAnsi="仿宋"/>
          <w:bCs/>
          <w:sz w:val="32"/>
          <w:szCs w:val="32"/>
        </w:rPr>
        <w:t>:</w:t>
      </w:r>
      <w:r>
        <w:rPr>
          <w:rStyle w:val="28"/>
          <w:rFonts w:ascii="仿宋" w:eastAsia="仿宋" w:hAnsi="仿宋" w:hint="eastAsia"/>
          <w:b w:val="0"/>
          <w:bCs/>
          <w:sz w:val="32"/>
          <w:szCs w:val="32"/>
        </w:rPr>
        <w:t>支出决算为56.20万元，完成预算100</w:t>
      </w:r>
      <w:r>
        <w:rPr>
          <w:rStyle w:val="28"/>
          <w:rFonts w:ascii="仿宋" w:eastAsia="仿宋" w:hAnsi="仿宋"/>
          <w:b w:val="0"/>
          <w:bCs/>
          <w:sz w:val="32"/>
          <w:szCs w:val="32"/>
        </w:rPr>
        <w:t>%</w:t>
      </w:r>
      <w:r>
        <w:rPr>
          <w:rStyle w:val="28"/>
          <w:rFonts w:ascii="仿宋" w:eastAsia="仿宋" w:hAnsi="仿宋" w:hint="eastAsia"/>
          <w:b w:val="0"/>
          <w:bCs/>
          <w:sz w:val="32"/>
          <w:szCs w:val="32"/>
        </w:rPr>
        <w:t>，决算数等于预算数。</w:t>
      </w:r>
    </w:p>
    <w:p>
      <w:pPr>
        <w:spacing w:line="600" w:lineRule="exact"/>
        <w:ind w:firstLineChars="200" w:firstLine="640"/>
        <w:rPr>
          <w:rStyle w:val="28"/>
          <w:rFonts w:ascii="仿宋" w:eastAsia="仿宋" w:hAnsi="仿宋"/>
          <w:b w:val="0"/>
          <w:bCs/>
          <w:sz w:val="32"/>
          <w:szCs w:val="32"/>
        </w:rPr>
      </w:pPr>
      <w:r>
        <w:rPr>
          <w:rStyle w:val="28"/>
          <w:rFonts w:ascii="仿宋" w:eastAsia="仿宋" w:hAnsi="仿宋"/>
          <w:bCs/>
          <w:sz w:val="32"/>
          <w:szCs w:val="32"/>
        </w:rPr>
        <w:t>5.</w:t>
      </w:r>
      <w:r>
        <w:rPr>
          <w:rStyle w:val="28"/>
          <w:rFonts w:ascii="仿宋" w:eastAsia="仿宋" w:hAnsi="仿宋" w:hint="eastAsia"/>
          <w:bCs/>
          <w:sz w:val="32"/>
          <w:szCs w:val="32"/>
        </w:rPr>
        <w:t>社会保障和就业208（类）05（款）05（项）</w:t>
      </w:r>
      <w:r>
        <w:rPr>
          <w:rStyle w:val="28"/>
          <w:rFonts w:ascii="仿宋" w:eastAsia="仿宋" w:hAnsi="仿宋"/>
          <w:bCs/>
          <w:sz w:val="32"/>
          <w:szCs w:val="32"/>
        </w:rPr>
        <w:t>:</w:t>
      </w:r>
      <w:r>
        <w:rPr>
          <w:rStyle w:val="28"/>
          <w:rFonts w:ascii="仿宋" w:eastAsia="仿宋" w:hAnsi="仿宋" w:hint="eastAsia"/>
          <w:b w:val="0"/>
          <w:bCs/>
          <w:sz w:val="32"/>
          <w:szCs w:val="32"/>
        </w:rPr>
        <w:t>支出决算为84.29万元，完成预算100</w:t>
      </w:r>
      <w:r>
        <w:rPr>
          <w:rStyle w:val="28"/>
          <w:rFonts w:ascii="仿宋" w:eastAsia="仿宋" w:hAnsi="仿宋"/>
          <w:b w:val="0"/>
          <w:bCs/>
          <w:sz w:val="32"/>
          <w:szCs w:val="32"/>
        </w:rPr>
        <w:t>%</w:t>
      </w:r>
      <w:r>
        <w:rPr>
          <w:rStyle w:val="28"/>
          <w:rFonts w:ascii="仿宋" w:eastAsia="仿宋" w:hAnsi="仿宋" w:hint="eastAsia"/>
          <w:b w:val="0"/>
          <w:bCs/>
          <w:sz w:val="32"/>
          <w:szCs w:val="32"/>
        </w:rPr>
        <w:t>，决算数等于预算数。</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1-1表和财决08表，仅罗列本部门涉及的全部功能分类科目，至项级。上述“预算”口径为全年预算数。增减变动原因为决算数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pPr>
        <w:tabs>
          <w:tab w:val="right" w:pos="8306"/>
        </w:tabs>
        <w:spacing w:line="600" w:lineRule="exact"/>
        <w:ind w:firstLine="640"/>
        <w:outlineLvl w:val="1"/>
        <w:rPr>
          <w:rStyle w:val="2Char"/>
        </w:rPr>
      </w:pPr>
      <w:bookmarkStart w:id="38" w:name="_Toc15396608"/>
      <w:bookmarkStart w:id="39"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22年一般公共预算财政拨款基本支出1090.5万元，其中：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1013.44万元，主要包括：基本工资、津贴补贴、奖金、绩效工资、基础性绩效、机关事业单位基本养老保险缴费、职业年金缴费、其他社会保障缴费、其他工资福利支出、生活补助、奖励金、住房公积金、</w:t>
      </w:r>
    </w:p>
    <w:p>
      <w:pPr>
        <w:spacing w:line="600" w:lineRule="exact"/>
        <w:rPr>
          <w:rFonts w:ascii="仿宋" w:eastAsia="仿宋" w:hAnsi="仿宋"/>
          <w:color w:val="000000"/>
          <w:sz w:val="32"/>
          <w:szCs w:val="32"/>
        </w:rPr>
      </w:pPr>
      <w:r>
        <w:rPr>
          <w:rFonts w:ascii="仿宋" w:eastAsia="仿宋" w:hAnsi="仿宋" w:hint="eastAsia"/>
          <w:color w:val="000000"/>
          <w:sz w:val="32"/>
          <w:szCs w:val="32"/>
        </w:rPr>
        <w:t>　　公用经费77.05万元，主要包括：办公费、印刷费、手续费、水费、邮电费、差旅费、公务接待费、委托业务费、工会经费、福利费、其他交通费。</w:t>
      </w:r>
    </w:p>
    <w:p>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7表和财决08-1表，仅罗列本部门实际支出涉及的经济分类科目。）</w:t>
      </w:r>
    </w:p>
    <w:p>
      <w:pPr>
        <w:spacing w:line="600" w:lineRule="exact"/>
        <w:ind w:firstLine="640"/>
        <w:outlineLvl w:val="1"/>
        <w:rPr>
          <w:rStyle w:val="2Char"/>
          <w:rFonts w:ascii="黑体" w:eastAsia="黑体" w:hAnsi="黑体"/>
          <w:b w:val="0"/>
        </w:rPr>
      </w:pPr>
      <w:bookmarkStart w:id="40" w:name="_Toc15377215"/>
      <w:bookmarkStart w:id="41"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40"/>
      <w:bookmarkEnd w:id="41"/>
    </w:p>
    <w:p>
      <w:pPr>
        <w:spacing w:line="600" w:lineRule="exact"/>
        <w:ind w:firstLine="640"/>
        <w:outlineLvl w:val="2"/>
        <w:rPr>
          <w:rFonts w:ascii="仿宋" w:eastAsia="仿宋" w:hAnsi="仿宋"/>
          <w:b/>
          <w:sz w:val="32"/>
          <w:szCs w:val="32"/>
        </w:rPr>
      </w:pPr>
      <w:bookmarkStart w:id="42" w:name="_Toc15377216"/>
      <w:r>
        <w:rPr>
          <w:rFonts w:ascii="仿宋" w:eastAsia="仿宋" w:hAnsi="仿宋" w:hint="eastAsia"/>
          <w:b/>
          <w:sz w:val="32"/>
          <w:szCs w:val="32"/>
        </w:rPr>
        <w:t>（一）“三公”经费财政拨款支出决算总体情况说明</w:t>
      </w:r>
      <w:bookmarkEnd w:id="42"/>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22年“三公”经费财政拨款支出决算为3.83万元，完成预算100</w:t>
      </w:r>
      <w:r>
        <w:rPr>
          <w:rFonts w:ascii="仿宋" w:eastAsia="仿宋" w:hAnsi="仿宋"/>
          <w:sz w:val="32"/>
          <w:szCs w:val="32"/>
        </w:rPr>
        <w:t>%</w:t>
      </w:r>
      <w:r>
        <w:rPr>
          <w:rFonts w:ascii="仿宋" w:eastAsia="仿宋" w:hAnsi="仿宋" w:hint="eastAsia"/>
          <w:sz w:val="32"/>
          <w:szCs w:val="32"/>
        </w:rPr>
        <w:t>，较上年减少0.22万元，下降5%。决算数小于预算数的主要原因是疫情期间各种检查次数减少。</w:t>
      </w:r>
    </w:p>
    <w:p>
      <w:pPr>
        <w:spacing w:line="600" w:lineRule="exact"/>
        <w:ind w:firstLine="640"/>
        <w:outlineLvl w:val="2"/>
        <w:rPr>
          <w:rFonts w:ascii="仿宋" w:eastAsia="仿宋" w:hAnsi="仿宋"/>
          <w:b/>
          <w:sz w:val="32"/>
          <w:szCs w:val="32"/>
        </w:rPr>
      </w:pPr>
      <w:bookmarkStart w:id="43" w:name="_Toc15377217"/>
      <w:r>
        <w:rPr>
          <w:rFonts w:ascii="仿宋" w:eastAsia="仿宋" w:hAnsi="仿宋" w:hint="eastAsia"/>
          <w:b/>
          <w:sz w:val="32"/>
          <w:szCs w:val="32"/>
        </w:rPr>
        <w:t>（二）“三公”经费财政拨款支出决算具体情况说明</w:t>
      </w:r>
      <w:bookmarkEnd w:id="43"/>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；公务接待费支出决算3.83万元，占100</w:t>
      </w:r>
      <w:r>
        <w:rPr>
          <w:rFonts w:ascii="仿宋" w:eastAsia="仿宋" w:hAnsi="仿宋"/>
          <w:sz w:val="32"/>
          <w:szCs w:val="32"/>
        </w:rPr>
        <w:t>%</w:t>
      </w:r>
      <w:r>
        <w:rPr>
          <w:rFonts w:ascii="仿宋" w:eastAsia="仿宋" w:hAnsi="仿宋" w:hint="eastAsia"/>
          <w:sz w:val="32"/>
          <w:szCs w:val="32"/>
        </w:rPr>
        <w:t>。具体情况如下：</w:t>
      </w:r>
    </w:p>
    <w:p>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w:t>
      </w:r>
    </w:p>
    <w:p>
      <w:pPr>
        <w:pStyle w:val="15"/>
        <w:spacing w:beforeLines="0" w:before="93"/>
      </w:pPr>
      <w:r>
        <w:rPr>
          <w:rFonts w:hint="eastAsia"/>
        </w:rPr>
        <w:drawing>
          <wp:inline distT="0" distB="0" distL="114300" distR="114300">
            <wp:extent cx="3565524" cy="2344420"/>
            <wp:effectExtent l="0" t="0" r="0" b="0"/>
            <wp:docPr id="19" name="图表 7"/>
            <wp:cNvGraphicFramePr>
              <a:graphicFrameLocks noChangeAspect="0"/>
            </wp:cNvGraphicFramePr>
            <a:graphic>
              <a:graphicData uri="http://schemas.openxmlformats.org/drawingml/2006/chart">
                <c:chart xmlns:c="http://schemas.openxmlformats.org/drawingml/2006/chart" r:id="rId13"/>
              </a:graphicData>
            </a:graphic>
          </wp:inline>
        </w:drawing>
      </w:r>
    </w:p>
    <w:p>
      <w:pPr>
        <w:spacing w:line="600" w:lineRule="exact"/>
        <w:ind w:firstLineChars="200" w:firstLine="640"/>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b/>
          <w:sz w:val="32"/>
          <w:szCs w:val="32"/>
        </w:rPr>
        <w:t>1.因公出国（境）经费支出</w:t>
      </w:r>
      <w:r>
        <w:rPr>
          <w:rFonts w:ascii="方正仿宋简体" w:eastAsia="方正仿宋简体" w:cs="方正仿宋简体" w:hAnsi="方正仿宋简体" w:hint="eastAsia"/>
          <w:sz w:val="32"/>
          <w:szCs w:val="32"/>
        </w:rPr>
        <w:t>0万元，</w:t>
      </w:r>
      <w:r>
        <w:rPr>
          <w:rStyle w:val="28"/>
          <w:rFonts w:ascii="方正仿宋简体" w:eastAsia="方正仿宋简体" w:cs="方正仿宋简体" w:hAnsi="方正仿宋简体" w:hint="eastAsia"/>
          <w:b w:val="0"/>
          <w:bCs/>
          <w:sz w:val="32"/>
          <w:szCs w:val="32"/>
        </w:rPr>
        <w:t>完成预算0%。</w:t>
      </w:r>
      <w:r>
        <w:rPr>
          <w:rFonts w:ascii="方正仿宋简体" w:eastAsia="方正仿宋简体" w:cs="方正仿宋简体" w:hAnsi="方正仿宋简体" w:hint="eastAsia"/>
          <w:sz w:val="32"/>
          <w:szCs w:val="32"/>
        </w:rPr>
        <w:t>全年安排因公出国（境）团组0次，出国（境）0人。</w:t>
      </w:r>
    </w:p>
    <w:p>
      <w:pPr>
        <w:spacing w:line="600" w:lineRule="exact"/>
        <w:ind w:firstLine="640"/>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b/>
          <w:sz w:val="32"/>
          <w:szCs w:val="32"/>
        </w:rPr>
        <w:t>2.公务用车购置及运行维护费支出</w:t>
      </w:r>
      <w:r>
        <w:rPr>
          <w:rFonts w:ascii="方正仿宋简体" w:eastAsia="方正仿宋简体" w:cs="方正仿宋简体" w:hAnsi="方正仿宋简体" w:hint="eastAsia"/>
          <w:sz w:val="32"/>
          <w:szCs w:val="32"/>
        </w:rPr>
        <w:t>0万元,</w:t>
      </w:r>
      <w:r>
        <w:rPr>
          <w:rStyle w:val="28"/>
          <w:rFonts w:ascii="方正仿宋简体" w:eastAsia="方正仿宋简体" w:cs="方正仿宋简体" w:hAnsi="方正仿宋简体" w:hint="eastAsia"/>
          <w:b w:val="0"/>
          <w:bCs/>
          <w:sz w:val="32"/>
          <w:szCs w:val="32"/>
        </w:rPr>
        <w:t>完成预算0%。</w:t>
      </w:r>
    </w:p>
    <w:p>
      <w:pPr>
        <w:spacing w:line="600" w:lineRule="exact"/>
        <w:ind w:firstLineChars="200" w:firstLine="640"/>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sz w:val="32"/>
          <w:szCs w:val="32"/>
        </w:rPr>
        <w:t>其中：</w:t>
      </w:r>
      <w:r>
        <w:rPr>
          <w:rFonts w:ascii="方正仿宋简体" w:eastAsia="方正仿宋简体" w:cs="方正仿宋简体" w:hAnsi="方正仿宋简体" w:hint="eastAsia"/>
          <w:b/>
          <w:sz w:val="32"/>
          <w:szCs w:val="32"/>
        </w:rPr>
        <w:t>公务用车购置支出</w:t>
      </w:r>
      <w:r>
        <w:rPr>
          <w:rFonts w:ascii="方正仿宋简体" w:eastAsia="方正仿宋简体" w:cs="方正仿宋简体" w:hAnsi="方正仿宋简体" w:hint="eastAsia"/>
          <w:sz w:val="32"/>
          <w:szCs w:val="32"/>
        </w:rPr>
        <w:t>0万元。全年按规定更新购置公务用车0辆。截至2022年12月底，单位共有公务用车0辆，特种车4辆，其中：安全执法车3辆，由原区安监局购置；人工影响天气火箭炮专用车1辆、由原区应急办购置。</w:t>
      </w:r>
    </w:p>
    <w:p>
      <w:pPr>
        <w:spacing w:line="600" w:lineRule="exact"/>
        <w:ind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sz w:val="32"/>
          <w:szCs w:val="32"/>
        </w:rPr>
        <w:t>3.公务接待费支出</w:t>
      </w:r>
      <w:r>
        <w:rPr>
          <w:rFonts w:ascii="方正仿宋简体" w:eastAsia="方正仿宋简体" w:cs="方正仿宋简体" w:hAnsi="方正仿宋简体" w:hint="eastAsia"/>
          <w:sz w:val="32"/>
          <w:szCs w:val="32"/>
        </w:rPr>
        <w:t>3.83万元，</w:t>
      </w:r>
      <w:r>
        <w:rPr>
          <w:rStyle w:val="28"/>
          <w:rFonts w:ascii="方正仿宋简体" w:eastAsia="方正仿宋简体" w:cs="方正仿宋简体" w:hAnsi="方正仿宋简体" w:hint="eastAsia"/>
          <w:b w:val="0"/>
          <w:bCs/>
          <w:sz w:val="32"/>
          <w:szCs w:val="32"/>
        </w:rPr>
        <w:t>完成预算100%。</w:t>
      </w:r>
      <w:r>
        <w:rPr>
          <w:rFonts w:ascii="方正仿宋简体" w:eastAsia="方正仿宋简体" w:cs="方正仿宋简体" w:hAnsi="方正仿宋简体" w:hint="eastAsia"/>
          <w:sz w:val="32"/>
          <w:szCs w:val="32"/>
        </w:rPr>
        <w:t>公务接待费支出决算比2021年减少0.22万元，下降5%。主要原因是疫情期间各种安全检查减少。</w:t>
      </w:r>
    </w:p>
    <w:p>
      <w:pPr>
        <w:spacing w:line="600" w:lineRule="exact"/>
        <w:ind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sz w:val="32"/>
          <w:szCs w:val="32"/>
        </w:rPr>
        <w:t>国内公务接待支出</w:t>
      </w:r>
      <w:r>
        <w:rPr>
          <w:rFonts w:ascii="方正仿宋简体" w:eastAsia="方正仿宋简体" w:cs="方正仿宋简体" w:hAnsi="方正仿宋简体" w:hint="eastAsia"/>
          <w:sz w:val="32"/>
          <w:szCs w:val="32"/>
        </w:rPr>
        <w:t>3.83万元，主要用于煤矿、非煤矿矿山、危化及应急安全 (执行公务、开展业务活动开支的用餐费等)。国内公务接待45批次，436人次（包括陪同人员），共计支出3.83万元，具体内容包括：煤矿、非煤矿矿山、危化及应急安全、冬春救助、抗洪抢险等各种接待。</w:t>
      </w:r>
    </w:p>
    <w:p>
      <w:pPr>
        <w:spacing w:line="60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sz w:val="32"/>
          <w:szCs w:val="32"/>
        </w:rPr>
        <w:t>外事接待支出</w:t>
      </w:r>
      <w:r>
        <w:rPr>
          <w:rFonts w:ascii="方正仿宋简体" w:eastAsia="方正仿宋简体" w:cs="方正仿宋简体" w:hAnsi="方正仿宋简体" w:hint="eastAsia"/>
          <w:sz w:val="32"/>
          <w:szCs w:val="32"/>
        </w:rPr>
        <w:t>0万元</w:t>
      </w:r>
      <w:bookmarkStart w:id="44" w:name="_Toc15396610"/>
      <w:bookmarkStart w:id="45" w:name="_Toc15377218"/>
      <w:r>
        <w:rPr>
          <w:rFonts w:ascii="方正仿宋简体" w:eastAsia="方正仿宋简体" w:cs="方正仿宋简体" w:hAnsi="方正仿宋简体" w:hint="eastAsia"/>
          <w:sz w:val="32"/>
          <w:szCs w:val="32"/>
        </w:rPr>
        <w:t>。</w:t>
      </w:r>
    </w:p>
    <w:p>
      <w:pPr>
        <w:spacing w:line="600" w:lineRule="exact"/>
        <w:ind w:firstLine="640"/>
        <w:outlineLvl w:val="1"/>
        <w:rPr>
          <w:rStyle w:val="2Char"/>
          <w:rFonts w:ascii="方正仿宋简体" w:eastAsia="方正仿宋简体" w:cs="方正仿宋简体" w:hAnsi="方正仿宋简体"/>
        </w:rPr>
      </w:pPr>
      <w:r>
        <w:rPr>
          <w:rFonts w:ascii="方正仿宋简体" w:eastAsia="方正仿宋简体" w:cs="方正仿宋简体" w:hAnsi="方正仿宋简体" w:hint="eastAsia"/>
          <w:sz w:val="32"/>
          <w:szCs w:val="32"/>
        </w:rPr>
        <w:t>八、</w:t>
      </w:r>
      <w:r>
        <w:rPr>
          <w:rStyle w:val="2Char"/>
          <w:rFonts w:ascii="方正仿宋简体" w:eastAsia="方正仿宋简体" w:cs="方正仿宋简体" w:hAnsi="方正仿宋简体" w:hint="eastAsia"/>
          <w:b w:val="0"/>
        </w:rPr>
        <w:t>政府性基金预算支出决算情况说明</w:t>
      </w:r>
      <w:bookmarkEnd w:id="44"/>
      <w:bookmarkEnd w:id="45"/>
    </w:p>
    <w:p>
      <w:pPr>
        <w:spacing w:line="600" w:lineRule="exact"/>
        <w:ind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2022年政府性基金预算财政拨款支出0万元。</w:t>
      </w:r>
    </w:p>
    <w:p>
      <w:pPr>
        <w:spacing w:line="600" w:lineRule="exact"/>
        <w:ind w:firstLine="640"/>
        <w:rPr>
          <w:rFonts w:ascii="方正仿宋简体" w:eastAsia="方正仿宋简体" w:cs="方正仿宋简体" w:hAnsi="方正仿宋简体"/>
          <w:sz w:val="32"/>
          <w:szCs w:val="32"/>
        </w:rPr>
      </w:pPr>
    </w:p>
    <w:p>
      <w:pPr>
        <w:numPr>
          <w:ilvl w:val="0"/>
          <w:numId w:val="2"/>
        </w:numPr>
        <w:spacing w:line="600" w:lineRule="exact"/>
        <w:ind w:left="0" w:firstLine="640"/>
        <w:outlineLvl w:val="1"/>
        <w:rPr>
          <w:rStyle w:val="2Char"/>
          <w:rFonts w:ascii="方正仿宋简体" w:eastAsia="方正仿宋简体" w:cs="方正仿宋简体" w:hAnsi="方正仿宋简体"/>
          <w:b w:val="0"/>
        </w:rPr>
      </w:pPr>
      <w:bookmarkStart w:id="46" w:name="_Toc15396611"/>
      <w:bookmarkStart w:id="47" w:name="_Toc15377219"/>
      <w:r>
        <w:rPr>
          <w:rStyle w:val="2Char"/>
          <w:rFonts w:ascii="方正仿宋简体" w:eastAsia="方正仿宋简体" w:cs="方正仿宋简体" w:hAnsi="方正仿宋简体" w:hint="eastAsia"/>
          <w:b w:val="0"/>
        </w:rPr>
        <w:t>国有资本经营预算支出决算情况说明</w:t>
      </w:r>
      <w:bookmarkEnd w:id="46"/>
      <w:bookmarkEnd w:id="47"/>
    </w:p>
    <w:p>
      <w:pPr>
        <w:spacing w:line="600" w:lineRule="exact"/>
        <w:ind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2022年国有资本经营预算财政拨款支出0万元。</w:t>
      </w:r>
    </w:p>
    <w:p>
      <w:pPr>
        <w:pStyle w:val="15"/>
        <w:spacing w:beforeLines="0" w:before="93"/>
        <w:rPr>
          <w:rFonts w:ascii="方正仿宋简体" w:eastAsia="方正仿宋简体" w:cs="方正仿宋简体" w:hAnsi="方正仿宋简体"/>
        </w:rPr>
      </w:pPr>
    </w:p>
    <w:p>
      <w:pPr>
        <w:numPr>
          <w:ilvl w:val="0"/>
          <w:numId w:val="2"/>
        </w:numPr>
        <w:spacing w:line="600" w:lineRule="exact"/>
        <w:ind w:left="0" w:firstLine="640"/>
        <w:outlineLvl w:val="1"/>
        <w:rPr>
          <w:rStyle w:val="2Char"/>
          <w:rFonts w:ascii="方正仿宋简体" w:eastAsia="方正仿宋简体" w:cs="方正仿宋简体" w:hAnsi="方正仿宋简体"/>
          <w:b w:val="0"/>
        </w:rPr>
      </w:pPr>
      <w:bookmarkStart w:id="48" w:name="_Toc15396612"/>
      <w:bookmarkStart w:id="49" w:name="_Toc15377221"/>
      <w:r>
        <w:rPr>
          <w:rStyle w:val="2Char"/>
          <w:rFonts w:ascii="方正仿宋简体" w:eastAsia="方正仿宋简体" w:cs="方正仿宋简体" w:hAnsi="方正仿宋简体" w:hint="eastAsia"/>
          <w:b w:val="0"/>
        </w:rPr>
        <w:t>其他重要事项的情况说明</w:t>
      </w:r>
      <w:bookmarkEnd w:id="48"/>
      <w:bookmarkEnd w:id="49"/>
    </w:p>
    <w:p>
      <w:pPr>
        <w:spacing w:line="600" w:lineRule="exact"/>
        <w:ind w:firstLineChars="200" w:firstLine="640"/>
        <w:outlineLvl w:val="2"/>
        <w:rPr>
          <w:rFonts w:ascii="方正仿宋简体" w:eastAsia="方正仿宋简体" w:cs="方正仿宋简体" w:hAnsi="方正仿宋简体"/>
          <w:sz w:val="32"/>
          <w:szCs w:val="32"/>
        </w:rPr>
      </w:pPr>
      <w:bookmarkStart w:id="50" w:name="_Toc15377222"/>
      <w:r>
        <w:rPr>
          <w:rFonts w:ascii="方正仿宋简体" w:eastAsia="方正仿宋简体" w:cs="方正仿宋简体" w:hAnsi="方正仿宋简体" w:hint="eastAsia"/>
          <w:b/>
          <w:sz w:val="32"/>
          <w:szCs w:val="32"/>
        </w:rPr>
        <w:t>（一）机关运行经费支出情况</w:t>
      </w:r>
      <w:bookmarkEnd w:id="50"/>
    </w:p>
    <w:p>
      <w:pPr>
        <w:spacing w:line="60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2022年，利州区应急管理局机关运行经费支出77.05万元，比2021年增加14.76万元，增长24%，主要原因是人员增加所致。</w:t>
      </w:r>
    </w:p>
    <w:p>
      <w:pPr>
        <w:spacing w:line="600" w:lineRule="exact"/>
        <w:ind w:firstLineChars="200" w:firstLine="640"/>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b/>
          <w:sz w:val="32"/>
          <w:szCs w:val="32"/>
        </w:rPr>
        <w:t>（注：数据来源于财决附03表）</w:t>
      </w:r>
    </w:p>
    <w:p>
      <w:pPr>
        <w:autoSpaceDE w:val="0"/>
        <w:autoSpaceDN w:val="0"/>
        <w:adjustRightInd w:val="0"/>
        <w:spacing w:line="600" w:lineRule="exact"/>
        <w:ind w:firstLineChars="200" w:firstLine="640"/>
        <w:jc w:val="left"/>
        <w:outlineLvl w:val="2"/>
        <w:rPr>
          <w:rFonts w:ascii="方正仿宋简体" w:eastAsia="方正仿宋简体" w:cs="方正仿宋简体" w:hAnsi="方正仿宋简体"/>
          <w:b/>
          <w:sz w:val="32"/>
          <w:szCs w:val="32"/>
        </w:rPr>
      </w:pPr>
      <w:bookmarkStart w:id="51" w:name="_Toc15377223"/>
      <w:r>
        <w:rPr>
          <w:rFonts w:ascii="方正仿宋简体" w:eastAsia="方正仿宋简体" w:cs="方正仿宋简体" w:hAnsi="方正仿宋简体" w:hint="eastAsia"/>
          <w:b/>
          <w:sz w:val="32"/>
          <w:szCs w:val="32"/>
        </w:rPr>
        <w:t>（二）政府采购支出情况</w:t>
      </w:r>
      <w:bookmarkEnd w:id="51"/>
    </w:p>
    <w:p>
      <w:pPr>
        <w:spacing w:line="60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2022年，利州区应急管理局政府采购支出总额0万元。</w:t>
      </w:r>
    </w:p>
    <w:p>
      <w:pPr>
        <w:spacing w:line="600" w:lineRule="exact"/>
        <w:ind w:firstLineChars="200" w:firstLine="640"/>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b/>
          <w:sz w:val="32"/>
          <w:szCs w:val="32"/>
        </w:rPr>
        <w:t>（注：数据来源于财决附03表）</w:t>
      </w:r>
    </w:p>
    <w:p>
      <w:pPr>
        <w:autoSpaceDE w:val="0"/>
        <w:autoSpaceDN w:val="0"/>
        <w:adjustRightInd w:val="0"/>
        <w:spacing w:line="600" w:lineRule="exact"/>
        <w:ind w:firstLineChars="200" w:firstLine="640"/>
        <w:jc w:val="left"/>
        <w:outlineLvl w:val="2"/>
        <w:rPr>
          <w:rFonts w:ascii="方正仿宋简体" w:eastAsia="方正仿宋简体" w:cs="方正仿宋简体" w:hAnsi="方正仿宋简体"/>
          <w:b/>
          <w:sz w:val="32"/>
          <w:szCs w:val="32"/>
        </w:rPr>
      </w:pPr>
      <w:bookmarkStart w:id="52" w:name="_Toc15377224"/>
      <w:r>
        <w:rPr>
          <w:rFonts w:ascii="方正仿宋简体" w:eastAsia="方正仿宋简体" w:cs="方正仿宋简体" w:hAnsi="方正仿宋简体" w:hint="eastAsia"/>
          <w:b/>
          <w:sz w:val="32"/>
          <w:szCs w:val="32"/>
        </w:rPr>
        <w:t>（三）国有资产占有使用情况</w:t>
      </w:r>
      <w:bookmarkEnd w:id="52"/>
    </w:p>
    <w:p>
      <w:pPr>
        <w:autoSpaceDE w:val="0"/>
        <w:autoSpaceDN w:val="0"/>
        <w:adjustRightInd w:val="0"/>
        <w:spacing w:line="600" w:lineRule="exact"/>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截至2022年12月31日，利州区应急管理局共有车辆4辆，其中：应急保障安全执法用车3辆（原安监局购置）；其他特种用车1辆，主要是用于人工影响天气专用火箭炮车（原应急办购置）。单价100万元以上专用设备0台（套）。</w:t>
      </w:r>
    </w:p>
    <w:p>
      <w:pPr>
        <w:autoSpaceDE w:val="0"/>
        <w:autoSpaceDN w:val="0"/>
        <w:adjustRightInd w:val="0"/>
        <w:spacing w:line="600" w:lineRule="exact"/>
        <w:ind w:firstLineChars="200" w:firstLine="640"/>
        <w:jc w:val="left"/>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b/>
          <w:sz w:val="32"/>
          <w:szCs w:val="32"/>
        </w:rPr>
        <w:t>（注：数据来源于财决附03表，按部门决算报表填报数据罗列车辆情况。）</w:t>
      </w:r>
    </w:p>
    <w:p>
      <w:pPr>
        <w:autoSpaceDE w:val="0"/>
        <w:autoSpaceDN w:val="0"/>
        <w:adjustRightInd w:val="0"/>
        <w:spacing w:line="600" w:lineRule="exact"/>
        <w:ind w:firstLineChars="200" w:firstLine="640"/>
        <w:jc w:val="left"/>
        <w:outlineLvl w:val="2"/>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b/>
          <w:sz w:val="32"/>
          <w:szCs w:val="32"/>
        </w:rPr>
        <w:t>（四）预算绩效管理情况</w:t>
      </w:r>
    </w:p>
    <w:p>
      <w:pPr>
        <w:widowControl/>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根据预算绩效管理要求，本部门在2022年度预算编制阶段，组织对10项目（安全专项及常态化、防震减灾工作经费、森林防火及病虫害防治、应急会商系统维护、执法中队建设项目、人工影响天气及灾害预警、高危行业专家补助、外聘技术人员工资及保险、非煤矿山及煤矿下井补贴、自然灾害工作经费）等10个项目开展了预算事前绩效评估，对10个项目编制了绩效目标，预算执行过程中，选取10个项目开展绩效监控。</w:t>
      </w:r>
    </w:p>
    <w:p>
      <w:pPr>
        <w:widowControl/>
        <w:ind w:firstLineChars="200" w:firstLine="640"/>
        <w:jc w:val="lef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组织对2022年度一般公共预算、政府性基金预算、国有资本经营预算、社会保险基金预算以及资本资产、债券资金等全面开展绩效自评，形成XX部门整体（含部门预算项目）绩效自评报告、XX等专项预算项目绩效自评报告，其中，XX部门整体（含部门预算项目）绩效自评得分为XX分，绩效自评综述：......；XX专项预算项目绩效自评得分为XX分，绩效自评综述：......。绩效自评报告详见附件。（如不涉及，可根据实际修改表述。）本年未安排一般公共预算、基金项目、国有资本经营预算、社会保险基金预算等到项目。</w:t>
      </w: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numPr>
          <w:ilvl w:val="0"/>
          <w:numId w:val="3"/>
        </w:numPr>
        <w:spacing w:line="600" w:lineRule="exact"/>
        <w:ind w:left="0" w:firstLineChars="150" w:firstLine="660"/>
        <w:jc w:val="center"/>
        <w:outlineLvl w:val="0"/>
        <w:rPr>
          <w:rStyle w:val="1Char"/>
          <w:rFonts w:ascii="黑体" w:eastAsia="黑体" w:hAnsi="黑体"/>
          <w:b w:val="0"/>
        </w:rPr>
      </w:pPr>
      <w:bookmarkStart w:id="53" w:name="_Toc15396613"/>
      <w:bookmarkStart w:id="54" w:name="_Toc15377225"/>
      <w:r>
        <w:rPr>
          <w:rFonts w:ascii="黑体" w:eastAsia="黑体" w:hAnsi="黑体" w:hint="eastAsia"/>
          <w:b/>
          <w:sz w:val="44"/>
          <w:szCs w:val="44"/>
        </w:rPr>
        <w:t>名</w:t>
      </w:r>
      <w:r>
        <w:rPr>
          <w:rStyle w:val="1Char"/>
          <w:rFonts w:ascii="黑体" w:eastAsia="黑体" w:hAnsi="黑体" w:hint="eastAsia"/>
          <w:b w:val="0"/>
        </w:rPr>
        <w:t>词解释</w:t>
      </w:r>
      <w:bookmarkEnd w:id="53"/>
      <w:bookmarkEnd w:id="54"/>
    </w:p>
    <w:p>
      <w:pPr>
        <w:spacing w:line="600" w:lineRule="exact"/>
        <w:jc w:val="left"/>
        <w:rPr>
          <w:rFonts w:ascii="宋体"/>
          <w:b/>
          <w:sz w:val="44"/>
          <w:szCs w:val="44"/>
        </w:rPr>
      </w:pPr>
    </w:p>
    <w:p>
      <w:pPr>
        <w:pStyle w:val="34"/>
        <w:spacing w:line="550" w:lineRule="exact"/>
        <w:ind w:firstLineChars="200" w:firstLine="640"/>
        <w:rPr>
          <w:rFonts w:ascii="方正仿宋简体" w:eastAsia="方正仿宋简体" w:cs="方正仿宋简体" w:hAnsi="方正仿宋简体"/>
          <w:color w:val="auto"/>
          <w:sz w:val="32"/>
          <w:szCs w:val="32"/>
        </w:rPr>
      </w:pPr>
      <w:r>
        <w:rPr>
          <w:rFonts w:ascii="方正仿宋简体" w:eastAsia="方正仿宋简体" w:cs="方正仿宋简体" w:hAnsi="方正仿宋简体" w:hint="eastAsia"/>
          <w:color w:val="auto"/>
          <w:sz w:val="32"/>
          <w:szCs w:val="32"/>
        </w:rPr>
        <w:t>1.财政拨款收入：指单位从同级财政部门取得的财政预算资金。</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2.一般行政管理事务224（类）01（款）02（项）：指应急会商系统及指挥中心运行、人工影响天气预警及天气预播、防震减灾支出。</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3.自然资源海洋气象事务220（类）05（款）08（项）：指气象预报预测支出</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4.住房保障改革支出221（类）02（款）01（项）：指行政事业单位住房公积金支出。</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5.矿山安全224（类）04（款）04（项）：指矿山安全监察事务支出。</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6.自然灾害救灾及恢复重建224（类）07（款）99（项）：指自然灾害恢复重建。</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7.其它灾害防治及应急管理224（类）99（款）99（项）：指其它灾害防治及应急管理支出</w:t>
      </w:r>
    </w:p>
    <w:p>
      <w:pPr>
        <w:spacing w:line="550" w:lineRule="exact"/>
        <w:ind w:firstLineChars="200" w:firstLine="640"/>
        <w:rPr>
          <w:rFonts w:ascii="方正仿宋简体" w:eastAsia="方正仿宋简体" w:cs="方正仿宋简体" w:hAnsi="方正仿宋简体"/>
          <w:kern w:val="0"/>
          <w:sz w:val="32"/>
          <w:szCs w:val="32"/>
        </w:rPr>
      </w:pPr>
      <w:r>
        <w:rPr>
          <w:rFonts w:ascii="方正仿宋简体" w:eastAsia="方正仿宋简体" w:cs="方正仿宋简体" w:hAnsi="方正仿宋简体" w:hint="eastAsia"/>
          <w:sz w:val="32"/>
          <w:szCs w:val="32"/>
        </w:rPr>
        <w:t>8.</w:t>
      </w:r>
      <w:r>
        <w:rPr>
          <w:rFonts w:ascii="方正仿宋简体" w:eastAsia="方正仿宋简体" w:cs="方正仿宋简体" w:hAnsi="方正仿宋简体" w:hint="eastAsia"/>
          <w:kern w:val="0"/>
          <w:sz w:val="32"/>
          <w:szCs w:val="32"/>
        </w:rPr>
        <w:t>社会保障和就业208（类）行政事业单位离退休05（款）机关事业单位基本养老保险缴费支出05（项）：指单位缴纳的基本养老保险费支出。</w:t>
      </w:r>
    </w:p>
    <w:p>
      <w:pPr>
        <w:spacing w:line="550" w:lineRule="exact"/>
        <w:ind w:firstLine="640"/>
        <w:rPr>
          <w:rFonts w:ascii="方正仿宋简体" w:eastAsia="方正仿宋简体" w:cs="方正仿宋简体" w:hAnsi="方正仿宋简体"/>
          <w:kern w:val="0"/>
          <w:sz w:val="32"/>
          <w:szCs w:val="32"/>
        </w:rPr>
      </w:pPr>
      <w:r>
        <w:rPr>
          <w:rFonts w:ascii="方正仿宋简体" w:eastAsia="方正仿宋简体" w:cs="方正仿宋简体" w:hAnsi="方正仿宋简体" w:hint="eastAsia"/>
          <w:sz w:val="32"/>
          <w:szCs w:val="32"/>
        </w:rPr>
        <w:t>9.</w:t>
      </w:r>
      <w:r>
        <w:rPr>
          <w:rFonts w:ascii="方正仿宋简体" w:eastAsia="方正仿宋简体" w:cs="方正仿宋简体" w:hAnsi="方正仿宋简体" w:hint="eastAsia"/>
          <w:kern w:val="0"/>
          <w:sz w:val="32"/>
          <w:szCs w:val="32"/>
        </w:rPr>
        <w:t xml:space="preserve"> 卫生健康支出210（类）卫生健康管理事务11（款）行政运行01（项）：指本单位的人员.基本医疗保险缴费支出。</w:t>
      </w:r>
    </w:p>
    <w:p>
      <w:pPr>
        <w:pStyle w:val="15"/>
        <w:spacing w:beforeLines="0" w:before="30" w:line="550" w:lineRule="exact"/>
        <w:ind w:firstLine="60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10.安全监督224（类）01（款）06（项）：指单位安全专项、执法建设、驻矿下井补贴支出。</w:t>
      </w:r>
    </w:p>
    <w:p>
      <w:pPr>
        <w:pStyle w:val="15"/>
        <w:spacing w:beforeLines="0" w:before="30" w:line="550" w:lineRule="exact"/>
        <w:ind w:firstLine="60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11.应急救援224（类）01（款）08（项）：指自然灾害抢险、抗旱、救灾、应急管理支出。</w:t>
      </w:r>
    </w:p>
    <w:p>
      <w:pPr>
        <w:pStyle w:val="15"/>
        <w:spacing w:beforeLines="0" w:before="30" w:line="550" w:lineRule="exact"/>
        <w:ind w:firstLine="60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12.其他应急管理支出224（类）01（款）99（项）：指煤矿水患普查、自然灾害综合普查、安全生产能力提升、减灾示范补助支出。</w:t>
      </w:r>
    </w:p>
    <w:p>
      <w:pPr>
        <w:pStyle w:val="15"/>
        <w:spacing w:beforeLines="0" w:before="30" w:line="550" w:lineRule="exact"/>
        <w:ind w:firstLine="60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13.自然灾害救灾及恢复重建224（类）07（款）03（项）：指自然灾害转移安置、房屋加固、地质灾害、生活补助、抗洪抢险、生活困难补助支出。</w:t>
      </w:r>
    </w:p>
    <w:p>
      <w:pPr>
        <w:pStyle w:val="15"/>
        <w:spacing w:beforeLines="0" w:before="30" w:line="550" w:lineRule="exact"/>
        <w:ind w:firstLine="60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14.自然灾害灾后重建224（类）07（款）04（项）：指自然灾害教城乡居民农房重建补助支出。</w:t>
      </w:r>
    </w:p>
    <w:p>
      <w:pPr>
        <w:spacing w:line="550" w:lineRule="exact"/>
        <w:ind w:firstLineChars="200" w:firstLine="640"/>
        <w:rPr>
          <w:rFonts w:ascii="方正仿宋简体" w:eastAsia="方正仿宋简体" w:cs="方正仿宋简体" w:hAnsi="方正仿宋简体"/>
          <w:kern w:val="0"/>
          <w:sz w:val="32"/>
          <w:szCs w:val="32"/>
        </w:rPr>
      </w:pPr>
      <w:r>
        <w:rPr>
          <w:rFonts w:ascii="方正仿宋简体" w:eastAsia="方正仿宋简体" w:cs="方正仿宋简体" w:hAnsi="方正仿宋简体" w:hint="eastAsia"/>
          <w:sz w:val="32"/>
          <w:szCs w:val="32"/>
        </w:rPr>
        <w:t>15.</w:t>
      </w:r>
      <w:r>
        <w:rPr>
          <w:rFonts w:ascii="方正仿宋简体" w:eastAsia="方正仿宋简体" w:cs="方正仿宋简体" w:hAnsi="方正仿宋简体" w:hint="eastAsia"/>
          <w:kern w:val="0"/>
          <w:sz w:val="32"/>
          <w:szCs w:val="32"/>
        </w:rPr>
        <w:t>社会保障和就业208（类）行政事业单位离退休05（款）机关事业单位职业年金险缴费支出06（项）：指单位缴纳的职业年金保险费支出。</w:t>
      </w:r>
    </w:p>
    <w:p>
      <w:pPr>
        <w:spacing w:line="550" w:lineRule="exact"/>
        <w:ind w:firstLineChars="200" w:firstLine="640"/>
        <w:rPr>
          <w:rFonts w:ascii="方正仿宋简体" w:eastAsia="方正仿宋简体" w:cs="方正仿宋简体" w:hAnsi="方正仿宋简体"/>
          <w:kern w:val="0"/>
          <w:sz w:val="32"/>
          <w:szCs w:val="32"/>
        </w:rPr>
      </w:pPr>
      <w:r>
        <w:rPr>
          <w:rFonts w:ascii="方正仿宋简体" w:eastAsia="方正仿宋简体" w:cs="方正仿宋简体" w:hAnsi="方正仿宋简体" w:hint="eastAsia"/>
          <w:sz w:val="32"/>
          <w:szCs w:val="32"/>
        </w:rPr>
        <w:t>16.其他</w:t>
      </w:r>
      <w:r>
        <w:rPr>
          <w:rFonts w:ascii="方正仿宋简体" w:eastAsia="方正仿宋简体" w:cs="方正仿宋简体" w:hAnsi="方正仿宋简体" w:hint="eastAsia"/>
          <w:kern w:val="0"/>
          <w:sz w:val="32"/>
          <w:szCs w:val="32"/>
        </w:rPr>
        <w:t>社会保障和就业208（类）行政事业单位99（款）机关事业单位工伤、失业缴费支出99（项）：指单位缴纳的其他社会保障缴费支出。</w:t>
      </w:r>
    </w:p>
    <w:p>
      <w:pPr>
        <w:pStyle w:val="15"/>
        <w:spacing w:beforeLines="0" w:before="30" w:line="550" w:lineRule="exact"/>
        <w:ind w:firstLine="60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17.灾害防治及应急管理224（类）01（款）01（项）：批机关单位行政运行开支。</w:t>
      </w:r>
    </w:p>
    <w:p>
      <w:pPr>
        <w:pStyle w:val="15"/>
        <w:spacing w:beforeLines="0" w:before="30" w:line="550" w:lineRule="exact"/>
        <w:ind w:firstLine="600"/>
      </w:pPr>
      <w:r>
        <w:rPr>
          <w:rFonts w:ascii="方正仿宋简体" w:eastAsia="方正仿宋简体" w:cs="方正仿宋简体" w:hAnsi="方正仿宋简体" w:hint="eastAsia"/>
          <w:sz w:val="32"/>
          <w:szCs w:val="32"/>
        </w:rPr>
        <w:t>18. 灾害防治及应急管理224（类）01（款）50（项）：指机关单位事业运行开支。</w:t>
      </w:r>
    </w:p>
    <w:p>
      <w:pPr>
        <w:spacing w:line="550" w:lineRule="exact"/>
        <w:ind w:firstLine="640"/>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b/>
          <w:sz w:val="32"/>
          <w:szCs w:val="32"/>
        </w:rPr>
        <w:t>（解释本部门决算报表中涉及的全部功能分类科目至项级，不涉及的科目请自行删除。请参照《2022年政府收支分类科目》增减内容。）</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19.基本支出：指为保障机构正常运转、完成日常工作任务而发生的人员支出和公用支出。</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20.项目支出：指在基本支出之外为完成特定行政任务和事业发展目标所发生的支出。</w:t>
      </w:r>
    </w:p>
    <w:p>
      <w:pPr>
        <w:pStyle w:val="34"/>
        <w:spacing w:line="550" w:lineRule="exact"/>
        <w:ind w:firstLineChars="200" w:firstLine="640"/>
        <w:rPr>
          <w:rFonts w:ascii="方正仿宋简体" w:eastAsia="方正仿宋简体" w:cs="方正仿宋简体" w:hAnsi="方正仿宋简体"/>
          <w:color w:val="auto"/>
          <w:sz w:val="32"/>
          <w:szCs w:val="32"/>
        </w:rPr>
      </w:pPr>
      <w:r>
        <w:rPr>
          <w:rFonts w:ascii="方正仿宋简体" w:eastAsia="方正仿宋简体" w:cs="方正仿宋简体" w:hAnsi="方正仿宋简体" w:hint="eastAsia"/>
          <w:color w:val="auto"/>
          <w:sz w:val="32"/>
          <w:szCs w:val="32"/>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spacing w:line="550" w:lineRule="exact"/>
        <w:ind w:firstLineChars="200" w:firstLine="640"/>
        <w:rPr>
          <w:rFonts w:ascii="方正仿宋简体" w:eastAsia="方正仿宋简体" w:cs="方正仿宋简体" w:hAnsi="方正仿宋简体"/>
          <w:color w:val="auto"/>
          <w:sz w:val="32"/>
          <w:szCs w:val="32"/>
        </w:rPr>
      </w:pPr>
      <w:r>
        <w:rPr>
          <w:rFonts w:ascii="方正仿宋简体" w:eastAsia="方正仿宋简体" w:cs="方正仿宋简体" w:hAnsi="方正仿宋简体" w:hint="eastAsia"/>
          <w:color w:val="auto"/>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50" w:lineRule="exact"/>
        <w:ind w:firstLineChars="200" w:firstLine="640"/>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b/>
          <w:sz w:val="32"/>
          <w:szCs w:val="32"/>
        </w:rPr>
        <w:t>（名词解释部分请根据各部门实际列支情况罗列，并根据本部门职责职能增减名词解释内容。）</w:t>
      </w:r>
    </w:p>
    <w:p>
      <w:pPr>
        <w:pStyle w:val="15"/>
        <w:spacing w:beforeLines="0" w:before="93"/>
      </w:pPr>
      <w:r>
        <w:rPr>
          <w:rFonts w:ascii="方正仿宋简体" w:eastAsia="方正仿宋简体" w:cs="方正仿宋简体" w:hAnsi="方正仿宋简体" w:hint="eastAsia"/>
          <w:b/>
          <w:sz w:val="44"/>
          <w:szCs w:val="44"/>
        </w:rPr>
        <w:br w:type="page"/>
      </w:r>
    </w:p>
    <w:p>
      <w:pPr>
        <w:spacing w:line="600" w:lineRule="exact"/>
        <w:jc w:val="center"/>
        <w:outlineLvl w:val="0"/>
        <w:rPr>
          <w:rStyle w:val="1Char"/>
          <w:rFonts w:ascii="黑体" w:eastAsia="黑体" w:hAnsi="黑体"/>
          <w:b w:val="0"/>
        </w:rPr>
      </w:pPr>
      <w:bookmarkStart w:id="55" w:name="_Toc15396614"/>
      <w:r>
        <w:rPr>
          <w:rFonts w:ascii="黑体" w:eastAsia="黑体" w:hAnsi="黑体" w:hint="eastAsia"/>
          <w:sz w:val="44"/>
          <w:szCs w:val="44"/>
        </w:rPr>
        <w:t>第</w:t>
      </w:r>
      <w:r>
        <w:rPr>
          <w:rStyle w:val="1Char"/>
          <w:rFonts w:ascii="黑体" w:eastAsia="黑体" w:hAnsi="黑体" w:hint="eastAsia"/>
          <w:b w:val="0"/>
        </w:rPr>
        <w:t>四部分 附件</w:t>
      </w:r>
      <w:bookmarkEnd w:id="55"/>
    </w:p>
    <w:p>
      <w:pPr>
        <w:widowControl/>
        <w:spacing w:line="560" w:lineRule="exact"/>
        <w:contextualSpacing/>
        <w:jc w:val="center"/>
        <w:rPr>
          <w:rFonts w:ascii="方正仿宋简体" w:eastAsia="方正仿宋简体" w:cs="方正仿宋简体" w:hAnsi="方正仿宋简体"/>
          <w:sz w:val="32"/>
          <w:szCs w:val="32"/>
        </w:rPr>
      </w:pPr>
    </w:p>
    <w:p>
      <w:pPr>
        <w:widowControl/>
        <w:spacing w:line="560" w:lineRule="exact"/>
        <w:contextualSpacing/>
        <w:jc w:val="center"/>
        <w:rPr>
          <w:rFonts w:ascii="方正仿宋简体" w:eastAsia="方正仿宋简体" w:cs="方正仿宋简体" w:hAnsi="方正仿宋简体"/>
          <w:b/>
          <w:sz w:val="44"/>
          <w:szCs w:val="44"/>
          <w:shd w:val="clear" w:color="auto" w:fill="FFFFFF"/>
        </w:rPr>
      </w:pPr>
      <w:r>
        <w:rPr>
          <w:rFonts w:ascii="方正仿宋简体" w:eastAsia="方正仿宋简体" w:cs="方正仿宋简体" w:hAnsi="方正仿宋简体" w:hint="eastAsia"/>
          <w:b/>
          <w:sz w:val="44"/>
          <w:szCs w:val="44"/>
          <w:shd w:val="clear" w:color="auto" w:fill="FFFFFF"/>
        </w:rPr>
        <w:t>2022年区级部门整体支出绩效自评报告</w:t>
      </w:r>
    </w:p>
    <w:p>
      <w:pPr>
        <w:widowControl/>
        <w:adjustRightInd w:val="0"/>
        <w:snapToGrid w:val="0"/>
        <w:spacing w:line="560" w:lineRule="exact"/>
        <w:ind w:firstLineChars="200" w:firstLine="420"/>
        <w:contextualSpacing/>
        <w:jc w:val="left"/>
        <w:rPr>
          <w:rFonts w:ascii="方正仿宋简体" w:eastAsia="方正仿宋简体" w:cs="方正仿宋简体" w:hAnsi="方正仿宋简体"/>
          <w:color w:val="000000"/>
          <w:kern w:val="0"/>
          <w:szCs w:val="32"/>
          <w:shd w:val="clear" w:color="auto" w:fill="FFFFFF"/>
        </w:rPr>
      </w:pPr>
    </w:p>
    <w:p>
      <w:pPr>
        <w:numPr>
          <w:ilvl w:val="0"/>
          <w:numId w:val="4"/>
        </w:numPr>
        <w:adjustRightInd w:val="0"/>
        <w:snapToGrid w:val="0"/>
        <w:spacing w:line="540" w:lineRule="exact"/>
        <w:ind w:left="0" w:firstLineChars="200" w:firstLine="640"/>
        <w:contextualSpacing/>
        <w:jc w:val="left"/>
        <w:rPr>
          <w:rFonts w:ascii="方正仿宋简体" w:eastAsia="方正仿宋简体" w:cs="方正仿宋简体" w:hAnsi="方正仿宋简体"/>
          <w:b/>
          <w:color w:val="000000"/>
          <w:kern w:val="0"/>
          <w:sz w:val="32"/>
          <w:szCs w:val="32"/>
          <w:shd w:val="clear" w:color="auto" w:fill="FFFFFF"/>
          <w:lang w:val="zh-CN"/>
        </w:rPr>
      </w:pPr>
      <w:r>
        <w:rPr>
          <w:rFonts w:ascii="方正仿宋简体" w:eastAsia="方正仿宋简体" w:cs="方正仿宋简体" w:hAnsi="方正仿宋简体" w:hint="eastAsia"/>
          <w:b/>
          <w:color w:val="000000"/>
          <w:kern w:val="0"/>
          <w:sz w:val="32"/>
          <w:szCs w:val="32"/>
          <w:shd w:val="clear" w:color="auto" w:fill="FFFFFF"/>
          <w:lang w:val="zh-CN"/>
        </w:rPr>
        <w:t>部门（单位）基本情况</w:t>
      </w:r>
    </w:p>
    <w:p>
      <w:pPr>
        <w:pStyle w:val="35"/>
        <w:adjustRightInd w:val="0"/>
        <w:snapToGrid w:val="0"/>
        <w:spacing w:line="540" w:lineRule="exact"/>
        <w:ind w:firstLineChars="0" w:firstLine="0"/>
        <w:contextualSpacing/>
        <w:jc w:val="left"/>
        <w:rPr>
          <w:rFonts w:ascii="方正仿宋简体" w:eastAsia="方正仿宋简体" w:cs="方正仿宋简体" w:hAnsi="方正仿宋简体"/>
          <w:b/>
          <w:color w:val="000000"/>
          <w:kern w:val="0"/>
          <w:sz w:val="32"/>
          <w:szCs w:val="32"/>
          <w:shd w:val="clear" w:color="auto" w:fill="FFFFFF"/>
          <w:lang w:val="zh-CN"/>
        </w:rPr>
      </w:pPr>
      <w:r>
        <w:rPr>
          <w:rFonts w:ascii="方正仿宋简体" w:eastAsia="方正仿宋简体" w:cs="方正仿宋简体" w:hAnsi="方正仿宋简体" w:hint="eastAsia"/>
          <w:b/>
          <w:color w:val="000000"/>
          <w:kern w:val="0"/>
          <w:sz w:val="32"/>
          <w:szCs w:val="32"/>
          <w:shd w:val="clear" w:color="auto" w:fill="FFFFFF"/>
          <w:lang w:val="zh-CN"/>
        </w:rPr>
        <w:t xml:space="preserve">    （一）机构组成。</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利州区应急管理局属一级行政单位（正科级），内设机构：办公室（政策法规股、规划财务股）、应急指挥中心（预案管理和科技与信息股）、救灾与物资保障股（自然灾害救援股）、安全生产综合协调股（调查评估与统计股、行政审批股）、煤炭管理股（煤矿安全监管股）、危险化学品安全监管股（安全生产基础管理股）。</w:t>
      </w:r>
    </w:p>
    <w:p>
      <w:pPr>
        <w:adjustRightInd w:val="0"/>
        <w:snapToGrid w:val="0"/>
        <w:spacing w:line="540" w:lineRule="exact"/>
        <w:ind w:firstLineChars="196" w:firstLine="627"/>
        <w:contextualSpacing/>
        <w:jc w:val="left"/>
        <w:rPr>
          <w:rFonts w:ascii="方正仿宋简体" w:eastAsia="方正仿宋简体" w:cs="方正仿宋简体" w:hAnsi="方正仿宋简体"/>
          <w:color w:val="000000"/>
          <w:kern w:val="0"/>
          <w:sz w:val="32"/>
          <w:szCs w:val="32"/>
          <w:shd w:val="clear" w:color="auto" w:fill="FFFFFF"/>
          <w:lang w:val="zh-CN"/>
        </w:rPr>
      </w:pPr>
      <w:r>
        <w:rPr>
          <w:rFonts w:ascii="方正仿宋简体" w:eastAsia="方正仿宋简体" w:cs="方正仿宋简体" w:hAnsi="方正仿宋简体" w:hint="eastAsia"/>
          <w:b/>
          <w:color w:val="000000"/>
          <w:kern w:val="0"/>
          <w:sz w:val="32"/>
          <w:szCs w:val="32"/>
          <w:shd w:val="clear" w:color="auto" w:fill="FFFFFF"/>
          <w:lang w:val="zh-CN"/>
        </w:rPr>
        <w:t>（二）机构职能和人员概况。</w:t>
      </w:r>
    </w:p>
    <w:p>
      <w:pPr>
        <w:adjustRightInd w:val="0"/>
        <w:snapToGrid w:val="0"/>
        <w:spacing w:line="540" w:lineRule="exact"/>
        <w:contextualSpacing/>
        <w:rPr>
          <w:rFonts w:ascii="方正仿宋简体" w:eastAsia="方正仿宋简体" w:cs="方正仿宋简体" w:hAnsi="方正仿宋简体"/>
          <w:b/>
          <w:kern w:val="0"/>
          <w:sz w:val="32"/>
          <w:szCs w:val="32"/>
          <w:shd w:val="clear" w:color="auto" w:fill="FFFFFF"/>
          <w:lang w:val="zh-CN"/>
        </w:rPr>
      </w:pPr>
      <w:bookmarkStart w:id="56" w:name="_Toc15377198"/>
      <w:bookmarkStart w:id="57" w:name="_Toc15378445"/>
      <w:r>
        <w:rPr>
          <w:rFonts w:ascii="方正仿宋简体" w:eastAsia="方正仿宋简体" w:cs="方正仿宋简体" w:hAnsi="方正仿宋简体" w:hint="eastAsia"/>
          <w:b/>
          <w:kern w:val="0"/>
          <w:sz w:val="32"/>
          <w:szCs w:val="32"/>
          <w:shd w:val="clear" w:color="auto" w:fill="FFFFFF"/>
          <w:lang w:val="zh-CN"/>
        </w:rPr>
        <w:t>主要职能。（职能参照区政府批准的三定方案）</w:t>
      </w:r>
      <w:bookmarkEnd w:id="56"/>
      <w:bookmarkEnd w:id="57"/>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1、负责应急管理工作，组织和指导各乡镇（街道）、区级各部门应对安全生产类、自然灾害类等突发事件和综合防灾减灾救灾工作。负责安全生产综合监督管理和工矿商贸、煤炭行业安全生产监督管理工作。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2、拟订应急管理、安全生产等政策措施，组织编制应急救援体系建设、安全生产和综合防灾减灾规划。</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 xml:space="preserve">3、负责组织、指导应急预案体系建设，建立完善事故和自然灾害分级应对制度，牵头组织编制综合应急防灾减灾预案和安全生产类、自然灾害类专项预案，负责应急预案衔接工作，组织开展预案演练并落实，推动应急避难设施建设。      </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4 、牵头建立统一的应急管理信息系统，负责信息传输渠道的规划和布局，建立监测预警和灾情报告制度，健全自然灾害信息资源获取和共享机制，依法统一发布灾情。</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5、负责组织、指导、协调安全生产类、自然灾害类等突发事件应急救援，承担全区应对灾害指挥部工作，综合研判突发事件发展态势并提出应对建议，负责组织灾害应急处置工作。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6、统一协调指挥各类应急专业队伍，建立应急协调联动机制，推进指挥平台对接，提请衔接解放军和武警部队参与应急救援工作。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7、按照国家、省、市相关政策和规定负责消防、森林火灾扑救、抗洪抢险、地震和地质灾害救援、生产安全事故救援等专业应急救援力量建设，依法依规统筹指导各乡镇（街道）、区级有关部门及社会应急救援力量和应急能力建设。</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8、按照国家相关政策和省、市、区相关规定负责消防工作，组织和指导消防监督、火灾预防、火灾扑救等工作。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9、负责灾害综合监测预警工作，承担自然灾害综合风险评估工作。指导协调森林火灾、水旱灾害、地质灾害等防治工作。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10、负责组织、协调灾害救助工作，组织和指导灾情核查、损失评估、救灾捐赠工作，管理、分配中央、省级、市级下拨及区级救灾款物并监督使用。</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11、依法承担区政府安全生产综合监督管理责任，指导协调、监督检查各乡镇（街道）和区级有关部门安全生产工作，组织开展安全生产巡查、考核工作。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12、按照分级、属地管理原则，依法监督检查工矿商贸生产经营单位贯彻执行安全生产法律法规情况及其安全生产条件和有关设备（特种设备除外）、材料、劳动防护用品的安全生产管理工作。协助省、市应急管理部门做好辖区内、央属、省属、市属重点工矿商贸企业安全生产监督管理工作。负责危险化学品安全监督管理综合工作和烟花爆竹安全生产监督管理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13、承担煤矿、非煤矿山安全生产准入初审，危险化学品和烟花爆竹等生产经营单位安全生产准备入及非药品类易制毒化学品备案管理责任。</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14、拟订煤炭产业发展计划并组织实施，按权限审核、上报煤炭建设项目并负责监督管理。负责煤炭生产协调和监督管理，煤炭行业结构调整和产业升级，瓦斯治理和利用。推进煤炭体制改革。</w:t>
      </w:r>
    </w:p>
    <w:p>
      <w:pPr>
        <w:pStyle w:val="15"/>
        <w:adjustRightInd w:val="0"/>
        <w:snapToGrid w:val="0"/>
        <w:spacing w:beforeLines="0" w:before="30" w:line="540" w:lineRule="exact"/>
        <w:ind w:firstLineChars="250" w:firstLine="75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15、承担煤矿安全生产监督管理责任，依法监督检查煤矿企业贯彻执行安全生产法律法规情况及其安全生产条件和有关设备（特种设备除外）、材料、劳动防护用品的安全生产管理工作。负责组织、指导、监督煤矿企业安全专项整治、安全标准化、瓦斯和水害防治及相关安全科技发展工作。参与煤矿事故调理处理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16、承担防震减灾工作职责。负责地震监测设施和观测环境保护工作，负责全区工程建设场地地震安全性评价的监督管理工作，承担全区重大工程的抗震设防监督工作。接受上级地震机构的业务指导。</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17、依法组织、指导生产安全事故调查处理，监督事故查处和责任追究落实情况。组织开展自然灾害类突发事件的调查评估工作。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18、开展应急管理和安全生产方面的交流与合作，参与安全生产类、自然灾害类等突发事件的跨区域救援工作 。</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19、制定应急物资和应急救援装备规划并组织实施，会同区发展改革局等部门建立健全应急物资信息平台和调拨制度，在救灾时统一调度。</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 xml:space="preserve"> 20、负责应急管理、安全生产等宣传教育和培训工作，组织和指导应急管理、安全生产的科学技术研究、推广应用和信息化建设工作。</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 xml:space="preserve"> 21、负责职责范围内的职业健康、生态环境保护、审批服务便民化等工作。</w:t>
      </w:r>
    </w:p>
    <w:p>
      <w:pPr>
        <w:pStyle w:val="15"/>
        <w:adjustRightInd w:val="0"/>
        <w:snapToGrid w:val="0"/>
        <w:spacing w:beforeLines="0" w:before="30" w:line="540" w:lineRule="exact"/>
        <w:ind w:firstLineChars="250" w:firstLine="75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22、完成区委、区政府交办的其他任务。</w:t>
      </w:r>
    </w:p>
    <w:p>
      <w:pPr>
        <w:adjustRightInd w:val="0"/>
        <w:snapToGrid w:val="0"/>
        <w:spacing w:line="540" w:lineRule="exact"/>
        <w:ind w:firstLineChars="200" w:firstLine="640"/>
        <w:contextualSpacing/>
        <w:rPr>
          <w:rFonts w:ascii="方正仿宋简体" w:eastAsia="方正仿宋简体" w:cs="方正仿宋简体" w:hAnsi="方正仿宋简体"/>
          <w:b/>
          <w:kern w:val="0"/>
          <w:sz w:val="32"/>
          <w:szCs w:val="32"/>
          <w:shd w:val="clear" w:color="auto" w:fill="FFFFFF"/>
          <w:lang w:val="zh-CN"/>
        </w:rPr>
      </w:pPr>
      <w:r>
        <w:rPr>
          <w:rFonts w:ascii="方正仿宋简体" w:eastAsia="方正仿宋简体" w:cs="方正仿宋简体" w:hAnsi="方正仿宋简体" w:hint="eastAsia"/>
          <w:b/>
          <w:kern w:val="0"/>
          <w:sz w:val="32"/>
          <w:szCs w:val="32"/>
          <w:shd w:val="clear" w:color="auto" w:fill="FFFFFF"/>
          <w:lang w:val="zh-CN"/>
        </w:rPr>
        <w:t>人员概况</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2022年利州区应急管理局总编制82名，其中行政编制14名，工勤编制2名，事业编制66名， 2022年在职人员总数70名，其中公务员14名，参公人员5名，工勤编制人员5名，事业管理人员46名；外聘专业技术人员1名。</w:t>
      </w:r>
    </w:p>
    <w:p>
      <w:pPr>
        <w:adjustRightInd w:val="0"/>
        <w:snapToGrid w:val="0"/>
        <w:spacing w:line="540" w:lineRule="exact"/>
        <w:ind w:firstLineChars="200" w:firstLine="640"/>
        <w:contextualSpacing/>
        <w:jc w:val="left"/>
        <w:rPr>
          <w:rFonts w:ascii="方正仿宋简体" w:eastAsia="方正仿宋简体" w:cs="方正仿宋简体" w:hAnsi="方正仿宋简体"/>
          <w:b/>
          <w:kern w:val="0"/>
          <w:sz w:val="32"/>
          <w:szCs w:val="32"/>
          <w:shd w:val="clear" w:color="auto" w:fill="FFFFFF"/>
          <w:lang w:val="zh-CN"/>
        </w:rPr>
      </w:pPr>
      <w:r>
        <w:rPr>
          <w:rFonts w:ascii="方正仿宋简体" w:eastAsia="方正仿宋简体" w:cs="方正仿宋简体" w:hAnsi="方正仿宋简体" w:hint="eastAsia"/>
          <w:b/>
          <w:kern w:val="0"/>
          <w:sz w:val="32"/>
          <w:szCs w:val="32"/>
          <w:shd w:val="clear" w:color="auto" w:fill="FFFFFF"/>
          <w:lang w:val="zh-CN"/>
        </w:rPr>
        <w:t>（三）年度主要工作任务。</w:t>
      </w:r>
    </w:p>
    <w:p>
      <w:pPr>
        <w:spacing w:line="54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1）联网直报。1至11月，全区共发生各类生产安全事故4起，死亡4人；与去年同期相比，事故起数同比减少6起，下降60％；死亡人数同比减少6起，下降60%。农业机械、煤矿、非煤矿山、危险化学品、烟花爆竹、农业项目建设、土地整理、水利施工、水上交通等领域保持了“零死亡”。实现连续76个月未发生较大及以上</w:t>
      </w:r>
      <w:r>
        <w:rPr>
          <w:rFonts w:ascii="方正仿宋简体" w:eastAsia="方正仿宋简体" w:cs="方正仿宋简体" w:hAnsi="方正仿宋简体" w:hint="eastAsia"/>
          <w:sz w:val="30"/>
          <w:szCs w:val="30"/>
          <w:shd w:val="clear" w:color="auto" w:fill="FFFFFF"/>
        </w:rPr>
        <w:t>生产安全</w:t>
      </w:r>
      <w:r>
        <w:rPr>
          <w:rFonts w:ascii="方正仿宋简体" w:eastAsia="方正仿宋简体" w:cs="方正仿宋简体" w:hAnsi="方正仿宋简体" w:hint="eastAsia"/>
          <w:sz w:val="30"/>
          <w:szCs w:val="30"/>
        </w:rPr>
        <w:t>事故</w:t>
      </w:r>
      <w:r>
        <w:rPr>
          <w:rFonts w:ascii="方正仿宋简体" w:eastAsia="方正仿宋简体" w:cs="方正仿宋简体" w:hAnsi="方正仿宋简体" w:hint="eastAsia"/>
          <w:sz w:val="30"/>
          <w:szCs w:val="30"/>
          <w:shd w:val="clear" w:color="auto" w:fill="FFFFFF"/>
        </w:rPr>
        <w:t>。安全生产形势持续稳定向好。</w:t>
      </w:r>
    </w:p>
    <w:p>
      <w:pPr>
        <w:spacing w:line="54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（2）项目投资。1至11月入库项目5个，完成固定投资5480万元，占目标任务8000万元的68.5%。完成工业投资和技改投资7658万元，占全年目标任务工业投资和技改投资目标任务1亿元的76.6%。</w:t>
      </w:r>
    </w:p>
    <w:p>
      <w:pPr>
        <w:pStyle w:val="27"/>
        <w:spacing w:after="0" w:line="540" w:lineRule="exact"/>
        <w:ind w:leftChars="0" w:left="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（3）向上争取资金。1至11月向上争取资金1166万元，占目标任务1400万元的83.2%。</w:t>
      </w:r>
    </w:p>
    <w:p>
      <w:pPr>
        <w:pStyle w:val="27"/>
        <w:numPr>
          <w:ilvl w:val="0"/>
          <w:numId w:val="5"/>
        </w:numPr>
        <w:spacing w:after="0" w:line="540" w:lineRule="exact"/>
        <w:ind w:leftChars="0" w:left="0"/>
        <w:jc w:val="left"/>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非税收入。1至11月完成非税收入152.177万元，占目标任务160万元的95.1%。</w:t>
      </w:r>
    </w:p>
    <w:p>
      <w:pPr>
        <w:adjustRightInd w:val="0"/>
        <w:snapToGrid w:val="0"/>
        <w:spacing w:line="540" w:lineRule="exact"/>
        <w:ind w:firstLineChars="196" w:firstLine="627"/>
        <w:contextualSpacing/>
        <w:jc w:val="left"/>
        <w:rPr>
          <w:rFonts w:ascii="方正仿宋简体" w:eastAsia="方正仿宋简体" w:cs="方正仿宋简体" w:hAnsi="方正仿宋简体"/>
          <w:b/>
          <w:color w:val="000000"/>
          <w:kern w:val="0"/>
          <w:sz w:val="32"/>
          <w:szCs w:val="32"/>
          <w:shd w:val="clear" w:color="auto" w:fill="FFFFFF"/>
          <w:lang w:val="zh-CN"/>
        </w:rPr>
      </w:pPr>
      <w:r>
        <w:rPr>
          <w:rFonts w:ascii="方正仿宋简体" w:eastAsia="方正仿宋简体" w:cs="方正仿宋简体" w:hAnsi="方正仿宋简体" w:hint="eastAsia"/>
          <w:b/>
          <w:color w:val="000000"/>
          <w:kern w:val="0"/>
          <w:sz w:val="32"/>
          <w:szCs w:val="32"/>
          <w:shd w:val="clear" w:color="auto" w:fill="FFFFFF"/>
          <w:lang w:val="zh-CN"/>
        </w:rPr>
        <w:t>（四）部门整体支出绩效目标。</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2022年年初结转结余1174.53万元；部门收入年初预算数1063.67万元，调整预算数1465.13万元，决算数1465.13万元；部门支出年初预算数2238.20万元，调整预算数2639.67万元，决算数2639.67万元，年初结转和结余1174.53万元。根据预算绩效管理要求，在年初预算编制阶段，根据各个环节工作量“先预算、后使用”的原则，对项目资金开展了预算事前绩效评估，预算执行过程中，对项目开展绩效监控，年终执行完毕后，对项目开展了绩效目标完成情况自评。部门预算保证各项预算资金使用依法合规、有效、财务信息真实完整。</w:t>
      </w:r>
    </w:p>
    <w:p>
      <w:pPr>
        <w:adjustRightInd w:val="0"/>
        <w:snapToGrid w:val="0"/>
        <w:spacing w:line="540" w:lineRule="exact"/>
        <w:ind w:firstLineChars="200" w:firstLine="640"/>
        <w:contextualSpacing/>
        <w:jc w:val="left"/>
        <w:rPr>
          <w:rFonts w:ascii="方正仿宋简体" w:eastAsia="方正仿宋简体" w:cs="方正仿宋简体" w:hAnsi="方正仿宋简体"/>
          <w:b/>
          <w:color w:val="000000"/>
          <w:kern w:val="0"/>
          <w:sz w:val="32"/>
          <w:szCs w:val="32"/>
          <w:shd w:val="clear" w:color="auto" w:fill="FFFFFF"/>
        </w:rPr>
      </w:pPr>
      <w:r>
        <w:rPr>
          <w:rFonts w:ascii="方正仿宋简体" w:eastAsia="方正仿宋简体" w:cs="方正仿宋简体" w:hAnsi="方正仿宋简体" w:hint="eastAsia"/>
          <w:b/>
          <w:color w:val="000000"/>
          <w:kern w:val="0"/>
          <w:sz w:val="32"/>
          <w:szCs w:val="32"/>
          <w:shd w:val="clear" w:color="auto" w:fill="FFFFFF"/>
        </w:rPr>
        <w:t>二、部门资金收支情况</w:t>
      </w:r>
    </w:p>
    <w:p>
      <w:pPr>
        <w:adjustRightInd w:val="0"/>
        <w:snapToGrid w:val="0"/>
        <w:spacing w:line="540" w:lineRule="exact"/>
        <w:ind w:firstLineChars="200" w:firstLine="640"/>
        <w:contextualSpacing/>
        <w:jc w:val="left"/>
        <w:rPr>
          <w:rFonts w:ascii="方正仿宋简体" w:eastAsia="方正仿宋简体" w:cs="方正仿宋简体" w:hAnsi="方正仿宋简体"/>
          <w:color w:val="000000"/>
          <w:kern w:val="0"/>
          <w:sz w:val="32"/>
          <w:szCs w:val="32"/>
          <w:shd w:val="clear" w:color="auto" w:fill="FFFFFF"/>
          <w:lang w:val="zh-CN"/>
        </w:rPr>
      </w:pPr>
      <w:r>
        <w:rPr>
          <w:rFonts w:ascii="方正仿宋简体" w:eastAsia="方正仿宋简体" w:cs="方正仿宋简体" w:hAnsi="方正仿宋简体" w:hint="eastAsia"/>
          <w:b/>
          <w:color w:val="000000"/>
          <w:kern w:val="0"/>
          <w:sz w:val="32"/>
          <w:szCs w:val="32"/>
          <w:shd w:val="clear" w:color="auto" w:fill="FFFFFF"/>
          <w:lang w:val="zh-CN"/>
        </w:rPr>
        <w:t>（一）部门总体收支情况</w:t>
      </w:r>
      <w:r>
        <w:rPr>
          <w:rFonts w:ascii="方正仿宋简体" w:eastAsia="方正仿宋简体" w:cs="方正仿宋简体" w:hAnsi="方正仿宋简体" w:hint="eastAsia"/>
          <w:color w:val="000000"/>
          <w:kern w:val="0"/>
          <w:sz w:val="32"/>
          <w:szCs w:val="32"/>
          <w:shd w:val="clear" w:color="auto" w:fill="FFFFFF"/>
          <w:lang w:val="zh-CN"/>
        </w:rPr>
        <w:t>。</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2022年财政拨款收入1465.13万元，其中：一般公共预算财政拨款收入1465.13万元，占100%。</w:t>
      </w:r>
    </w:p>
    <w:p>
      <w:pPr>
        <w:adjustRightInd w:val="0"/>
        <w:snapToGrid w:val="0"/>
        <w:spacing w:line="540" w:lineRule="exact"/>
        <w:ind w:firstLineChars="200" w:firstLine="640"/>
        <w:contextualSpacing/>
        <w:jc w:val="left"/>
        <w:rPr>
          <w:rFonts w:ascii="方正仿宋简体" w:eastAsia="方正仿宋简体" w:cs="方正仿宋简体" w:hAnsi="方正仿宋简体"/>
          <w:b/>
          <w:color w:val="000000"/>
          <w:kern w:val="0"/>
          <w:sz w:val="32"/>
          <w:szCs w:val="32"/>
          <w:shd w:val="clear" w:color="auto" w:fill="FFFFFF"/>
        </w:rPr>
      </w:pPr>
      <w:r>
        <w:rPr>
          <w:rFonts w:ascii="方正仿宋简体" w:eastAsia="方正仿宋简体" w:cs="方正仿宋简体" w:hAnsi="方正仿宋简体" w:hint="eastAsia"/>
          <w:b/>
          <w:color w:val="000000"/>
          <w:kern w:val="0"/>
          <w:sz w:val="32"/>
          <w:szCs w:val="32"/>
          <w:shd w:val="clear" w:color="auto" w:fill="FFFFFF"/>
        </w:rPr>
        <w:t>（二）部门总体支出情况</w:t>
      </w:r>
    </w:p>
    <w:p>
      <w:pPr>
        <w:pStyle w:val="15"/>
        <w:adjustRightInd w:val="0"/>
        <w:snapToGrid w:val="0"/>
        <w:spacing w:beforeLines="0" w:before="30"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2022年财政拨款支出2639.77万元，其中：基本支出1090.60万元，占41.31%，项目支出1549.17万元，占58.69%。</w:t>
      </w:r>
    </w:p>
    <w:p>
      <w:pPr>
        <w:adjustRightInd w:val="0"/>
        <w:snapToGrid w:val="0"/>
        <w:spacing w:line="540" w:lineRule="exact"/>
        <w:ind w:firstLineChars="200" w:firstLine="640"/>
        <w:contextualSpacing/>
        <w:jc w:val="left"/>
        <w:rPr>
          <w:rFonts w:ascii="方正仿宋简体" w:eastAsia="方正仿宋简体" w:cs="方正仿宋简体" w:hAnsi="方正仿宋简体"/>
          <w:b/>
          <w:color w:val="000000"/>
          <w:kern w:val="0"/>
          <w:sz w:val="32"/>
          <w:szCs w:val="32"/>
          <w:shd w:val="clear" w:color="auto" w:fill="FFFFFF"/>
        </w:rPr>
      </w:pPr>
      <w:r>
        <w:rPr>
          <w:rFonts w:ascii="方正仿宋简体" w:eastAsia="方正仿宋简体" w:cs="方正仿宋简体" w:hAnsi="方正仿宋简体" w:hint="eastAsia"/>
          <w:b/>
          <w:color w:val="000000"/>
          <w:kern w:val="0"/>
          <w:sz w:val="32"/>
          <w:szCs w:val="32"/>
          <w:shd w:val="clear" w:color="auto" w:fill="FFFFFF"/>
        </w:rPr>
        <w:t>（三）.部门总体结转结余情况</w:t>
      </w:r>
    </w:p>
    <w:p>
      <w:pPr>
        <w:overflowPunct w:val="0"/>
        <w:adjustRightInd w:val="0"/>
        <w:snapToGrid w:val="0"/>
        <w:spacing w:line="540" w:lineRule="exact"/>
        <w:ind w:firstLineChars="200" w:firstLine="600"/>
        <w:contextualSpacing/>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lang w:val="zh-CN"/>
        </w:rPr>
        <w:t>202</w:t>
      </w:r>
      <w:r>
        <w:rPr>
          <w:rFonts w:ascii="方正仿宋简体" w:eastAsia="方正仿宋简体" w:cs="方正仿宋简体" w:hAnsi="方正仿宋简体" w:hint="eastAsia"/>
          <w:sz w:val="30"/>
          <w:szCs w:val="30"/>
        </w:rPr>
        <w:t>2</w:t>
      </w:r>
      <w:r>
        <w:rPr>
          <w:rFonts w:ascii="方正仿宋简体" w:eastAsia="方正仿宋简体" w:cs="方正仿宋简体" w:hAnsi="方正仿宋简体" w:hint="eastAsia"/>
          <w:sz w:val="30"/>
          <w:szCs w:val="30"/>
          <w:lang w:val="zh-CN"/>
        </w:rPr>
        <w:t>年财政拨款结转结余</w:t>
      </w:r>
      <w:r>
        <w:rPr>
          <w:rFonts w:ascii="方正仿宋简体" w:eastAsia="方正仿宋简体" w:cs="方正仿宋简体" w:hAnsi="方正仿宋简体" w:hint="eastAsia"/>
          <w:sz w:val="30"/>
          <w:szCs w:val="30"/>
        </w:rPr>
        <w:t>0万元</w:t>
      </w:r>
      <w:r>
        <w:rPr>
          <w:rFonts w:ascii="方正仿宋简体" w:eastAsia="方正仿宋简体" w:cs="方正仿宋简体" w:hAnsi="方正仿宋简体" w:hint="eastAsia"/>
          <w:sz w:val="30"/>
          <w:szCs w:val="30"/>
          <w:lang w:val="zh-CN"/>
        </w:rPr>
        <w:t>。</w:t>
      </w:r>
    </w:p>
    <w:p>
      <w:pPr>
        <w:adjustRightInd w:val="0"/>
        <w:snapToGrid w:val="0"/>
        <w:spacing w:line="540" w:lineRule="exact"/>
        <w:ind w:firstLineChars="200" w:firstLine="640"/>
        <w:contextualSpacing/>
        <w:jc w:val="left"/>
        <w:rPr>
          <w:rFonts w:ascii="方正仿宋简体" w:eastAsia="方正仿宋简体" w:cs="方正仿宋简体" w:hAnsi="方正仿宋简体"/>
          <w:b/>
          <w:color w:val="000000"/>
          <w:kern w:val="0"/>
          <w:sz w:val="32"/>
          <w:szCs w:val="32"/>
          <w:shd w:val="clear" w:color="auto" w:fill="FFFFFF"/>
        </w:rPr>
      </w:pPr>
      <w:r>
        <w:rPr>
          <w:rFonts w:ascii="方正仿宋简体" w:eastAsia="方正仿宋简体" w:cs="方正仿宋简体" w:hAnsi="方正仿宋简体" w:hint="eastAsia"/>
          <w:b/>
          <w:color w:val="000000"/>
          <w:kern w:val="0"/>
          <w:sz w:val="32"/>
          <w:szCs w:val="32"/>
          <w:shd w:val="clear" w:color="auto" w:fill="FFFFFF"/>
        </w:rPr>
        <w:t>1.部门财政拨款收入情况</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2022年财政拨款收入1465.13万元，其中：一般公共预算财政拨款收入1465.13万元，占100%。其中：行政运行拨款354.8万元；社会养老保险及年金拨款84.29万元；医疗卫生健康拨款39.77万元；住房改革拨款56.19万元；气象事务拨款34万元；一般管理事务20万元；安全监管108.13万元；应急救援61万元；矿山安全10万元；自然灾害111.5万元；其他应急管理585.45万元。</w:t>
      </w:r>
    </w:p>
    <w:p>
      <w:pPr>
        <w:adjustRightInd w:val="0"/>
        <w:snapToGrid w:val="0"/>
        <w:spacing w:line="540" w:lineRule="exact"/>
        <w:ind w:firstLineChars="250" w:firstLine="800"/>
        <w:contextualSpacing/>
        <w:jc w:val="left"/>
        <w:rPr>
          <w:rFonts w:ascii="方正仿宋简体" w:eastAsia="方正仿宋简体" w:cs="方正仿宋简体" w:hAnsi="方正仿宋简体"/>
          <w:b/>
          <w:color w:val="000000"/>
          <w:kern w:val="0"/>
          <w:sz w:val="32"/>
          <w:szCs w:val="32"/>
          <w:shd w:val="clear" w:color="auto" w:fill="FFFFFF"/>
        </w:rPr>
      </w:pPr>
      <w:r>
        <w:rPr>
          <w:rFonts w:ascii="方正仿宋简体" w:eastAsia="方正仿宋简体" w:cs="方正仿宋简体" w:hAnsi="方正仿宋简体" w:hint="eastAsia"/>
          <w:b/>
          <w:color w:val="000000"/>
          <w:kern w:val="0"/>
          <w:sz w:val="32"/>
          <w:szCs w:val="32"/>
          <w:shd w:val="clear" w:color="auto" w:fill="FFFFFF"/>
        </w:rPr>
        <w:t>2.部门财政拨款支出情况</w:t>
      </w:r>
    </w:p>
    <w:p>
      <w:pPr>
        <w:pStyle w:val="27"/>
        <w:spacing w:after="0" w:line="540" w:lineRule="exact"/>
        <w:ind w:leftChars="0" w:left="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 xml:space="preserve">2022年财政支出总计2639.77万元，其中：社会保障和就业支出84.28万元；卫生健康支出39.77万元；气象事务34万元；住房保障56.19万元，应急管理事务1284.48万元；矿山安全10万元；自然灾害救灾及恢复重建支出1003.74万元；其它灾害防治及应急管理支出127.31万元。 </w:t>
      </w:r>
    </w:p>
    <w:p>
      <w:pPr>
        <w:adjustRightInd w:val="0"/>
        <w:snapToGrid w:val="0"/>
        <w:spacing w:line="540" w:lineRule="exact"/>
        <w:ind w:firstLineChars="200" w:firstLine="640"/>
        <w:contextualSpacing/>
        <w:jc w:val="left"/>
        <w:rPr>
          <w:rFonts w:ascii="方正仿宋简体" w:eastAsia="方正仿宋简体" w:cs="方正仿宋简体" w:hAnsi="方正仿宋简体"/>
          <w:b/>
          <w:color w:val="000000"/>
          <w:kern w:val="0"/>
          <w:sz w:val="32"/>
          <w:szCs w:val="32"/>
          <w:shd w:val="clear" w:color="auto" w:fill="FFFFFF"/>
        </w:rPr>
      </w:pPr>
      <w:r>
        <w:rPr>
          <w:rFonts w:ascii="方正仿宋简体" w:eastAsia="方正仿宋简体" w:cs="方正仿宋简体" w:hAnsi="方正仿宋简体" w:hint="eastAsia"/>
          <w:b/>
          <w:color w:val="000000"/>
          <w:kern w:val="0"/>
          <w:sz w:val="32"/>
          <w:szCs w:val="32"/>
          <w:shd w:val="clear" w:color="auto" w:fill="FFFFFF"/>
        </w:rPr>
        <w:t>3.部门财政拨款结转结余情况</w:t>
      </w:r>
    </w:p>
    <w:p>
      <w:pPr>
        <w:overflowPunct w:val="0"/>
        <w:adjustRightInd w:val="0"/>
        <w:snapToGrid w:val="0"/>
        <w:spacing w:line="540" w:lineRule="exact"/>
        <w:ind w:firstLineChars="200" w:firstLine="600"/>
        <w:contextualSpacing/>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lang w:val="zh-CN"/>
        </w:rPr>
        <w:t>202</w:t>
      </w:r>
      <w:r>
        <w:rPr>
          <w:rFonts w:ascii="方正仿宋简体" w:eastAsia="方正仿宋简体" w:cs="方正仿宋简体" w:hAnsi="方正仿宋简体" w:hint="eastAsia"/>
          <w:sz w:val="30"/>
          <w:szCs w:val="30"/>
        </w:rPr>
        <w:t>2</w:t>
      </w:r>
      <w:r>
        <w:rPr>
          <w:rFonts w:ascii="方正仿宋简体" w:eastAsia="方正仿宋简体" w:cs="方正仿宋简体" w:hAnsi="方正仿宋简体" w:hint="eastAsia"/>
          <w:sz w:val="30"/>
          <w:szCs w:val="30"/>
          <w:lang w:val="zh-CN"/>
        </w:rPr>
        <w:t>年财政拨款结转结余</w:t>
      </w:r>
      <w:r>
        <w:rPr>
          <w:rFonts w:ascii="方正仿宋简体" w:eastAsia="方正仿宋简体" w:cs="方正仿宋简体" w:hAnsi="方正仿宋简体" w:hint="eastAsia"/>
          <w:sz w:val="30"/>
          <w:szCs w:val="30"/>
        </w:rPr>
        <w:t>0万元</w:t>
      </w:r>
      <w:r>
        <w:rPr>
          <w:rFonts w:ascii="方正仿宋简体" w:eastAsia="方正仿宋简体" w:cs="方正仿宋简体" w:hAnsi="方正仿宋简体" w:hint="eastAsia"/>
          <w:sz w:val="30"/>
          <w:szCs w:val="30"/>
          <w:lang w:val="zh-CN"/>
        </w:rPr>
        <w:t>。</w:t>
      </w:r>
    </w:p>
    <w:p>
      <w:pPr>
        <w:adjustRightInd w:val="0"/>
        <w:snapToGrid w:val="0"/>
        <w:spacing w:line="540" w:lineRule="exact"/>
        <w:ind w:firstLineChars="200" w:firstLine="640"/>
        <w:contextualSpacing/>
        <w:jc w:val="left"/>
        <w:rPr>
          <w:rFonts w:ascii="方正仿宋简体" w:eastAsia="方正仿宋简体" w:cs="方正仿宋简体" w:hAnsi="方正仿宋简体"/>
          <w:b/>
          <w:kern w:val="0"/>
          <w:sz w:val="32"/>
          <w:szCs w:val="32"/>
          <w:shd w:val="clear" w:color="auto" w:fill="FFFFFF"/>
        </w:rPr>
      </w:pPr>
      <w:r>
        <w:rPr>
          <w:rFonts w:ascii="方正仿宋简体" w:eastAsia="方正仿宋简体" w:cs="方正仿宋简体" w:hAnsi="方正仿宋简体" w:hint="eastAsia"/>
          <w:b/>
          <w:kern w:val="0"/>
          <w:sz w:val="32"/>
          <w:szCs w:val="32"/>
          <w:shd w:val="clear" w:color="auto" w:fill="FFFFFF"/>
        </w:rPr>
        <w:t>三、部门整体绩效分析</w:t>
      </w:r>
    </w:p>
    <w:p>
      <w:pPr>
        <w:adjustRightInd w:val="0"/>
        <w:snapToGrid w:val="0"/>
        <w:spacing w:line="540" w:lineRule="exact"/>
        <w:ind w:firstLineChars="200" w:firstLine="600"/>
        <w:contextualSpacing/>
        <w:jc w:val="left"/>
        <w:rPr>
          <w:rFonts w:ascii="方正仿宋简体" w:eastAsia="方正仿宋简体" w:cs="方正仿宋简体" w:hAnsi="方正仿宋简体"/>
          <w:b/>
          <w:kern w:val="0"/>
          <w:sz w:val="30"/>
          <w:szCs w:val="30"/>
          <w:shd w:val="clear" w:color="auto" w:fill="FFFFFF"/>
        </w:rPr>
      </w:pPr>
      <w:r>
        <w:rPr>
          <w:rFonts w:ascii="方正仿宋简体" w:eastAsia="方正仿宋简体" w:cs="方正仿宋简体" w:hAnsi="方正仿宋简体" w:hint="eastAsia"/>
          <w:b/>
          <w:kern w:val="0"/>
          <w:sz w:val="30"/>
          <w:szCs w:val="30"/>
          <w:shd w:val="clear" w:color="auto" w:fill="FFFFFF"/>
        </w:rPr>
        <w:t>1.人员类项目绩效分析</w:t>
      </w:r>
    </w:p>
    <w:p>
      <w:pPr>
        <w:overflowPunct w:val="0"/>
        <w:adjustRightInd w:val="0"/>
        <w:snapToGrid w:val="0"/>
        <w:spacing w:line="540" w:lineRule="exact"/>
        <w:ind w:firstLineChars="200" w:firstLine="600"/>
        <w:rPr>
          <w:rFonts w:ascii="方正仿宋简体" w:eastAsia="方正仿宋简体" w:cs="方正仿宋简体" w:hAnsi="方正仿宋简体"/>
          <w:kern w:val="0"/>
          <w:sz w:val="30"/>
          <w:szCs w:val="30"/>
          <w:shd w:val="clear" w:color="auto" w:fill="FFFFFF"/>
        </w:rPr>
      </w:pPr>
      <w:r>
        <w:rPr>
          <w:rFonts w:ascii="方正仿宋简体" w:eastAsia="方正仿宋简体" w:cs="方正仿宋简体" w:hAnsi="方正仿宋简体" w:hint="eastAsia"/>
          <w:kern w:val="0"/>
          <w:sz w:val="30"/>
          <w:szCs w:val="30"/>
          <w:shd w:val="clear" w:color="auto" w:fill="FFFFFF"/>
        </w:rPr>
        <w:t>2022年我局按照《中华人民共和国预算法》、《预算法实施条例》、广元市利州区部门预算编制口径和要求，</w:t>
      </w:r>
      <w:r>
        <w:rPr>
          <w:rFonts w:ascii="方正仿宋简体" w:eastAsia="方正仿宋简体" w:cs="方正仿宋简体" w:hAnsi="方正仿宋简体" w:hint="eastAsia"/>
          <w:kern w:val="0"/>
          <w:sz w:val="30"/>
          <w:szCs w:val="30"/>
        </w:rPr>
        <w:t>编制人员类部门绩效目标科学合理，每月执行相关政策，保障工资和社保及时、足额发放和缴纳。</w:t>
      </w:r>
      <w:r>
        <w:rPr>
          <w:rFonts w:ascii="方正仿宋简体" w:eastAsia="方正仿宋简体" w:cs="方正仿宋简体" w:hAnsi="方正仿宋简体" w:hint="eastAsia"/>
          <w:kern w:val="0"/>
          <w:sz w:val="30"/>
          <w:szCs w:val="30"/>
          <w:shd w:val="clear" w:color="auto" w:fill="FFFFFF"/>
        </w:rPr>
        <w:t>2022年广元市利州区财政局对单位绩效运行实施了监控，未发现问题。截止2022年12月31日，单位预算执行金额为1013.44万元，预算执行率100%，2022年12月31日，部门预算资金结余金额为0万元。</w:t>
      </w:r>
    </w:p>
    <w:p>
      <w:pPr>
        <w:adjustRightInd w:val="0"/>
        <w:snapToGrid w:val="0"/>
        <w:spacing w:line="540" w:lineRule="exact"/>
        <w:ind w:firstLineChars="200" w:firstLine="640"/>
        <w:contextualSpacing/>
        <w:jc w:val="left"/>
        <w:rPr>
          <w:rFonts w:ascii="方正仿宋简体" w:eastAsia="方正仿宋简体" w:cs="方正仿宋简体" w:hAnsi="方正仿宋简体"/>
          <w:b/>
          <w:kern w:val="0"/>
          <w:sz w:val="32"/>
          <w:szCs w:val="32"/>
          <w:shd w:val="clear" w:color="auto" w:fill="FFFFFF"/>
        </w:rPr>
      </w:pPr>
      <w:r>
        <w:rPr>
          <w:rFonts w:ascii="方正仿宋简体" w:eastAsia="方正仿宋简体" w:cs="方正仿宋简体" w:hAnsi="方正仿宋简体" w:hint="eastAsia"/>
          <w:b/>
          <w:kern w:val="0"/>
          <w:sz w:val="32"/>
          <w:szCs w:val="32"/>
          <w:shd w:val="clear" w:color="auto" w:fill="FFFFFF"/>
        </w:rPr>
        <w:t>2.运转类项目绩效分析</w:t>
      </w:r>
    </w:p>
    <w:p>
      <w:pPr>
        <w:overflowPunct w:val="0"/>
        <w:adjustRightInd w:val="0"/>
        <w:snapToGrid w:val="0"/>
        <w:spacing w:line="540" w:lineRule="exact"/>
        <w:ind w:firstLineChars="200" w:firstLine="600"/>
        <w:rPr>
          <w:rFonts w:ascii="方正仿宋简体" w:eastAsia="方正仿宋简体" w:cs="方正仿宋简体" w:hAnsi="方正仿宋简体"/>
          <w:kern w:val="0"/>
          <w:sz w:val="30"/>
          <w:szCs w:val="30"/>
          <w:shd w:val="clear" w:color="auto" w:fill="FFFFFF"/>
        </w:rPr>
      </w:pPr>
      <w:r>
        <w:rPr>
          <w:rFonts w:ascii="方正仿宋简体" w:eastAsia="方正仿宋简体" w:cs="方正仿宋简体" w:hAnsi="方正仿宋简体" w:hint="eastAsia"/>
          <w:kern w:val="0"/>
          <w:sz w:val="30"/>
          <w:szCs w:val="30"/>
          <w:shd w:val="clear" w:color="auto" w:fill="FFFFFF"/>
        </w:rPr>
        <w:t>2022年我局按照《中华人民共和国预算法》、《预算法实施条例》、广元市利州区部门预算编制口径和要求，</w:t>
      </w:r>
      <w:r>
        <w:rPr>
          <w:rFonts w:ascii="方正仿宋简体" w:eastAsia="方正仿宋简体" w:cs="方正仿宋简体" w:hAnsi="方正仿宋简体" w:hint="eastAsia"/>
          <w:kern w:val="0"/>
          <w:sz w:val="30"/>
          <w:szCs w:val="30"/>
        </w:rPr>
        <w:t>本单位运转类部门绩效目标预算编制科学合理，经严谨预算，保障单位日常运转，实时支付，减少结余资金，杜绝违规发放。</w:t>
      </w:r>
      <w:r>
        <w:rPr>
          <w:rFonts w:ascii="方正仿宋简体" w:eastAsia="方正仿宋简体" w:cs="方正仿宋简体" w:hAnsi="方正仿宋简体" w:hint="eastAsia"/>
          <w:kern w:val="0"/>
          <w:sz w:val="30"/>
          <w:szCs w:val="30"/>
          <w:shd w:val="clear" w:color="auto" w:fill="FFFFFF"/>
        </w:rPr>
        <w:t>2022年广元市利州区财政局对单位绩效运行实施了监控，未发现问题。截止2022年12月31日，单位预算执行金额为77.05万元，预算执</w:t>
      </w:r>
      <w:r>
        <w:rPr>
          <w:rFonts w:ascii="方正仿宋简体" w:eastAsia="方正仿宋简体" w:cs="方正仿宋简体" w:hAnsi="方正仿宋简体" w:hint="eastAsia"/>
          <w:spacing w:val="6"/>
          <w:sz w:val="30"/>
          <w:szCs w:val="30"/>
          <w:shd w:val="clear" w:color="auto" w:fill="FFFFFF"/>
        </w:rPr>
        <w:t>行率100%，2022年12月31日，部门预算资金结余金额为0万</w:t>
      </w:r>
      <w:r>
        <w:rPr>
          <w:rFonts w:ascii="方正仿宋简体" w:eastAsia="方正仿宋简体" w:cs="方正仿宋简体" w:hAnsi="方正仿宋简体" w:hint="eastAsia"/>
          <w:kern w:val="0"/>
          <w:sz w:val="30"/>
          <w:szCs w:val="30"/>
          <w:shd w:val="clear" w:color="auto" w:fill="FFFFFF"/>
        </w:rPr>
        <w:t>元。</w:t>
      </w:r>
    </w:p>
    <w:p>
      <w:pPr>
        <w:adjustRightInd w:val="0"/>
        <w:snapToGrid w:val="0"/>
        <w:spacing w:line="540" w:lineRule="exact"/>
        <w:ind w:firstLineChars="200" w:firstLine="640"/>
        <w:contextualSpacing/>
        <w:jc w:val="left"/>
        <w:rPr>
          <w:rFonts w:ascii="方正仿宋简体" w:eastAsia="方正仿宋简体" w:cs="方正仿宋简体" w:hAnsi="方正仿宋简体"/>
          <w:b/>
          <w:kern w:val="0"/>
          <w:sz w:val="32"/>
          <w:szCs w:val="32"/>
          <w:shd w:val="clear" w:color="auto" w:fill="FFFFFF"/>
        </w:rPr>
      </w:pPr>
      <w:r>
        <w:rPr>
          <w:rFonts w:ascii="方正仿宋简体" w:eastAsia="方正仿宋简体" w:cs="方正仿宋简体" w:hAnsi="方正仿宋简体" w:hint="eastAsia"/>
          <w:b/>
          <w:kern w:val="0"/>
          <w:sz w:val="32"/>
          <w:szCs w:val="32"/>
          <w:shd w:val="clear" w:color="auto" w:fill="FFFFFF"/>
        </w:rPr>
        <w:t>3.特定目标类项目绩效分析</w:t>
      </w:r>
    </w:p>
    <w:p>
      <w:pPr>
        <w:overflowPunct w:val="0"/>
        <w:adjustRightInd w:val="0"/>
        <w:snapToGrid w:val="0"/>
        <w:spacing w:line="54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kern w:val="0"/>
          <w:sz w:val="30"/>
          <w:szCs w:val="30"/>
          <w:shd w:val="clear" w:color="auto" w:fill="FFFFFF"/>
        </w:rPr>
        <w:t>2022年我局按照《中华人民共和国预算法》、《预算法实施条例》、广元市利州区部门预算编制口径和要求，</w:t>
      </w:r>
      <w:r>
        <w:rPr>
          <w:rFonts w:ascii="方正仿宋简体" w:eastAsia="方正仿宋简体" w:cs="方正仿宋简体" w:hAnsi="方正仿宋简体" w:hint="eastAsia"/>
          <w:kern w:val="0"/>
          <w:sz w:val="30"/>
          <w:szCs w:val="30"/>
        </w:rPr>
        <w:t>本单位运转类部门绩效目标预算编制科学合理，根据项目进度实时支付，避免项目挪用情况，杜绝违规发放，减少结余资金。</w:t>
      </w:r>
      <w:r>
        <w:rPr>
          <w:rFonts w:ascii="方正仿宋简体" w:eastAsia="方正仿宋简体" w:cs="方正仿宋简体" w:hAnsi="方正仿宋简体" w:hint="eastAsia"/>
          <w:kern w:val="0"/>
          <w:sz w:val="30"/>
          <w:szCs w:val="30"/>
          <w:shd w:val="clear" w:color="auto" w:fill="FFFFFF"/>
        </w:rPr>
        <w:t>2022年广元市利州区财政局对单位绩效运行实施了监控，未发现问题。截止2022年12月31日，单位预算执行金额为1549.16万元，预算执行率100%，2022年12月31日，部门预算资金结余金额为0万元。</w:t>
      </w:r>
    </w:p>
    <w:p>
      <w:pPr>
        <w:adjustRightInd w:val="0"/>
        <w:snapToGrid w:val="0"/>
        <w:spacing w:line="540" w:lineRule="exact"/>
        <w:ind w:firstLineChars="200" w:firstLine="640"/>
        <w:contextualSpacing/>
        <w:jc w:val="left"/>
        <w:rPr>
          <w:rFonts w:ascii="方正仿宋简体" w:eastAsia="方正仿宋简体" w:cs="方正仿宋简体" w:hAnsi="方正仿宋简体"/>
          <w:b/>
          <w:color w:val="000000"/>
          <w:kern w:val="0"/>
          <w:sz w:val="32"/>
          <w:szCs w:val="32"/>
          <w:shd w:val="clear" w:color="auto" w:fill="FFFFFF"/>
          <w:lang w:val="zh-CN"/>
        </w:rPr>
      </w:pPr>
      <w:r>
        <w:rPr>
          <w:rFonts w:ascii="方正仿宋简体" w:eastAsia="方正仿宋简体" w:cs="方正仿宋简体" w:hAnsi="方正仿宋简体" w:hint="eastAsia"/>
          <w:b/>
          <w:color w:val="000000"/>
          <w:kern w:val="0"/>
          <w:sz w:val="32"/>
          <w:szCs w:val="32"/>
          <w:shd w:val="clear" w:color="auto" w:fill="FFFFFF"/>
          <w:lang w:val="zh-CN"/>
        </w:rPr>
        <w:t>（一）部门整体履职绩效分析。</w:t>
      </w:r>
    </w:p>
    <w:p>
      <w:pPr>
        <w:adjustRightInd w:val="0"/>
        <w:snapToGrid w:val="0"/>
        <w:spacing w:line="540" w:lineRule="exact"/>
        <w:ind w:firstLineChars="200" w:firstLine="600"/>
        <w:contextualSpacing/>
        <w:jc w:val="left"/>
        <w:rPr>
          <w:rFonts w:ascii="方正仿宋简体" w:eastAsia="方正仿宋简体" w:cs="方正仿宋简体" w:hAnsi="方正仿宋简体"/>
          <w:color w:val="000000"/>
          <w:kern w:val="0"/>
          <w:sz w:val="30"/>
          <w:szCs w:val="30"/>
          <w:shd w:val="clear" w:color="auto" w:fill="FFFFFF"/>
          <w:lang w:val="zh-CN"/>
        </w:rPr>
      </w:pPr>
      <w:r>
        <w:rPr>
          <w:rFonts w:ascii="方正仿宋简体" w:eastAsia="方正仿宋简体" w:cs="方正仿宋简体" w:hAnsi="方正仿宋简体" w:hint="eastAsia"/>
          <w:color w:val="000000"/>
          <w:kern w:val="0"/>
          <w:sz w:val="30"/>
          <w:szCs w:val="30"/>
          <w:shd w:val="clear" w:color="auto" w:fill="FFFFFF"/>
          <w:lang w:val="zh-CN"/>
        </w:rPr>
        <w:t>围绕部门整体绩效目标完成情况和部门履职情况进行绩效分析。</w:t>
      </w:r>
    </w:p>
    <w:p>
      <w:pPr>
        <w:adjustRightInd w:val="0"/>
        <w:snapToGrid w:val="0"/>
        <w:spacing w:line="540" w:lineRule="exact"/>
        <w:ind w:firstLineChars="200" w:firstLine="640"/>
        <w:contextualSpacing/>
        <w:jc w:val="left"/>
        <w:rPr>
          <w:rFonts w:ascii="方正仿宋简体" w:eastAsia="方正仿宋简体" w:cs="方正仿宋简体" w:hAnsi="方正仿宋简体"/>
          <w:b/>
          <w:color w:val="000000"/>
          <w:kern w:val="0"/>
          <w:sz w:val="32"/>
          <w:szCs w:val="32"/>
          <w:shd w:val="clear" w:color="auto" w:fill="FFFFFF"/>
          <w:lang w:val="zh-CN"/>
        </w:rPr>
      </w:pPr>
      <w:r>
        <w:rPr>
          <w:rFonts w:ascii="方正仿宋简体" w:eastAsia="方正仿宋简体" w:cs="方正仿宋简体" w:hAnsi="方正仿宋简体" w:hint="eastAsia"/>
          <w:b/>
          <w:color w:val="000000"/>
          <w:kern w:val="0"/>
          <w:sz w:val="32"/>
          <w:szCs w:val="32"/>
          <w:shd w:val="clear" w:color="auto" w:fill="FFFFFF"/>
          <w:lang w:val="zh-CN"/>
        </w:rPr>
        <w:t>（二）结果应用情况。</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 xml:space="preserve">各项专项资金保证了工作正常有序的推进，通过监测、调查对工作实施效果和存在的问题有效梳理和解决，举一反三为各项工作打好坚实的基础。 </w:t>
      </w:r>
    </w:p>
    <w:p>
      <w:pPr>
        <w:pStyle w:val="15"/>
        <w:adjustRightInd w:val="0"/>
        <w:snapToGrid w:val="0"/>
        <w:spacing w:beforeLines="0" w:before="30" w:line="540" w:lineRule="exact"/>
        <w:ind w:firstLineChars="200" w:firstLine="640"/>
        <w:rPr>
          <w:rFonts w:ascii="方正仿宋简体" w:eastAsia="方正仿宋简体" w:cs="方正仿宋简体" w:hAnsi="方正仿宋简体"/>
          <w:b/>
          <w:sz w:val="32"/>
          <w:szCs w:val="32"/>
        </w:rPr>
      </w:pPr>
      <w:r>
        <w:rPr>
          <w:rFonts w:ascii="方正仿宋简体" w:eastAsia="方正仿宋简体" w:cs="方正仿宋简体" w:hAnsi="方正仿宋简体" w:hint="eastAsia"/>
          <w:b/>
          <w:color w:val="000000"/>
          <w:sz w:val="32"/>
          <w:szCs w:val="32"/>
          <w:shd w:val="clear" w:color="auto" w:fill="FFFFFF"/>
          <w:lang w:val="zh-CN"/>
        </w:rPr>
        <w:t>（三）自评质量。</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对照《2022年区级部门整体支出绩效评价指标体系》，严格按照计分标准对本部门2022年度整体支出情况开展自评，自评得分93.76分。</w:t>
      </w:r>
    </w:p>
    <w:p>
      <w:pPr>
        <w:adjustRightInd w:val="0"/>
        <w:snapToGrid w:val="0"/>
        <w:spacing w:line="540" w:lineRule="exact"/>
        <w:ind w:firstLineChars="200" w:firstLine="640"/>
        <w:contextualSpacing/>
        <w:jc w:val="left"/>
        <w:rPr>
          <w:rFonts w:ascii="方正仿宋简体" w:eastAsia="方正仿宋简体" w:cs="方正仿宋简体" w:hAnsi="方正仿宋简体"/>
          <w:b/>
          <w:color w:val="000000"/>
          <w:kern w:val="0"/>
          <w:sz w:val="32"/>
          <w:szCs w:val="32"/>
          <w:shd w:val="clear" w:color="auto" w:fill="FFFFFF"/>
        </w:rPr>
      </w:pPr>
      <w:r>
        <w:rPr>
          <w:rFonts w:ascii="方正仿宋简体" w:eastAsia="方正仿宋简体" w:cs="方正仿宋简体" w:hAnsi="方正仿宋简体" w:hint="eastAsia"/>
          <w:b/>
          <w:color w:val="000000"/>
          <w:kern w:val="0"/>
          <w:sz w:val="32"/>
          <w:szCs w:val="32"/>
          <w:shd w:val="clear" w:color="auto" w:fill="FFFFFF"/>
        </w:rPr>
        <w:t>四、评价结论及建议</w:t>
      </w:r>
    </w:p>
    <w:p>
      <w:pPr>
        <w:adjustRightInd w:val="0"/>
        <w:snapToGrid w:val="0"/>
        <w:spacing w:line="540" w:lineRule="exact"/>
        <w:ind w:firstLineChars="200" w:firstLine="600"/>
        <w:contextualSpacing/>
        <w:jc w:val="left"/>
        <w:rPr>
          <w:rFonts w:ascii="方正仿宋简体" w:eastAsia="方正仿宋简体" w:cs="方正仿宋简体" w:hAnsi="方正仿宋简体"/>
          <w:b/>
          <w:color w:val="000000"/>
          <w:kern w:val="0"/>
          <w:sz w:val="30"/>
          <w:szCs w:val="30"/>
          <w:shd w:val="clear" w:color="auto" w:fill="FFFFFF"/>
          <w:lang w:val="zh-CN"/>
        </w:rPr>
      </w:pPr>
      <w:r>
        <w:rPr>
          <w:rFonts w:ascii="方正仿宋简体" w:eastAsia="方正仿宋简体" w:cs="方正仿宋简体" w:hAnsi="方正仿宋简体" w:hint="eastAsia"/>
          <w:b/>
          <w:color w:val="000000"/>
          <w:kern w:val="0"/>
          <w:sz w:val="30"/>
          <w:szCs w:val="30"/>
          <w:shd w:val="clear" w:color="auto" w:fill="FFFFFF"/>
          <w:lang w:val="zh-CN"/>
        </w:rPr>
        <w:t>（一）评价结论。</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本部门按要求对2022年部门整体支出开展绩效自评，从评价情况来看项目完成、项目效益、满意度等方面绩效指标完成情况良好。</w:t>
      </w:r>
    </w:p>
    <w:p>
      <w:pPr>
        <w:adjustRightInd w:val="0"/>
        <w:snapToGrid w:val="0"/>
        <w:spacing w:line="540" w:lineRule="exact"/>
        <w:ind w:firstLineChars="200" w:firstLine="600"/>
        <w:contextualSpacing/>
        <w:jc w:val="left"/>
        <w:rPr>
          <w:rFonts w:ascii="方正仿宋简体" w:eastAsia="方正仿宋简体" w:cs="方正仿宋简体" w:hAnsi="方正仿宋简体"/>
          <w:b/>
          <w:color w:val="000000"/>
          <w:kern w:val="0"/>
          <w:sz w:val="30"/>
          <w:szCs w:val="30"/>
          <w:shd w:val="clear" w:color="auto" w:fill="FFFFFF"/>
          <w:lang w:val="zh-CN"/>
        </w:rPr>
      </w:pPr>
      <w:r>
        <w:rPr>
          <w:rFonts w:ascii="方正仿宋简体" w:eastAsia="方正仿宋简体" w:cs="方正仿宋简体" w:hAnsi="方正仿宋简体" w:hint="eastAsia"/>
          <w:b/>
          <w:color w:val="000000"/>
          <w:kern w:val="0"/>
          <w:sz w:val="30"/>
          <w:szCs w:val="30"/>
          <w:shd w:val="clear" w:color="auto" w:fill="FFFFFF"/>
          <w:lang w:val="zh-CN"/>
        </w:rPr>
        <w:t>（二）存在问题。</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1.个别项目指标未细化量化，未明确预期工作目标，缺乏可考核性；</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2.部门整体支出绩效自评质量有待提高；</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2"/>
        </w:rPr>
      </w:pPr>
      <w:r>
        <w:rPr>
          <w:rFonts w:ascii="方正仿宋简体" w:eastAsia="方正仿宋简体" w:cs="方正仿宋简体" w:hAnsi="方正仿宋简体" w:hint="eastAsia"/>
          <w:szCs w:val="30"/>
        </w:rPr>
        <w:t>3.在绩效目标三级指标“量化细化”的编制上还需进一步</w:t>
      </w:r>
      <w:r>
        <w:rPr>
          <w:rFonts w:ascii="方正仿宋简体" w:eastAsia="方正仿宋简体" w:cs="方正仿宋简体" w:hAnsi="方正仿宋简体" w:hint="eastAsia"/>
          <w:szCs w:val="32"/>
        </w:rPr>
        <w:t>完善。</w:t>
      </w:r>
    </w:p>
    <w:p>
      <w:pPr>
        <w:adjustRightInd w:val="0"/>
        <w:snapToGrid w:val="0"/>
        <w:spacing w:line="540" w:lineRule="exact"/>
        <w:ind w:firstLineChars="200" w:firstLine="600"/>
        <w:contextualSpacing/>
        <w:jc w:val="left"/>
        <w:rPr>
          <w:rFonts w:ascii="方正仿宋简体" w:eastAsia="方正仿宋简体" w:cs="方正仿宋简体" w:hAnsi="方正仿宋简体"/>
          <w:b/>
          <w:color w:val="000000"/>
          <w:kern w:val="0"/>
          <w:sz w:val="30"/>
          <w:szCs w:val="30"/>
          <w:shd w:val="clear" w:color="auto" w:fill="FFFFFF"/>
          <w:lang w:val="zh-CN"/>
        </w:rPr>
      </w:pPr>
      <w:r>
        <w:rPr>
          <w:rFonts w:ascii="方正仿宋简体" w:eastAsia="方正仿宋简体" w:cs="方正仿宋简体" w:hAnsi="方正仿宋简体" w:hint="eastAsia"/>
          <w:b/>
          <w:color w:val="000000"/>
          <w:kern w:val="0"/>
          <w:sz w:val="30"/>
          <w:szCs w:val="30"/>
          <w:shd w:val="clear" w:color="auto" w:fill="FFFFFF"/>
          <w:lang w:val="zh-CN"/>
        </w:rPr>
        <w:t>（三）改进建议。</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1．进一步强化绩效管理意识，提高绩效目标编报质量。</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2．加强预算绩效管理制度及新预算法学习培训。</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3.强化预算编制执行能力，提高预算管理水平。</w:t>
      </w:r>
    </w:p>
    <w:p>
      <w:pPr>
        <w:pStyle w:val="15"/>
        <w:adjustRightInd w:val="0"/>
        <w:snapToGrid w:val="0"/>
        <w:spacing w:beforeLines="0" w:before="30" w:line="540" w:lineRule="exact"/>
        <w:ind w:firstLineChars="200" w:firstLine="600"/>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4.建议区财政局组织绩效评价方面的业务培训与指导工作。</w:t>
      </w:r>
    </w:p>
    <w:p>
      <w:pPr>
        <w:pStyle w:val="15"/>
        <w:adjustRightInd w:val="0"/>
        <w:snapToGrid w:val="0"/>
        <w:spacing w:beforeLines="0" w:before="30" w:line="540" w:lineRule="exact"/>
        <w:rPr>
          <w:rFonts w:ascii="方正仿宋简体" w:eastAsia="方正仿宋简体" w:cs="方正仿宋简体" w:hAnsi="方正仿宋简体"/>
          <w:szCs w:val="30"/>
        </w:rPr>
      </w:pPr>
    </w:p>
    <w:p>
      <w:pPr>
        <w:pStyle w:val="15"/>
        <w:adjustRightInd w:val="0"/>
        <w:snapToGrid w:val="0"/>
        <w:spacing w:beforeLines="0" w:before="30" w:line="540" w:lineRule="exact"/>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 xml:space="preserve">                         广元市利州区应急管理局</w:t>
      </w:r>
    </w:p>
    <w:p>
      <w:pPr>
        <w:pStyle w:val="15"/>
        <w:adjustRightInd w:val="0"/>
        <w:snapToGrid w:val="0"/>
        <w:spacing w:beforeLines="0" w:before="30" w:line="540" w:lineRule="exact"/>
        <w:ind w:firstLineChars="1500" w:firstLine="4500"/>
        <w:rPr>
          <w:rFonts w:ascii="方正仿宋简体" w:eastAsia="方正仿宋简体" w:cs="方正仿宋简体" w:hAnsi="方正仿宋简体"/>
          <w:szCs w:val="30"/>
        </w:rPr>
      </w:pPr>
      <w:r>
        <w:rPr>
          <w:rFonts w:ascii="方正仿宋简体" w:eastAsia="方正仿宋简体" w:cs="方正仿宋简体" w:hAnsi="方正仿宋简体" w:hint="eastAsia"/>
          <w:szCs w:val="30"/>
        </w:rPr>
        <w:t>2023年5月4日</w:t>
      </w:r>
    </w:p>
    <w:p>
      <w:pPr>
        <w:pStyle w:val="15"/>
        <w:spacing w:beforeLines="0" w:before="30" w:line="540" w:lineRule="exact"/>
        <w:rPr>
          <w:rFonts w:ascii="方正仿宋简体" w:eastAsia="方正仿宋简体" w:cs="方正仿宋简体" w:hAnsi="方正仿宋简体"/>
          <w:sz w:val="32"/>
          <w:szCs w:val="32"/>
          <w:shd w:val="clear" w:color="auto" w:fill="FFFFFF"/>
          <w:lang w:val="zh-CN"/>
        </w:rPr>
      </w:pPr>
    </w:p>
    <w:p>
      <w:pPr>
        <w:pStyle w:val="15"/>
        <w:spacing w:beforeLines="0" w:before="30" w:line="540" w:lineRule="exact"/>
        <w:rPr>
          <w:rFonts w:ascii="方正仿宋简体" w:eastAsia="方正仿宋简体" w:cs="方正仿宋简体" w:hAnsi="方正仿宋简体"/>
          <w:sz w:val="32"/>
          <w:szCs w:val="32"/>
          <w:shd w:val="clear" w:color="auto" w:fill="FFFFFF"/>
          <w:lang w:val="zh-CN"/>
        </w:rPr>
      </w:pPr>
    </w:p>
    <w:p>
      <w:pPr>
        <w:pStyle w:val="15"/>
        <w:spacing w:beforeLines="0" w:before="30" w:line="540" w:lineRule="exact"/>
        <w:rPr>
          <w:rFonts w:ascii="方正仿宋简体" w:eastAsia="方正仿宋简体" w:cs="方正仿宋简体" w:hAnsi="方正仿宋简体"/>
          <w:sz w:val="32"/>
          <w:szCs w:val="32"/>
          <w:shd w:val="clear" w:color="auto" w:fill="FFFFFF"/>
          <w:lang w:val="zh-CN"/>
        </w:rPr>
      </w:pPr>
    </w:p>
    <w:p>
      <w:pPr>
        <w:pStyle w:val="15"/>
        <w:spacing w:beforeLines="0" w:before="30" w:line="540" w:lineRule="exact"/>
        <w:rPr>
          <w:rFonts w:ascii="方正仿宋简体" w:eastAsia="方正仿宋简体" w:cs="方正仿宋简体" w:hAnsi="方正仿宋简体"/>
          <w:sz w:val="32"/>
          <w:szCs w:val="32"/>
          <w:shd w:val="clear" w:color="auto" w:fill="FFFFFF"/>
          <w:lang w:val="zh-CN"/>
        </w:rPr>
      </w:pPr>
    </w:p>
    <w:p>
      <w:pPr>
        <w:pStyle w:val="38"/>
        <w:spacing w:line="576" w:lineRule="exact"/>
        <w:jc w:val="center"/>
        <w:rPr>
          <w:rFonts w:ascii="方正小标宋简体" w:eastAsia="方正小标宋简体" w:cs="方正小标宋简体" w:hAnsi="方正小标宋简体"/>
          <w:color w:val="auto"/>
          <w:kern w:val="2"/>
          <w:sz w:val="44"/>
          <w:szCs w:val="44"/>
        </w:rPr>
      </w:pPr>
      <w:r>
        <w:rPr>
          <w:rFonts w:ascii="方正小标宋简体" w:eastAsia="方正小标宋简体" w:cs="方正小标宋简体" w:hAnsi="方正小标宋简体"/>
          <w:color w:val="auto"/>
          <w:kern w:val="2"/>
          <w:sz w:val="44"/>
          <w:szCs w:val="44"/>
          <w:lang w:val="en-US"/>
        </w:rPr>
        <w:t>202</w:t>
      </w:r>
      <w:r>
        <w:rPr>
          <w:rFonts w:ascii="方正小标宋简体" w:eastAsia="方正小标宋简体" w:cs="方正小标宋简体" w:hAnsi="方正小标宋简体" w:hint="eastAsia"/>
          <w:color w:val="auto"/>
          <w:kern w:val="2"/>
          <w:sz w:val="44"/>
          <w:szCs w:val="44"/>
          <w:lang w:val="en-US"/>
        </w:rPr>
        <w:t>2年</w:t>
      </w:r>
      <w:r>
        <w:rPr>
          <w:rFonts w:ascii="方正小标宋简体" w:eastAsia="方正小标宋简体" w:cs="方正小标宋简体" w:hAnsi="方正小标宋简体" w:hint="eastAsia"/>
          <w:color w:val="auto"/>
          <w:kern w:val="2"/>
          <w:sz w:val="44"/>
          <w:szCs w:val="44"/>
        </w:rPr>
        <w:t>专项资金预算项目支出绩效</w:t>
      </w:r>
    </w:p>
    <w:p>
      <w:pPr>
        <w:pStyle w:val="38"/>
        <w:spacing w:line="576" w:lineRule="exact"/>
        <w:jc w:val="center"/>
        <w:rPr>
          <w:rFonts w:ascii="方正小标宋简体" w:eastAsia="方正小标宋简体" w:cs="方正小标宋简体" w:hAnsi="方正小标宋简体"/>
          <w:color w:val="auto"/>
          <w:kern w:val="2"/>
          <w:sz w:val="44"/>
          <w:szCs w:val="44"/>
        </w:rPr>
      </w:pPr>
      <w:r>
        <w:rPr>
          <w:rFonts w:ascii="方正小标宋简体" w:eastAsia="方正小标宋简体" w:cs="方正小标宋简体" w:hAnsi="方正小标宋简体" w:hint="eastAsia"/>
          <w:color w:val="auto"/>
          <w:kern w:val="2"/>
          <w:sz w:val="44"/>
          <w:szCs w:val="44"/>
        </w:rPr>
        <w:t>自评报告（冬春救助）</w:t>
      </w:r>
    </w:p>
    <w:p>
      <w:pPr>
        <w:pStyle w:val="38"/>
        <w:spacing w:line="578" w:lineRule="exact"/>
        <w:ind w:firstLine="640"/>
        <w:jc w:val="center"/>
        <w:rPr>
          <w:rFonts w:ascii="方正仿宋简体" w:eastAsia="方正仿宋简体" w:cs="方正仿宋简体" w:hAnsi="方正仿宋简体"/>
          <w:color w:val="C00000"/>
          <w:kern w:val="2"/>
          <w:sz w:val="32"/>
          <w:szCs w:val="32"/>
        </w:rPr>
      </w:pPr>
    </w:p>
    <w:p>
      <w:pPr>
        <w:adjustRightInd w:val="0"/>
        <w:snapToGrid w:val="0"/>
        <w:spacing w:line="576" w:lineRule="exact"/>
        <w:ind w:firstLine="72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lang w:val="zh-CN"/>
        </w:rPr>
        <w:t>一、项目概况</w:t>
      </w:r>
    </w:p>
    <w:p>
      <w:pPr>
        <w:adjustRightInd w:val="0"/>
        <w:snapToGrid w:val="0"/>
        <w:spacing w:line="576" w:lineRule="exact"/>
        <w:ind w:firstLine="720"/>
        <w:rPr>
          <w:rFonts w:ascii="方正仿宋简体" w:eastAsia="方正仿宋简体" w:cs="方正仿宋简体" w:hAnsi="方正仿宋简体"/>
          <w:b/>
          <w:sz w:val="32"/>
          <w:szCs w:val="32"/>
          <w:lang w:val="zh-CN"/>
        </w:rPr>
      </w:pPr>
      <w:r>
        <w:rPr>
          <w:rFonts w:ascii="方正仿宋简体" w:eastAsia="方正仿宋简体" w:cs="方正仿宋简体" w:hAnsi="方正仿宋简体" w:hint="eastAsia"/>
          <w:b/>
          <w:sz w:val="32"/>
          <w:szCs w:val="32"/>
          <w:lang w:val="zh-CN"/>
        </w:rPr>
        <w:t>（一）项目基本情况</w:t>
      </w:r>
    </w:p>
    <w:p>
      <w:pPr>
        <w:adjustRightInd w:val="0"/>
        <w:snapToGrid w:val="0"/>
        <w:spacing w:line="576" w:lineRule="exact"/>
        <w:ind w:firstLine="72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1．说明项目主管部门（单位）在该项目管理中的职能。</w:t>
      </w:r>
    </w:p>
    <w:p>
      <w:pPr>
        <w:tabs>
          <w:tab w:val="left" w:pos="0"/>
        </w:tabs>
        <w:adjustRightInd w:val="0"/>
        <w:snapToGrid w:val="0"/>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冬春救助是区应急管理局自然灾害救助工作的重要组成部分，是保障受灾群众基本生活的重要举措，是坚决兜住民生底线的具体行动。</w:t>
      </w:r>
    </w:p>
    <w:p>
      <w:pPr>
        <w:adjustRightInd w:val="0"/>
        <w:snapToGrid w:val="0"/>
        <w:spacing w:line="576" w:lineRule="exact"/>
        <w:ind w:firstLine="72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2．项目立项、资金申报的依据。</w:t>
      </w:r>
    </w:p>
    <w:p>
      <w:pPr>
        <w:tabs>
          <w:tab w:val="left" w:pos="0"/>
        </w:tabs>
        <w:adjustRightInd w:val="0"/>
        <w:snapToGrid w:val="0"/>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党中央、国务院高度重视受灾群众基本生活保障工作，习近平总书记多次就做好防灾减灾救灾工作、确保受灾群众基本生活作出重要指示，李克强总理主持召开国务院常务会议，要求提前做好保障受灾群众安全温暖过冬的工作。为认真贯彻党中央、国务院领导重要指示精神和省委、省政府领导批示要求，结合应急管理部、财政部关于做好冬春救助工作要求，确保受灾群众安全、温暖过冬过节。</w:t>
      </w:r>
    </w:p>
    <w:p>
      <w:pPr>
        <w:adjustRightInd w:val="0"/>
        <w:snapToGrid w:val="0"/>
        <w:spacing w:line="576" w:lineRule="exact"/>
        <w:ind w:firstLine="72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3．资金管理办法制定情况，资金支持具体项目的条件、范围与支持方式概况。</w:t>
      </w:r>
    </w:p>
    <w:p>
      <w:pPr>
        <w:tabs>
          <w:tab w:val="left" w:pos="0"/>
        </w:tabs>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rPr>
        <w:t>我局按照“分类救助、重点救助”原则，主要支持受灾群众冬春期间口粮、饮水、衣被、取暖等基本生活救助，经省应急厅“一卡通”审批系统“户报、村评、乡审、县定”的救助程序，全部通过“一卡通”发放系统直接发放给受灾群众手中。</w:t>
      </w:r>
    </w:p>
    <w:p>
      <w:pPr>
        <w:adjustRightInd w:val="0"/>
        <w:snapToGrid w:val="0"/>
        <w:spacing w:line="576" w:lineRule="exact"/>
        <w:ind w:firstLine="72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4．资金分配的原则及考虑因素。</w:t>
      </w:r>
    </w:p>
    <w:p>
      <w:pPr>
        <w:tabs>
          <w:tab w:val="left" w:pos="0"/>
        </w:tabs>
        <w:adjustRightInd w:val="0"/>
        <w:snapToGrid w:val="0"/>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我局结合受灾乡镇（街道）灾情数据、受灾程度、人口数等制定了分配方案，并经区政府领导签批同意，及时印发了</w:t>
      </w:r>
      <w:r>
        <w:rPr>
          <w:rFonts w:ascii="方正仿宋简体" w:eastAsia="方正仿宋简体" w:cs="方正仿宋简体" w:hAnsi="方正仿宋简体" w:hint="eastAsia"/>
          <w:sz w:val="32"/>
          <w:szCs w:val="32"/>
          <w:lang w:val="zh-CN"/>
        </w:rPr>
        <w:t>《关于下达202</w:t>
      </w: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zh-CN"/>
        </w:rPr>
        <w:t>年中省自然灾害救灾资金（冬春临时生活困难救助）的通知》（广利应急〔202</w:t>
      </w:r>
      <w:r>
        <w:rPr>
          <w:rFonts w:ascii="方正仿宋简体" w:eastAsia="方正仿宋简体" w:cs="方正仿宋简体" w:hAnsi="方正仿宋简体" w:hint="eastAsia"/>
          <w:sz w:val="32"/>
          <w:szCs w:val="32"/>
        </w:rPr>
        <w:t>3</w:t>
      </w:r>
      <w:r>
        <w:rPr>
          <w:rFonts w:ascii="方正仿宋简体" w:eastAsia="方正仿宋简体" w:cs="方正仿宋简体" w:hAnsi="方正仿宋简体" w:hint="eastAsia"/>
          <w:sz w:val="32"/>
          <w:szCs w:val="32"/>
          <w:lang w:val="zh-CN"/>
        </w:rPr>
        <w:t>〕</w:t>
      </w: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sz w:val="32"/>
          <w:szCs w:val="32"/>
          <w:lang w:val="zh-CN"/>
        </w:rPr>
        <w:t>号）</w:t>
      </w:r>
      <w:r>
        <w:rPr>
          <w:rFonts w:ascii="方正仿宋简体" w:eastAsia="方正仿宋简体" w:cs="方正仿宋简体" w:hAnsi="方正仿宋简体" w:hint="eastAsia"/>
          <w:sz w:val="32"/>
          <w:szCs w:val="32"/>
        </w:rPr>
        <w:t>文件，将冬春救助资金662万元全部分配给14个乡镇（街道）。</w:t>
      </w:r>
    </w:p>
    <w:p>
      <w:pPr>
        <w:adjustRightInd w:val="0"/>
        <w:snapToGrid w:val="0"/>
        <w:spacing w:line="578" w:lineRule="exact"/>
        <w:ind w:firstLine="720"/>
        <w:rPr>
          <w:rFonts w:ascii="方正仿宋简体" w:eastAsia="方正仿宋简体" w:cs="方正仿宋简体" w:hAnsi="方正仿宋简体"/>
          <w:b/>
          <w:sz w:val="32"/>
          <w:szCs w:val="32"/>
          <w:lang w:val="zh-CN"/>
        </w:rPr>
      </w:pPr>
      <w:r>
        <w:rPr>
          <w:rFonts w:ascii="方正仿宋简体" w:eastAsia="方正仿宋简体" w:cs="方正仿宋简体" w:hAnsi="方正仿宋简体" w:hint="eastAsia"/>
          <w:b/>
          <w:sz w:val="32"/>
          <w:szCs w:val="32"/>
          <w:lang w:val="zh-CN"/>
        </w:rPr>
        <w:t>（二）项目绩效目标。</w:t>
      </w:r>
    </w:p>
    <w:p>
      <w:pPr>
        <w:tabs>
          <w:tab w:val="left" w:pos="0"/>
        </w:tabs>
        <w:adjustRightInd w:val="0"/>
        <w:snapToGrid w:val="0"/>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我局2022-2023年冬春救助绩效目标建立工作有计划、实施有方案、日常有监督的管理机制，工作取得较好的成效，效能得到提高、获得社会公众的好评。</w:t>
      </w:r>
    </w:p>
    <w:p>
      <w:pPr>
        <w:adjustRightInd w:val="0"/>
        <w:snapToGrid w:val="0"/>
        <w:spacing w:line="576" w:lineRule="exact"/>
        <w:ind w:firstLine="720"/>
        <w:rPr>
          <w:rFonts w:ascii="方正仿宋简体" w:eastAsia="方正仿宋简体" w:cs="方正仿宋简体" w:hAnsi="方正仿宋简体"/>
          <w:b/>
          <w:sz w:val="32"/>
          <w:szCs w:val="32"/>
          <w:lang w:val="zh-CN"/>
        </w:rPr>
      </w:pPr>
      <w:r>
        <w:rPr>
          <w:rFonts w:ascii="方正仿宋简体" w:eastAsia="方正仿宋简体" w:cs="方正仿宋简体" w:hAnsi="方正仿宋简体" w:hint="eastAsia"/>
          <w:b/>
          <w:sz w:val="32"/>
          <w:szCs w:val="32"/>
          <w:lang w:val="zh-CN"/>
        </w:rPr>
        <w:t>（三）项目自评步骤及方法</w:t>
      </w:r>
    </w:p>
    <w:p>
      <w:pPr>
        <w:adjustRightInd w:val="0"/>
        <w:snapToGrid w:val="0"/>
        <w:spacing w:line="576" w:lineRule="exact"/>
        <w:ind w:firstLine="7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该项目事前绩效评估、事后绩效评价。</w:t>
      </w:r>
    </w:p>
    <w:p>
      <w:pPr>
        <w:adjustRightInd w:val="0"/>
        <w:snapToGrid w:val="0"/>
        <w:spacing w:line="576" w:lineRule="exact"/>
        <w:ind w:firstLine="72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lang w:val="zh-CN"/>
        </w:rPr>
        <w:t>二、项目资金申报及使用情况</w:t>
      </w:r>
    </w:p>
    <w:p>
      <w:pPr>
        <w:adjustRightInd w:val="0"/>
        <w:snapToGrid w:val="0"/>
        <w:spacing w:line="576" w:lineRule="exact"/>
        <w:ind w:firstLine="720"/>
        <w:rPr>
          <w:rFonts w:ascii="方正仿宋简体" w:eastAsia="方正仿宋简体" w:cs="方正仿宋简体" w:hAnsi="方正仿宋简体"/>
          <w:b/>
          <w:sz w:val="32"/>
          <w:szCs w:val="32"/>
          <w:lang w:val="zh-CN"/>
        </w:rPr>
      </w:pPr>
      <w:r>
        <w:rPr>
          <w:rFonts w:ascii="方正仿宋简体" w:eastAsia="方正仿宋简体" w:cs="方正仿宋简体" w:hAnsi="方正仿宋简体" w:hint="eastAsia"/>
          <w:b/>
          <w:sz w:val="32"/>
          <w:szCs w:val="32"/>
          <w:lang w:val="zh-CN"/>
        </w:rPr>
        <w:t>（一）项目资金申报及批复情况</w:t>
      </w:r>
    </w:p>
    <w:p>
      <w:pPr>
        <w:adjustRightInd w:val="0"/>
        <w:snapToGrid w:val="0"/>
        <w:spacing w:line="576" w:lineRule="exact"/>
        <w:ind w:firstLine="7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2022年9月，我区组织各乡镇（街道）对冬春需救助人员进行了摸排，对冬春期间需救助群众分类建档，登记造册，并积极向上申报冬春救助资金。2022年12月底，上级部门下达给我区冬春救助资金662万元。</w:t>
      </w:r>
    </w:p>
    <w:p>
      <w:pPr>
        <w:adjustRightInd w:val="0"/>
        <w:snapToGrid w:val="0"/>
        <w:spacing w:line="576" w:lineRule="exact"/>
        <w:ind w:firstLine="720"/>
        <w:rPr>
          <w:rFonts w:ascii="方正仿宋简体" w:eastAsia="方正仿宋简体" w:cs="方正仿宋简体" w:hAnsi="方正仿宋简体"/>
          <w:b/>
          <w:sz w:val="32"/>
          <w:szCs w:val="32"/>
          <w:lang w:val="zh-CN"/>
        </w:rPr>
      </w:pPr>
      <w:r>
        <w:rPr>
          <w:rFonts w:ascii="方正仿宋简体" w:eastAsia="方正仿宋简体" w:cs="方正仿宋简体" w:hAnsi="方正仿宋简体" w:hint="eastAsia"/>
          <w:b/>
          <w:sz w:val="32"/>
          <w:szCs w:val="32"/>
          <w:lang w:val="zh-CN"/>
        </w:rPr>
        <w:t>（二）资金到位及使用情况</w:t>
      </w:r>
    </w:p>
    <w:p>
      <w:pPr>
        <w:adjustRightInd w:val="0"/>
        <w:snapToGrid w:val="0"/>
        <w:spacing w:line="576" w:lineRule="exact"/>
        <w:ind w:firstLine="7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冬春救助到位资金662万元。我区按照“户报、村评、乡审、县定”的程序，受灾群众通过省应急管理厅“一卡通”审批系统申报，区应急局通过“一卡通”发放系统于2023年春节前将冬春救助资金全部发放给受灾困难群众，共计救助17059户43751人。</w:t>
      </w:r>
    </w:p>
    <w:p>
      <w:pPr>
        <w:adjustRightInd w:val="0"/>
        <w:snapToGrid w:val="0"/>
        <w:spacing w:line="576" w:lineRule="exact"/>
        <w:ind w:firstLine="72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lang w:val="zh-CN"/>
        </w:rPr>
        <w:t>三、项目实施及管理情况</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rPr>
        <w:t>我区召开了冬春救助工作推进会，制定了冬春救助资金分配方案，组织机构健全，职责分工明确，积极配合审计部门和纪检监察机构等的监督检查，主动公开相关信息，接受社会公众和新闻媒体监督。</w:t>
      </w:r>
    </w:p>
    <w:p>
      <w:pPr>
        <w:adjustRightInd w:val="0"/>
        <w:snapToGrid w:val="0"/>
        <w:spacing w:line="576" w:lineRule="exact"/>
        <w:ind w:firstLine="72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lang w:val="zh-CN"/>
        </w:rPr>
        <w:t>四、评价结论</w:t>
      </w:r>
    </w:p>
    <w:p>
      <w:pPr>
        <w:tabs>
          <w:tab w:val="left" w:pos="0"/>
        </w:tabs>
        <w:adjustRightInd w:val="0"/>
        <w:snapToGrid w:val="0"/>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该项目能够保障灾区群众冬春期间口粮、衣被、取暖等基本生活救助，确保了冬春期间受灾困难群众生活正常有序地进行，维护社会稳定。</w:t>
      </w:r>
    </w:p>
    <w:p>
      <w:pPr>
        <w:tabs>
          <w:tab w:val="left" w:pos="0"/>
        </w:tabs>
        <w:adjustRightInd w:val="0"/>
        <w:snapToGrid w:val="0"/>
        <w:spacing w:line="576" w:lineRule="exact"/>
        <w:ind w:firstLineChars="1400" w:firstLine="4480"/>
        <w:rPr>
          <w:rFonts w:ascii="方正仿宋简体" w:eastAsia="方正仿宋简体" w:cs="方正仿宋简体" w:hAnsi="方正仿宋简体"/>
          <w:sz w:val="32"/>
          <w:szCs w:val="32"/>
        </w:rPr>
      </w:pPr>
    </w:p>
    <w:p>
      <w:pPr>
        <w:tabs>
          <w:tab w:val="left" w:pos="0"/>
        </w:tabs>
        <w:adjustRightInd w:val="0"/>
        <w:snapToGrid w:val="0"/>
        <w:spacing w:line="576" w:lineRule="exact"/>
        <w:ind w:firstLineChars="1400" w:firstLine="4480"/>
        <w:rPr>
          <w:rFonts w:ascii="方正仿宋简体" w:eastAsia="方正仿宋简体" w:cs="方正仿宋简体" w:hAnsi="方正仿宋简体"/>
          <w:sz w:val="32"/>
          <w:szCs w:val="32"/>
        </w:rPr>
      </w:pPr>
    </w:p>
    <w:p>
      <w:pPr>
        <w:tabs>
          <w:tab w:val="left" w:pos="0"/>
        </w:tabs>
        <w:adjustRightInd w:val="0"/>
        <w:snapToGrid w:val="0"/>
        <w:spacing w:line="576" w:lineRule="exact"/>
        <w:ind w:firstLineChars="1400" w:firstLine="4480"/>
        <w:rPr>
          <w:rFonts w:ascii="方正仿宋简体" w:eastAsia="方正仿宋简体" w:cs="方正仿宋简体" w:hAnsi="方正仿宋简体"/>
          <w:sz w:val="32"/>
          <w:szCs w:val="32"/>
        </w:rPr>
      </w:pPr>
    </w:p>
    <w:p>
      <w:pPr>
        <w:tabs>
          <w:tab w:val="left" w:pos="0"/>
        </w:tabs>
        <w:adjustRightInd w:val="0"/>
        <w:snapToGrid w:val="0"/>
        <w:spacing w:line="576" w:lineRule="exact"/>
        <w:ind w:firstLineChars="1400" w:firstLine="448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广元市利州区应急管理局</w:t>
      </w:r>
    </w:p>
    <w:p>
      <w:pPr>
        <w:tabs>
          <w:tab w:val="left" w:pos="0"/>
        </w:tabs>
        <w:adjustRightInd w:val="0"/>
        <w:snapToGrid w:val="0"/>
        <w:spacing w:line="576" w:lineRule="exact"/>
        <w:ind w:firstLineChars="1600" w:firstLine="512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2023年5月5日</w:t>
      </w:r>
    </w:p>
    <w:p>
      <w:pPr>
        <w:pStyle w:val="15"/>
        <w:spacing w:beforeLines="0" w:before="93"/>
        <w:rPr>
          <w:rFonts w:ascii="方正仿宋简体" w:eastAsia="方正仿宋简体" w:cs="方正仿宋简体" w:hAnsi="方正仿宋简体"/>
          <w:color w:val="C00000"/>
        </w:rPr>
      </w:pPr>
    </w:p>
    <w:p>
      <w:pPr>
        <w:pStyle w:val="15"/>
        <w:spacing w:beforeLines="0" w:before="93"/>
        <w:rPr>
          <w:rFonts w:ascii="方正仿宋简体" w:eastAsia="方正仿宋简体" w:cs="方正仿宋简体" w:hAnsi="方正仿宋简体"/>
          <w:color w:val="C00000"/>
        </w:rPr>
      </w:pPr>
    </w:p>
    <w:p>
      <w:pPr>
        <w:pStyle w:val="15"/>
        <w:spacing w:beforeLines="0" w:before="93"/>
        <w:rPr>
          <w:rFonts w:ascii="方正仿宋简体" w:eastAsia="方正仿宋简体" w:cs="方正仿宋简体" w:hAnsi="方正仿宋简体"/>
          <w:color w:val="C00000"/>
        </w:rPr>
      </w:pPr>
    </w:p>
    <w:p>
      <w:pPr>
        <w:pStyle w:val="15"/>
        <w:spacing w:beforeLines="0" w:before="93"/>
        <w:rPr>
          <w:rFonts w:ascii="方正仿宋简体" w:eastAsia="方正仿宋简体" w:cs="方正仿宋简体" w:hAnsi="方正仿宋简体"/>
          <w:color w:val="C00000"/>
        </w:rPr>
      </w:pPr>
    </w:p>
    <w:p>
      <w:pPr>
        <w:pStyle w:val="15"/>
        <w:spacing w:beforeLines="0" w:before="93"/>
        <w:rPr>
          <w:rFonts w:ascii="方正仿宋简体" w:eastAsia="方正仿宋简体" w:cs="方正仿宋简体" w:hAnsi="方正仿宋简体"/>
          <w:color w:val="C00000"/>
        </w:rPr>
      </w:pPr>
    </w:p>
    <w:p>
      <w:pPr>
        <w:pStyle w:val="15"/>
        <w:spacing w:beforeLines="0" w:before="93"/>
        <w:rPr>
          <w:color w:val="C00000"/>
        </w:rPr>
      </w:pPr>
    </w:p>
    <w:p>
      <w:pPr>
        <w:pStyle w:val="15"/>
        <w:spacing w:beforeLines="0" w:before="93"/>
        <w:rPr>
          <w:color w:val="C00000"/>
        </w:rPr>
      </w:pPr>
    </w:p>
    <w:p>
      <w:pPr>
        <w:pStyle w:val="15"/>
        <w:spacing w:beforeLines="0" w:before="93"/>
        <w:rPr>
          <w:color w:val="C00000"/>
        </w:rPr>
        <w:sectPr>
          <w:footerReference w:type="default" r:id="rId5"/>
          <w:footerReference w:type="first" r:id="rId6"/>
          <w:pgSz w:w="11906" w:h="16838"/>
          <w:pgMar w:top="1440" w:right="1800" w:bottom="1440" w:left="1800" w:header="851" w:footer="992" w:gutter="0"/>
          <w:pgNumType w:start="1"/>
          <w:cols w:num="1" w:space="425"/>
          <w:docGrid w:type="lines" w:linePitch="312" w:charSpace="0"/>
        </w:sectPr>
      </w:pPr>
    </w:p>
    <w:tbl>
      <w:tblPr>
        <w:tblpPr w:leftFromText="180" w:rightFromText="180" w:vertAnchor="text" w:horzAnchor="page" w:tblpX="1638" w:tblpY="406"/>
        <w:tblOverlap w:val="never"/>
        <w:tblW w:w="1319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532"/>
        <w:gridCol w:w="560"/>
        <w:gridCol w:w="602"/>
        <w:gridCol w:w="518"/>
        <w:gridCol w:w="2420"/>
        <w:gridCol w:w="1900"/>
        <w:gridCol w:w="1720"/>
        <w:gridCol w:w="1380"/>
        <w:gridCol w:w="260"/>
        <w:gridCol w:w="2300"/>
      </w:tblGrid>
      <w:tr>
        <w:trPr>
          <w:trHeight w:val="600"/>
        </w:trPr>
        <w:tc>
          <w:tcPr>
            <w:tcW w:w="13192" w:type="dxa"/>
            <w:gridSpan w:val="10"/>
            <w:tcBorders>
              <w:top w:val="nil"/>
              <w:left w:val="nil"/>
              <w:bottom w:val="nil"/>
              <w:right w:val="nil"/>
            </w:tcBorders>
            <w:shd w:val="clear" w:color="auto" w:fill="auto"/>
            <w:vAlign w:val="center"/>
          </w:tcPr>
          <w:p>
            <w:pPr>
              <w:widowControl/>
              <w:jc w:val="center"/>
              <w:rPr>
                <w:rFonts w:ascii="方正小标宋简体" w:eastAsia="方正小标宋简体" w:cs="宋体" w:hAnsi="方正小标宋简体"/>
                <w:color w:val="000000"/>
                <w:kern w:val="0"/>
                <w:sz w:val="24"/>
              </w:rPr>
            </w:pPr>
            <w:r>
              <w:rPr>
                <w:rFonts w:ascii="方正小标宋简体" w:eastAsia="方正小标宋简体" w:cs="宋体" w:hAnsi="方正小标宋简体" w:hint="eastAsia"/>
                <w:color w:val="000000"/>
                <w:kern w:val="0"/>
                <w:sz w:val="24"/>
              </w:rPr>
              <w:t>中省自然灾害救灾资金（冬春临时生活困难救助）转移支付区域（项目）绩效目标自评表</w:t>
            </w:r>
          </w:p>
        </w:tc>
      </w:tr>
      <w:tr>
        <w:trPr>
          <w:trHeight w:val="319"/>
        </w:trPr>
        <w:tc>
          <w:tcPr>
            <w:tcW w:w="13192" w:type="dxa"/>
            <w:gridSpan w:val="10"/>
            <w:tcBorders>
              <w:top w:val="nil"/>
              <w:left w:val="nil"/>
              <w:bottom w:val="single" w:sz="4" w:space="0" w:color="auto"/>
              <w:right w:val="nil"/>
            </w:tcBorders>
            <w:shd w:val="clear" w:color="auto" w:fill="auto"/>
          </w:tcPr>
          <w:p>
            <w:pPr>
              <w:widowControl/>
              <w:jc w:val="center"/>
              <w:rPr>
                <w:rFonts w:ascii="仿宋_GB2312" w:eastAsia="仿宋_GB2312" w:cs="宋体" w:hAnsi="宋体"/>
                <w:color w:val="000000"/>
                <w:kern w:val="0"/>
                <w:sz w:val="22"/>
                <w:szCs w:val="22"/>
              </w:rPr>
            </w:pPr>
            <w:r>
              <w:rPr>
                <w:rFonts w:ascii="仿宋_GB2312" w:eastAsia="仿宋_GB2312" w:cs="宋体" w:hAnsi="宋体" w:hint="eastAsia"/>
                <w:color w:val="000000"/>
                <w:kern w:val="0"/>
                <w:sz w:val="22"/>
                <w:szCs w:val="22"/>
              </w:rPr>
              <w:t>（2022年度）</w:t>
            </w:r>
          </w:p>
        </w:tc>
      </w:tr>
      <w:tr>
        <w:trPr>
          <w:trHeight w:val="552"/>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转移支付（项目）名称</w:t>
            </w:r>
          </w:p>
        </w:tc>
        <w:tc>
          <w:tcPr>
            <w:tcW w:w="10498" w:type="dxa"/>
            <w:gridSpan w:val="7"/>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中省自然灾害救灾资金（冬春临时生活困难救助）</w:t>
            </w:r>
          </w:p>
        </w:tc>
      </w:tr>
      <w:tr>
        <w:trPr>
          <w:trHeight w:val="323"/>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中央主管部门</w:t>
            </w:r>
          </w:p>
        </w:tc>
        <w:tc>
          <w:tcPr>
            <w:tcW w:w="10498" w:type="dxa"/>
            <w:gridSpan w:val="7"/>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应急管理部</w:t>
            </w:r>
          </w:p>
        </w:tc>
      </w:tr>
      <w:tr>
        <w:trPr>
          <w:trHeight w:val="323"/>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地方主管部门</w:t>
            </w:r>
          </w:p>
        </w:tc>
        <w:tc>
          <w:tcPr>
            <w:tcW w:w="4838" w:type="dxa"/>
            <w:gridSpan w:val="3"/>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广元市利州区应急管理局</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资金使用单位</w:t>
            </w:r>
          </w:p>
        </w:tc>
        <w:tc>
          <w:tcPr>
            <w:tcW w:w="3940" w:type="dxa"/>
            <w:gridSpan w:val="3"/>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广元市利州区应急管理局</w:t>
            </w:r>
          </w:p>
        </w:tc>
      </w:tr>
      <w:tr>
        <w:trPr>
          <w:trHeight w:val="522"/>
        </w:trPr>
        <w:tc>
          <w:tcPr>
            <w:tcW w:w="269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资金投入情况</w:t>
              <w:br/>
              <w:t>（万元）</w:t>
            </w: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全年预算数（A）</w:t>
            </w:r>
          </w:p>
        </w:tc>
        <w:tc>
          <w:tcPr>
            <w:tcW w:w="310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全年执行数（B）</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预算执行率（B/A×100%)</w:t>
            </w:r>
          </w:p>
        </w:tc>
      </w:tr>
      <w:tr>
        <w:trPr>
          <w:trHeight w:val="323"/>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年度资金总额：</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662</w:t>
            </w:r>
          </w:p>
        </w:tc>
        <w:tc>
          <w:tcPr>
            <w:tcW w:w="310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662</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100%</w:t>
            </w:r>
          </w:p>
        </w:tc>
      </w:tr>
      <w:tr>
        <w:trPr>
          <w:trHeight w:val="323"/>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其中：中央财政资金</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635</w:t>
            </w:r>
          </w:p>
        </w:tc>
        <w:tc>
          <w:tcPr>
            <w:tcW w:w="310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635</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100%</w:t>
            </w:r>
          </w:p>
        </w:tc>
      </w:tr>
      <w:tr>
        <w:trPr>
          <w:trHeight w:val="323"/>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省级资金</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27</w:t>
            </w:r>
          </w:p>
        </w:tc>
        <w:tc>
          <w:tcPr>
            <w:tcW w:w="310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27</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100%</w:t>
            </w:r>
          </w:p>
        </w:tc>
      </w:tr>
      <w:tr>
        <w:trPr>
          <w:trHeight w:val="323"/>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20"/>
                <w:szCs w:val="20"/>
              </w:rPr>
              <w:t xml:space="preserve">  其他资金</w:t>
            </w:r>
          </w:p>
        </w:tc>
        <w:tc>
          <w:tcPr>
            <w:tcW w:w="19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310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23"/>
        </w:trPr>
        <w:tc>
          <w:tcPr>
            <w:tcW w:w="269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资金管理情况</w:t>
            </w: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500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情况说明</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存在问题和改进措施</w:t>
            </w:r>
          </w:p>
        </w:tc>
      </w:tr>
      <w:tr>
        <w:trPr>
          <w:trHeight w:val="582"/>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分配科学性</w:t>
            </w:r>
          </w:p>
        </w:tc>
        <w:tc>
          <w:tcPr>
            <w:tcW w:w="500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严格按照规定分配资金，下发资金分配方案文件，分配科学。</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23"/>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下达及时性</w:t>
            </w:r>
          </w:p>
        </w:tc>
        <w:tc>
          <w:tcPr>
            <w:tcW w:w="500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严格按照规定的时限要求分解下达，下达及时。</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80"/>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拨付合规性</w:t>
            </w:r>
          </w:p>
        </w:tc>
        <w:tc>
          <w:tcPr>
            <w:tcW w:w="500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严格按照有关规定支付资金（不低于130元/人），拨付合规。</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23"/>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使用规范性</w:t>
            </w:r>
          </w:p>
        </w:tc>
        <w:tc>
          <w:tcPr>
            <w:tcW w:w="500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严格按照预算的科目和项目执行，使用规范。</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23"/>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执行准确性</w:t>
            </w:r>
          </w:p>
        </w:tc>
        <w:tc>
          <w:tcPr>
            <w:tcW w:w="500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按照预算安排的金额执行，执行准确。</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23"/>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预算绩效管理情况</w:t>
            </w:r>
          </w:p>
        </w:tc>
        <w:tc>
          <w:tcPr>
            <w:tcW w:w="500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纳入绩效管理，开展绩效监控和绩效评价。</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23"/>
        </w:trPr>
        <w:tc>
          <w:tcPr>
            <w:tcW w:w="2694" w:type="dxa"/>
            <w:gridSpan w:val="3"/>
            <w:vMerge/>
            <w:tcBorders>
              <w:top w:val="single" w:sz="4" w:space="0" w:color="auto"/>
              <w:left w:val="single" w:sz="4" w:space="0" w:color="auto"/>
              <w:bottom w:val="single" w:sz="4" w:space="0" w:color="000000"/>
              <w:right w:val="single" w:sz="4" w:space="0" w:color="000000"/>
            </w:tcBorders>
            <w:vAlign w:val="center"/>
          </w:tcPr>
          <w:p/>
        </w:tc>
        <w:tc>
          <w:tcPr>
            <w:tcW w:w="2938"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支出责任履行情况</w:t>
            </w:r>
          </w:p>
        </w:tc>
        <w:tc>
          <w:tcPr>
            <w:tcW w:w="5000"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足额安排资金履行本级支出责任。</w:t>
            </w:r>
          </w:p>
        </w:tc>
        <w:tc>
          <w:tcPr>
            <w:tcW w:w="25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23"/>
        </w:trPr>
        <w:tc>
          <w:tcPr>
            <w:tcW w:w="1532"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总体目标完成情况</w:t>
            </w:r>
          </w:p>
        </w:tc>
        <w:tc>
          <w:tcPr>
            <w:tcW w:w="6000" w:type="dxa"/>
            <w:gridSpan w:val="5"/>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w:t>
            </w:r>
          </w:p>
        </w:tc>
        <w:tc>
          <w:tcPr>
            <w:tcW w:w="5660" w:type="dxa"/>
            <w:gridSpan w:val="4"/>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全年实际完成情况</w:t>
            </w:r>
          </w:p>
        </w:tc>
      </w:tr>
      <w:tr>
        <w:trPr>
          <w:trHeight w:val="660"/>
        </w:trPr>
        <w:tc>
          <w:tcPr>
            <w:tcW w:w="1532" w:type="dxa"/>
            <w:vMerge/>
            <w:tcBorders>
              <w:top w:val="nil"/>
              <w:left w:val="single" w:sz="4" w:space="0" w:color="auto"/>
              <w:bottom w:val="single" w:sz="4" w:space="0" w:color="000000"/>
              <w:right w:val="single" w:sz="4" w:space="0" w:color="auto"/>
            </w:tcBorders>
            <w:vAlign w:val="center"/>
          </w:tcPr>
          <w:p/>
        </w:tc>
        <w:tc>
          <w:tcPr>
            <w:tcW w:w="6000"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确保受灾群众冬春期间基本生活需要</w:t>
            </w:r>
          </w:p>
        </w:tc>
        <w:tc>
          <w:tcPr>
            <w:tcW w:w="5660" w:type="dxa"/>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共计救助17016户，43625人，保障了受灾群众冬春期间基本生活需要。</w:t>
            </w:r>
          </w:p>
        </w:tc>
      </w:tr>
      <w:tr>
        <w:trPr>
          <w:trHeight w:val="522"/>
        </w:trPr>
        <w:tc>
          <w:tcPr>
            <w:tcW w:w="153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绩效指标</w:t>
            </w:r>
          </w:p>
        </w:tc>
        <w:tc>
          <w:tcPr>
            <w:tcW w:w="5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一级</w:t>
              <w:br/>
              <w:t>指标</w:t>
            </w:r>
          </w:p>
        </w:tc>
        <w:tc>
          <w:tcPr>
            <w:tcW w:w="112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二级指标</w:t>
            </w: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三级指标</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指标值</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全年实际完成值</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未完成原因和改进措施</w:t>
            </w:r>
          </w:p>
        </w:tc>
      </w:tr>
      <w:tr>
        <w:trPr>
          <w:trHeight w:val="420"/>
        </w:trPr>
        <w:tc>
          <w:tcPr>
            <w:tcW w:w="1532" w:type="dxa"/>
            <w:vMerge/>
            <w:tcBorders>
              <w:top w:val="nil"/>
              <w:left w:val="single" w:sz="4" w:space="0" w:color="auto"/>
              <w:bottom w:val="single" w:sz="4" w:space="0" w:color="auto"/>
              <w:right w:val="single" w:sz="4" w:space="0" w:color="auto"/>
            </w:tcBorders>
            <w:vAlign w:val="center"/>
          </w:tc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产</w:t>
              <w:br/>
              <w:t>出</w:t>
              <w:br/>
              <w:t>指</w:t>
              <w:br/>
              <w:t>标</w:t>
            </w:r>
          </w:p>
        </w:tc>
        <w:tc>
          <w:tcPr>
            <w:tcW w:w="112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数量指标</w:t>
            </w: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pPr>
              <w:widowControl/>
              <w:rPr>
                <w:rFonts w:ascii="宋体" w:cs="宋体" w:hAnsi="宋体"/>
                <w:color w:val="000000"/>
                <w:kern w:val="0"/>
                <w:sz w:val="20"/>
                <w:szCs w:val="20"/>
              </w:rPr>
            </w:pPr>
            <w:r>
              <w:rPr>
                <w:rFonts w:ascii="宋体" w:cs="宋体" w:hAnsi="宋体" w:hint="eastAsia"/>
                <w:color w:val="000000"/>
                <w:kern w:val="0"/>
                <w:sz w:val="20"/>
                <w:szCs w:val="20"/>
              </w:rPr>
              <w:t>冬春期间受灾困难群众需救助数量（人次）</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43625</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43625</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63"/>
        </w:trPr>
        <w:tc>
          <w:tcPr>
            <w:tcW w:w="1532" w:type="dxa"/>
            <w:vMerge/>
            <w:tcBorders>
              <w:top w:val="nil"/>
              <w:left w:val="single" w:sz="4" w:space="0" w:color="auto"/>
              <w:bottom w:val="single" w:sz="4" w:space="0" w:color="auto"/>
              <w:right w:val="single" w:sz="4" w:space="0" w:color="auto"/>
            </w:tcBorders>
            <w:vAlign w:val="center"/>
          </w:tcPr>
          <w:p/>
        </w:tc>
        <w:tc>
          <w:tcPr>
            <w:tcW w:w="560" w:type="dxa"/>
            <w:vMerge/>
            <w:tcBorders>
              <w:top w:val="nil"/>
              <w:left w:val="single" w:sz="4" w:space="0" w:color="auto"/>
              <w:bottom w:val="single" w:sz="4" w:space="0" w:color="auto"/>
              <w:right w:val="single" w:sz="4" w:space="0" w:color="auto"/>
            </w:tcBorders>
            <w:vAlign w:val="center"/>
          </w:tcPr>
          <w:p/>
        </w:tc>
        <w:tc>
          <w:tcPr>
            <w:tcW w:w="1120"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质量指标</w:t>
            </w: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pPr>
              <w:widowControl/>
              <w:rPr>
                <w:rFonts w:ascii="宋体" w:cs="宋体" w:hAnsi="宋体"/>
                <w:color w:val="000000"/>
                <w:kern w:val="0"/>
                <w:sz w:val="20"/>
                <w:szCs w:val="20"/>
              </w:rPr>
            </w:pPr>
            <w:r>
              <w:rPr>
                <w:rFonts w:ascii="宋体" w:cs="宋体" w:hAnsi="宋体" w:hint="eastAsia"/>
                <w:color w:val="000000"/>
                <w:kern w:val="0"/>
                <w:sz w:val="20"/>
                <w:szCs w:val="20"/>
              </w:rPr>
              <w:t>救助标准</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不低于130元/人</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不低于130元/人</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63"/>
        </w:trPr>
        <w:tc>
          <w:tcPr>
            <w:tcW w:w="1532" w:type="dxa"/>
            <w:vMerge/>
            <w:tcBorders>
              <w:top w:val="nil"/>
              <w:left w:val="single" w:sz="4" w:space="0" w:color="auto"/>
              <w:bottom w:val="single" w:sz="4" w:space="0" w:color="auto"/>
              <w:right w:val="single" w:sz="4" w:space="0" w:color="auto"/>
            </w:tcBorders>
            <w:vAlign w:val="center"/>
          </w:tcPr>
          <w:p/>
        </w:tc>
        <w:tc>
          <w:tcPr>
            <w:tcW w:w="560" w:type="dxa"/>
            <w:vMerge/>
            <w:tcBorders>
              <w:top w:val="nil"/>
              <w:left w:val="single" w:sz="4" w:space="0" w:color="auto"/>
              <w:bottom w:val="single" w:sz="4" w:space="0" w:color="auto"/>
              <w:right w:val="single" w:sz="4" w:space="0" w:color="auto"/>
            </w:tcBorders>
            <w:vAlign w:val="center"/>
          </w:tcPr>
          <w:p/>
        </w:tc>
        <w:tc>
          <w:tcPr>
            <w:tcW w:w="1120" w:type="dxa"/>
            <w:gridSpan w:val="2"/>
            <w:vMerge/>
            <w:tcBorders>
              <w:top w:val="nil"/>
              <w:left w:val="single" w:sz="4" w:space="0" w:color="auto"/>
              <w:bottom w:val="single" w:sz="4" w:space="0" w:color="auto"/>
              <w:right w:val="single" w:sz="4" w:space="0" w:color="auto"/>
            </w:tcBorders>
            <w:vAlign w:val="center"/>
          </w:tcP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pPr>
              <w:widowControl/>
              <w:rPr>
                <w:rFonts w:ascii="宋体" w:cs="宋体" w:hAnsi="宋体"/>
                <w:color w:val="000000"/>
                <w:kern w:val="0"/>
                <w:sz w:val="20"/>
                <w:szCs w:val="20"/>
              </w:rPr>
            </w:pPr>
            <w:r>
              <w:rPr>
                <w:rFonts w:ascii="宋体" w:cs="宋体" w:hAnsi="宋体" w:hint="eastAsia"/>
                <w:color w:val="000000"/>
                <w:kern w:val="0"/>
                <w:sz w:val="20"/>
                <w:szCs w:val="20"/>
              </w:rPr>
              <w:t>冬春救助资金下拨率（%）</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63"/>
        </w:trPr>
        <w:tc>
          <w:tcPr>
            <w:tcW w:w="1532" w:type="dxa"/>
            <w:vMerge/>
            <w:tcBorders>
              <w:top w:val="nil"/>
              <w:left w:val="single" w:sz="4" w:space="0" w:color="auto"/>
              <w:bottom w:val="single" w:sz="4" w:space="0" w:color="auto"/>
              <w:right w:val="single" w:sz="4" w:space="0" w:color="auto"/>
            </w:tcBorders>
            <w:vAlign w:val="center"/>
          </w:tcPr>
          <w:p/>
        </w:tc>
        <w:tc>
          <w:tcPr>
            <w:tcW w:w="560" w:type="dxa"/>
            <w:vMerge/>
            <w:tcBorders>
              <w:top w:val="nil"/>
              <w:left w:val="single" w:sz="4" w:space="0" w:color="auto"/>
              <w:bottom w:val="single" w:sz="4" w:space="0" w:color="auto"/>
              <w:right w:val="single" w:sz="4" w:space="0" w:color="auto"/>
            </w:tcBorders>
            <w:vAlign w:val="center"/>
          </w:tcPr>
          <w:p/>
        </w:tc>
        <w:tc>
          <w:tcPr>
            <w:tcW w:w="1120" w:type="dxa"/>
            <w:gridSpan w:val="2"/>
            <w:vMerge/>
            <w:tcBorders>
              <w:top w:val="nil"/>
              <w:left w:val="single" w:sz="4" w:space="0" w:color="auto"/>
              <w:bottom w:val="single" w:sz="4" w:space="0" w:color="auto"/>
              <w:right w:val="single" w:sz="4" w:space="0" w:color="auto"/>
            </w:tcBorders>
            <w:vAlign w:val="center"/>
          </w:tcP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pPr>
              <w:widowControl/>
              <w:rPr>
                <w:rFonts w:ascii="宋体" w:cs="宋体" w:hAnsi="宋体"/>
                <w:color w:val="000000"/>
                <w:kern w:val="0"/>
                <w:sz w:val="20"/>
                <w:szCs w:val="20"/>
              </w:rPr>
            </w:pPr>
            <w:r>
              <w:rPr>
                <w:rFonts w:ascii="宋体" w:cs="宋体" w:hAnsi="宋体" w:hint="eastAsia"/>
                <w:color w:val="000000"/>
                <w:kern w:val="0"/>
                <w:sz w:val="20"/>
                <w:szCs w:val="20"/>
              </w:rPr>
              <w:t>冬春救助资金使用率（%）</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99"/>
        </w:trPr>
        <w:tc>
          <w:tcPr>
            <w:tcW w:w="1532" w:type="dxa"/>
            <w:vMerge/>
            <w:tcBorders>
              <w:top w:val="nil"/>
              <w:left w:val="single" w:sz="4" w:space="0" w:color="auto"/>
              <w:bottom w:val="single" w:sz="4" w:space="0" w:color="auto"/>
              <w:right w:val="single" w:sz="4" w:space="0" w:color="auto"/>
            </w:tcBorders>
            <w:vAlign w:val="center"/>
          </w:tcPr>
          <w:p/>
        </w:tc>
        <w:tc>
          <w:tcPr>
            <w:tcW w:w="560" w:type="dxa"/>
            <w:vMerge/>
            <w:tcBorders>
              <w:top w:val="nil"/>
              <w:left w:val="single" w:sz="4" w:space="0" w:color="auto"/>
              <w:bottom w:val="single" w:sz="4" w:space="0" w:color="auto"/>
              <w:right w:val="single" w:sz="4" w:space="0" w:color="auto"/>
            </w:tcBorders>
            <w:vAlign w:val="center"/>
          </w:tcPr>
          <w:p/>
        </w:tc>
        <w:tc>
          <w:tcPr>
            <w:tcW w:w="1120" w:type="dxa"/>
            <w:gridSpan w:val="2"/>
            <w:vMerge/>
            <w:tcBorders>
              <w:top w:val="nil"/>
              <w:left w:val="single" w:sz="4" w:space="0" w:color="auto"/>
              <w:bottom w:val="single" w:sz="4" w:space="0" w:color="auto"/>
              <w:right w:val="single" w:sz="4" w:space="0" w:color="auto"/>
            </w:tcBorders>
            <w:vAlign w:val="center"/>
          </w:tcPr>
          <w:p/>
        </w:tc>
        <w:tc>
          <w:tcPr>
            <w:tcW w:w="4320" w:type="dxa"/>
            <w:gridSpan w:val="2"/>
            <w:tcBorders>
              <w:top w:val="nil"/>
              <w:left w:val="nil"/>
              <w:bottom w:val="nil"/>
              <w:right w:val="nil"/>
            </w:tcBorders>
            <w:shd w:val="clear" w:color="auto" w:fill="auto"/>
            <w:vAlign w:val="center"/>
          </w:tcPr>
          <w:p>
            <w:pPr>
              <w:widowControl/>
              <w:rPr>
                <w:rFonts w:ascii="宋体" w:cs="宋体" w:hAnsi="宋体"/>
                <w:color w:val="000000"/>
                <w:kern w:val="0"/>
                <w:sz w:val="20"/>
                <w:szCs w:val="20"/>
              </w:rPr>
            </w:pPr>
            <w:r>
              <w:rPr>
                <w:rFonts w:ascii="宋体" w:cs="宋体" w:hAnsi="宋体" w:hint="eastAsia"/>
                <w:color w:val="000000"/>
                <w:kern w:val="0"/>
                <w:sz w:val="20"/>
                <w:szCs w:val="20"/>
              </w:rPr>
              <w:t>通过“一卡通”审批系统申报、审批、发放率（%）</w:t>
            </w:r>
          </w:p>
        </w:tc>
        <w:tc>
          <w:tcPr>
            <w:tcW w:w="172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540"/>
        </w:trPr>
        <w:tc>
          <w:tcPr>
            <w:tcW w:w="1532" w:type="dxa"/>
            <w:vMerge/>
            <w:tcBorders>
              <w:top w:val="nil"/>
              <w:left w:val="single" w:sz="4" w:space="0" w:color="auto"/>
              <w:bottom w:val="single" w:sz="4" w:space="0" w:color="auto"/>
              <w:right w:val="single" w:sz="4" w:space="0" w:color="auto"/>
            </w:tcBorders>
            <w:vAlign w:val="center"/>
          </w:tcPr>
          <w:p/>
        </w:tc>
        <w:tc>
          <w:tcPr>
            <w:tcW w:w="560" w:type="dxa"/>
            <w:vMerge/>
            <w:tcBorders>
              <w:top w:val="nil"/>
              <w:left w:val="single" w:sz="4" w:space="0" w:color="auto"/>
              <w:bottom w:val="single" w:sz="4" w:space="0" w:color="auto"/>
              <w:right w:val="single" w:sz="4" w:space="0" w:color="auto"/>
            </w:tcBorders>
            <w:vAlign w:val="center"/>
          </w:tcPr>
          <w:p/>
        </w:tc>
        <w:tc>
          <w:tcPr>
            <w:tcW w:w="112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时效指标</w:t>
            </w: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pPr>
              <w:widowControl/>
              <w:rPr>
                <w:rFonts w:ascii="宋体" w:cs="宋体" w:hAnsi="宋体"/>
                <w:color w:val="000000"/>
                <w:kern w:val="0"/>
                <w:sz w:val="20"/>
                <w:szCs w:val="20"/>
              </w:rPr>
            </w:pPr>
            <w:r>
              <w:rPr>
                <w:rFonts w:ascii="宋体" w:cs="宋体" w:hAnsi="宋体" w:hint="eastAsia"/>
                <w:color w:val="000000"/>
                <w:kern w:val="0"/>
                <w:sz w:val="20"/>
                <w:szCs w:val="20"/>
              </w:rPr>
              <w:t>收到冬春救助资金后发放至救助对象所需时间</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3天</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3天</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63"/>
        </w:trPr>
        <w:tc>
          <w:tcPr>
            <w:tcW w:w="1532" w:type="dxa"/>
            <w:vMerge/>
            <w:tcBorders>
              <w:top w:val="nil"/>
              <w:left w:val="single" w:sz="4" w:space="0" w:color="auto"/>
              <w:bottom w:val="single" w:sz="4" w:space="0" w:color="auto"/>
              <w:right w:val="single" w:sz="4" w:space="0" w:color="auto"/>
            </w:tcBorders>
            <w:vAlign w:val="center"/>
          </w:tcPr>
          <w:p/>
        </w:tc>
        <w:tc>
          <w:tcPr>
            <w:tcW w:w="56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　</w:t>
            </w:r>
          </w:p>
        </w:tc>
        <w:tc>
          <w:tcPr>
            <w:tcW w:w="1120" w:type="dxa"/>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社会效益</w:t>
              <w:br/>
              <w:t>指标</w:t>
            </w: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帮助受灾群众克服冬春生活困难</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群众满意度高</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群众满意度高</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63"/>
        </w:trPr>
        <w:tc>
          <w:tcPr>
            <w:tcW w:w="1532" w:type="dxa"/>
            <w:vMerge/>
            <w:tcBorders>
              <w:top w:val="nil"/>
              <w:left w:val="single" w:sz="4" w:space="0" w:color="auto"/>
              <w:bottom w:val="single" w:sz="4" w:space="0" w:color="auto"/>
              <w:right w:val="single" w:sz="4" w:space="0" w:color="auto"/>
            </w:tcBorders>
            <w:vAlign w:val="center"/>
          </w:tcPr>
          <w:p/>
        </w:tc>
        <w:tc>
          <w:tcPr>
            <w:tcW w:w="560" w:type="dxa"/>
            <w:vMerge/>
            <w:tcBorders>
              <w:top w:val="nil"/>
              <w:left w:val="single" w:sz="4" w:space="0" w:color="auto"/>
              <w:bottom w:val="single" w:sz="4" w:space="0" w:color="auto"/>
              <w:right w:val="single" w:sz="4" w:space="0" w:color="auto"/>
            </w:tcBorders>
            <w:vAlign w:val="center"/>
          </w:tcPr>
          <w:p/>
        </w:tc>
        <w:tc>
          <w:tcPr>
            <w:tcW w:w="1120" w:type="dxa"/>
            <w:gridSpan w:val="2"/>
            <w:vMerge/>
            <w:tcBorders>
              <w:top w:val="nil"/>
              <w:left w:val="single" w:sz="4" w:space="0" w:color="auto"/>
              <w:bottom w:val="single" w:sz="4" w:space="0" w:color="auto"/>
              <w:right w:val="single" w:sz="4" w:space="0" w:color="auto"/>
            </w:tcBorders>
            <w:vAlign w:val="center"/>
          </w:tcP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重大负责舆情和事件次数（次）</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0</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0</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63"/>
        </w:trPr>
        <w:tc>
          <w:tcPr>
            <w:tcW w:w="1532" w:type="dxa"/>
            <w:vMerge/>
            <w:tcBorders>
              <w:top w:val="nil"/>
              <w:left w:val="single" w:sz="4" w:space="0" w:color="auto"/>
              <w:bottom w:val="single" w:sz="4" w:space="0" w:color="auto"/>
              <w:right w:val="single" w:sz="4" w:space="0" w:color="auto"/>
            </w:tcBorders>
            <w:vAlign w:val="center"/>
          </w:tcPr>
          <w:p/>
        </w:tc>
        <w:tc>
          <w:tcPr>
            <w:tcW w:w="5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满意度指标</w:t>
            </w:r>
          </w:p>
        </w:tc>
        <w:tc>
          <w:tcPr>
            <w:tcW w:w="112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服务对象</w:t>
              <w:br/>
              <w:t>满意度指标</w:t>
            </w: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受灾群众投诉率（%）</w:t>
            </w:r>
          </w:p>
        </w:tc>
        <w:tc>
          <w:tcPr>
            <w:tcW w:w="172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0</w:t>
            </w:r>
          </w:p>
        </w:tc>
        <w:tc>
          <w:tcPr>
            <w:tcW w:w="164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0</w:t>
            </w:r>
          </w:p>
        </w:tc>
        <w:tc>
          <w:tcPr>
            <w:tcW w:w="230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23"/>
        </w:trPr>
        <w:tc>
          <w:tcPr>
            <w:tcW w:w="1532"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说明</w:t>
            </w:r>
          </w:p>
        </w:tc>
        <w:tc>
          <w:tcPr>
            <w:tcW w:w="11660" w:type="dxa"/>
            <w:gridSpan w:val="9"/>
            <w:tcBorders>
              <w:top w:val="single" w:sz="4" w:space="0" w:color="auto"/>
              <w:left w:val="nil"/>
              <w:bottom w:val="single" w:sz="4" w:space="0" w:color="auto"/>
              <w:right w:val="single" w:sz="4" w:space="0" w:color="000000"/>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无</w:t>
            </w:r>
          </w:p>
        </w:tc>
      </w:tr>
      <w:tr>
        <w:trPr>
          <w:trHeight w:val="259"/>
        </w:trPr>
        <w:tc>
          <w:tcPr>
            <w:tcW w:w="13192" w:type="dxa"/>
            <w:gridSpan w:val="10"/>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注：1.资金使用单位按项目绩效目标填报，主管部门汇总时按区域绩效目标填报。</w:t>
            </w:r>
          </w:p>
        </w:tc>
      </w:tr>
      <w:tr>
        <w:trPr>
          <w:trHeight w:val="522"/>
        </w:trPr>
        <w:tc>
          <w:tcPr>
            <w:tcW w:w="13192" w:type="dxa"/>
            <w:gridSpan w:val="10"/>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2.其他资金包括与中央财政资金、地方财政资金共同投入到同一项目的自有资金、社会资金，以及以前年度的结转结余资金等。</w:t>
            </w:r>
          </w:p>
        </w:tc>
      </w:tr>
      <w:tr>
        <w:trPr>
          <w:trHeight w:val="342"/>
        </w:trPr>
        <w:tc>
          <w:tcPr>
            <w:tcW w:w="13192" w:type="dxa"/>
            <w:gridSpan w:val="10"/>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3.全年执行数是指按照国库集中支付制度要求所形成的实际支出。</w:t>
            </w:r>
          </w:p>
        </w:tc>
      </w:tr>
      <w:tr>
        <w:trPr>
          <w:trHeight w:val="342"/>
        </w:trPr>
        <w:tc>
          <w:tcPr>
            <w:tcW w:w="13192" w:type="dxa"/>
            <w:gridSpan w:val="10"/>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p>
          <w:p>
            <w:pPr>
              <w:pStyle w:val="15"/>
              <w:spacing w:beforeLines="0" w:before="93"/>
            </w:pPr>
          </w:p>
        </w:tc>
      </w:tr>
    </w:tbl>
    <w:p>
      <w:pPr>
        <w:pStyle w:val="15"/>
        <w:spacing w:beforeLines="0" w:before="93"/>
        <w:rPr>
          <w:color w:val="C00000"/>
        </w:rPr>
      </w:pPr>
    </w:p>
    <w:p>
      <w:pPr>
        <w:pStyle w:val="15"/>
        <w:spacing w:beforeLines="0" w:before="93"/>
        <w:rPr>
          <w:color w:val="C00000"/>
        </w:rPr>
      </w:pPr>
    </w:p>
    <w:p>
      <w:pPr>
        <w:pStyle w:val="15"/>
        <w:spacing w:beforeLines="0" w:before="93"/>
        <w:rPr>
          <w:color w:val="C00000"/>
        </w:rPr>
      </w:pPr>
    </w:p>
    <w:p>
      <w:pPr>
        <w:pStyle w:val="15"/>
        <w:spacing w:beforeLines="0" w:before="93"/>
        <w:rPr>
          <w:color w:val="C00000"/>
        </w:rPr>
      </w:pPr>
    </w:p>
    <w:p>
      <w:pPr>
        <w:pStyle w:val="15"/>
        <w:spacing w:beforeLines="0" w:before="93"/>
        <w:rPr>
          <w:color w:val="C00000"/>
        </w:r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sectPr>
          <w:pgSz w:w="16838" w:h="11906" w:orient="landscape"/>
          <w:pgMar w:top="1417" w:right="1440" w:bottom="1417" w:left="1440" w:header="851" w:footer="992" w:gutter="0"/>
          <w:cols w:num="1" w:space="0"/>
          <w:titlePg/>
          <w:docGrid w:type="lines" w:linePitch="312" w:charSpace="0"/>
        </w:sect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pPr>
      <w:r>
        <w:rPr>
          <w:rFonts w:ascii="方正小标宋简体" w:eastAsia="方正小标宋简体" w:cs="方正小标宋简体" w:hAnsi="方正小标宋简体" w:hint="eastAsia"/>
          <w:color w:val="auto"/>
          <w:kern w:val="2"/>
          <w:sz w:val="44"/>
          <w:szCs w:val="44"/>
          <w:lang w:val="en-US"/>
        </w:rPr>
        <w:t>2022年专项资金预算项目支出绩效</w:t>
      </w:r>
    </w:p>
    <w:p>
      <w:pPr>
        <w:pStyle w:val="38"/>
        <w:spacing w:line="576" w:lineRule="exact"/>
        <w:jc w:val="center"/>
        <w:rPr>
          <w:rFonts w:ascii="方正小标宋简体" w:eastAsia="方正小标宋简体" w:cs="方正小标宋简体" w:hAnsi="方正小标宋简体"/>
          <w:color w:val="auto"/>
          <w:kern w:val="2"/>
          <w:sz w:val="44"/>
          <w:szCs w:val="44"/>
          <w:lang w:val="en-US"/>
        </w:rPr>
      </w:pPr>
      <w:r>
        <w:rPr>
          <w:rFonts w:ascii="方正小标宋简体" w:eastAsia="方正小标宋简体" w:cs="方正小标宋简体" w:hAnsi="方正小标宋简体" w:hint="eastAsia"/>
          <w:color w:val="auto"/>
          <w:kern w:val="2"/>
          <w:sz w:val="44"/>
          <w:szCs w:val="44"/>
          <w:lang w:val="en-US"/>
        </w:rPr>
        <w:t>自评报告（住房恢复重建）</w:t>
      </w:r>
    </w:p>
    <w:p>
      <w:pPr>
        <w:pStyle w:val="38"/>
        <w:spacing w:line="576" w:lineRule="exact"/>
        <w:ind w:firstLine="640"/>
        <w:jc w:val="center"/>
        <w:rPr>
          <w:rFonts w:ascii="宋体" w:hAnsi="宋体"/>
          <w:color w:val="auto"/>
          <w:kern w:val="2"/>
          <w:sz w:val="32"/>
          <w:szCs w:val="32"/>
        </w:rPr>
      </w:pPr>
    </w:p>
    <w:p>
      <w:pPr>
        <w:adjustRightInd w:val="0"/>
        <w:snapToGrid w:val="0"/>
        <w:spacing w:line="576" w:lineRule="exact"/>
        <w:ind w:firstLineChars="200" w:firstLine="64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val="zh-CN"/>
        </w:rPr>
        <w:t>项目概况</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（一）项目基本情况。</w:t>
      </w:r>
    </w:p>
    <w:p>
      <w:pPr>
        <w:adjustRightInd w:val="0"/>
        <w:snapToGrid w:val="0"/>
        <w:spacing w:line="576" w:lineRule="exact"/>
        <w:ind w:firstLineChars="200" w:firstLine="640"/>
        <w:contextualSpacing/>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1．说明项目主管部门（单位）在该项目管理中的职能。</w:t>
      </w:r>
    </w:p>
    <w:p>
      <w:pPr>
        <w:pStyle w:val="16"/>
        <w:overflowPunct w:val="0"/>
        <w:spacing w:line="576" w:lineRule="exact"/>
        <w:ind w:firstLineChars="200" w:firstLine="640"/>
        <w:rPr>
          <w:rFonts w:ascii="方正仿宋简体" w:eastAsia="方正仿宋简体" w:cs="方正仿宋简体" w:hAnsi="方正仿宋简体"/>
          <w:color w:val="000000"/>
          <w:spacing w:val="0"/>
        </w:rPr>
      </w:pPr>
      <w:r>
        <w:rPr>
          <w:rFonts w:ascii="方正仿宋简体" w:eastAsia="方正仿宋简体" w:cs="方正仿宋简体" w:hAnsi="方正仿宋简体" w:hint="eastAsia"/>
          <w:color w:val="000000"/>
          <w:spacing w:val="0"/>
        </w:rPr>
        <w:t>灾后住房恢复重建是区应急管理局自然灾害救助工作的重中之重，是尽快恢复受灾群众正常生活，维护社会稳定的重要举措。</w:t>
      </w:r>
    </w:p>
    <w:p>
      <w:pPr>
        <w:adjustRightInd w:val="0"/>
        <w:snapToGrid w:val="0"/>
        <w:spacing w:line="576" w:lineRule="exact"/>
        <w:ind w:firstLineChars="200" w:firstLine="640"/>
        <w:contextualSpacing/>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2．项目立项、资金申报的依据。</w:t>
      </w:r>
    </w:p>
    <w:p>
      <w:pPr>
        <w:pStyle w:val="16"/>
        <w:overflowPunct w:val="0"/>
        <w:spacing w:line="576" w:lineRule="exact"/>
        <w:ind w:firstLineChars="200" w:firstLine="640"/>
        <w:rPr>
          <w:rFonts w:ascii="方正仿宋简体" w:eastAsia="方正仿宋简体" w:cs="方正仿宋简体" w:hAnsi="方正仿宋简体"/>
          <w:color w:val="000000"/>
          <w:spacing w:val="0"/>
        </w:rPr>
      </w:pPr>
      <w:r>
        <w:rPr>
          <w:rFonts w:ascii="方正仿宋简体" w:eastAsia="方正仿宋简体" w:cs="方正仿宋简体" w:hAnsi="方正仿宋简体" w:hint="eastAsia"/>
          <w:color w:val="000000"/>
          <w:spacing w:val="0"/>
        </w:rPr>
        <w:t>坚持以习近平新时代中国特色社会主义思想为指导，深入贯彻习近平总书记关于防灾减灾救灾工作的重要论述，全面落实中央和省、市、区关于抗洪救灾和灾后恢复重建各项决策部署，坚持以人为本、自力更生、统筹兼顾，充分发挥受灾群众的主体作用，通过政府组织、群众自建、社会支持，确保受灾群众早日住上经济、适用、安全的永久性住房。资金申报按《</w:t>
      </w:r>
      <w:r>
        <w:rPr>
          <w:rFonts w:ascii="仿宋" w:eastAsia="仿宋" w:cs="仿宋" w:hAnsi="仿宋" w:hint="eastAsia"/>
          <w:szCs w:val="32"/>
        </w:rPr>
        <w:t>四川省财政厅四川省应急管理厅关于实施暴雨洪灾受灾群众生活救助和住房重建省级补助政策的通知》（川财建〔2020〕194号）文件补助标准执行</w:t>
      </w:r>
      <w:r>
        <w:rPr>
          <w:rFonts w:ascii="方正仿宋简体" w:eastAsia="方正仿宋简体" w:cs="方正仿宋简体" w:hAnsi="方正仿宋简体" w:hint="eastAsia"/>
          <w:color w:val="000000"/>
          <w:spacing w:val="0"/>
        </w:rPr>
        <w:t>。</w:t>
      </w:r>
    </w:p>
    <w:p>
      <w:pPr>
        <w:adjustRightInd w:val="0"/>
        <w:snapToGrid w:val="0"/>
        <w:spacing w:line="576" w:lineRule="exact"/>
        <w:ind w:firstLineChars="200" w:firstLine="640"/>
        <w:contextualSpacing/>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3．资金</w:t>
      </w:r>
      <w:r>
        <w:rPr>
          <w:rFonts w:ascii="方正仿宋简体" w:eastAsia="方正仿宋简体" w:cs="方正仿宋简体" w:hAnsi="方正仿宋简体" w:hint="eastAsia"/>
          <w:color w:val="000000"/>
          <w:sz w:val="32"/>
          <w:szCs w:val="20"/>
        </w:rPr>
        <w:t>或项目</w:t>
      </w:r>
      <w:r>
        <w:rPr>
          <w:rFonts w:ascii="方正仿宋简体" w:eastAsia="方正仿宋简体" w:cs="方正仿宋简体" w:hAnsi="方正仿宋简体" w:hint="eastAsia"/>
          <w:color w:val="000000"/>
          <w:sz w:val="32"/>
          <w:szCs w:val="20"/>
          <w:lang w:val="zh-CN"/>
        </w:rPr>
        <w:t>管理办法制定情况。</w:t>
      </w:r>
    </w:p>
    <w:p>
      <w:pPr>
        <w:tabs>
          <w:tab w:val="left" w:pos="0"/>
        </w:tabs>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rPr>
        <w:t>我区制定了《利州区2020年因洪涝灾害倒损住房恢复重建及维修加固实施方案》，并结合省财政厅、省应急管理厅下发《四川省自然灾害救灾资金管理暂行办法》（川财建〔2022〕68号）实施。</w:t>
      </w:r>
    </w:p>
    <w:p>
      <w:pPr>
        <w:adjustRightInd w:val="0"/>
        <w:snapToGrid w:val="0"/>
        <w:spacing w:line="576" w:lineRule="exact"/>
        <w:ind w:firstLineChars="200" w:firstLine="640"/>
        <w:contextualSpacing/>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4．资金分配的原则及考虑因素。</w:t>
      </w:r>
    </w:p>
    <w:p>
      <w:pPr>
        <w:adjustRightInd w:val="0"/>
        <w:snapToGrid w:val="0"/>
        <w:spacing w:line="576" w:lineRule="exact"/>
        <w:ind w:firstLineChars="200" w:firstLine="640"/>
        <w:contextualSpacing/>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rPr>
        <w:t>按照《四川省自然灾害救灾资金管理暂行办法》确定补助标准，住房恢复重建3.5万元/户，维修加固0.5万元/户。</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（二）项目绩效目标。</w:t>
      </w:r>
    </w:p>
    <w:p>
      <w:pPr>
        <w:adjustRightInd w:val="0"/>
        <w:snapToGrid w:val="0"/>
        <w:spacing w:line="576" w:lineRule="exact"/>
        <w:ind w:firstLineChars="200" w:firstLine="640"/>
        <w:contextualSpacing/>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rPr>
        <w:t>组织受灾群众开展住房恢复重建。为此，区应急管理局制定了住房重建方案和工作计划，明确了日常监督管理机制和工作目标。</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（三）项目自评步骤及方法。</w:t>
      </w:r>
    </w:p>
    <w:p>
      <w:pPr>
        <w:adjustRightInd w:val="0"/>
        <w:snapToGrid w:val="0"/>
        <w:spacing w:line="576" w:lineRule="exact"/>
        <w:ind w:firstLine="720"/>
        <w:rPr>
          <w:rFonts w:ascii="方正仿宋简体" w:eastAsia="方正仿宋简体" w:hAnsi="宋体"/>
        </w:rPr>
      </w:pPr>
      <w:bookmarkStart w:id="58" w:name="_GoBack"/>
      <w:bookmarkEnd w:id="58"/>
      <w:r>
        <w:rPr>
          <w:rFonts w:ascii="方正仿宋简体" w:eastAsia="方正仿宋简体" w:hAnsi="宋体" w:hint="eastAsia"/>
          <w:sz w:val="32"/>
          <w:szCs w:val="32"/>
        </w:rPr>
        <w:t>该项目</w:t>
      </w:r>
      <w:r>
        <w:rPr>
          <w:rFonts w:ascii="方正仿宋简体" w:eastAsia="方正仿宋简体" w:hAnsi="宋体"/>
          <w:sz w:val="32"/>
          <w:szCs w:val="32"/>
        </w:rPr>
        <w:t>事前绩效评估、事后绩效评价。</w:t>
      </w:r>
    </w:p>
    <w:p>
      <w:pPr>
        <w:adjustRightInd w:val="0"/>
        <w:snapToGrid w:val="0"/>
        <w:spacing w:line="576" w:lineRule="exact"/>
        <w:ind w:firstLineChars="200" w:firstLine="640"/>
        <w:rPr>
          <w:rFonts w:ascii="黑体" w:eastAsia="黑体" w:hAnsi="宋体"/>
        </w:rPr>
      </w:pPr>
      <w:r>
        <w:rPr>
          <w:rFonts w:ascii="黑体" w:eastAsia="黑体" w:hAnsi="宋体" w:hint="eastAsia"/>
          <w:sz w:val="32"/>
          <w:szCs w:val="32"/>
        </w:rPr>
        <w:t>二、项目资金申报及使用情况</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（一）项目资金申报及批复情况。</w:t>
      </w:r>
    </w:p>
    <w:p>
      <w:pPr>
        <w:adjustRightInd w:val="0"/>
        <w:snapToGrid w:val="0"/>
        <w:spacing w:line="576" w:lineRule="exact"/>
        <w:ind w:firstLine="720"/>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rPr>
        <w:t>汛期，我局组织受灾乡镇（街道）通过国家灾情管理系统及时上报灾情并建立倒损住房台账。</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（二）资金计划、到位及使用情况。</w:t>
      </w:r>
    </w:p>
    <w:p>
      <w:pPr>
        <w:pStyle w:val="16"/>
        <w:spacing w:line="576" w:lineRule="exact"/>
        <w:ind w:firstLineChars="200" w:firstLine="640"/>
        <w:rPr>
          <w:rFonts w:ascii="方正仿宋简体" w:eastAsia="方正仿宋简体" w:cs="方正仿宋简体" w:hAnsi="方正仿宋简体"/>
          <w:color w:val="000000"/>
          <w:spacing w:val="0"/>
        </w:rPr>
      </w:pPr>
      <w:r>
        <w:rPr>
          <w:rFonts w:ascii="方正仿宋简体" w:eastAsia="方正仿宋简体" w:cs="方正仿宋简体" w:hAnsi="方正仿宋简体" w:hint="eastAsia"/>
          <w:color w:val="000000"/>
          <w:spacing w:val="0"/>
        </w:rPr>
        <w:t>2022年5月，我区到位洪涝灾害倒塌和重建补助资金108.5万元。我区按照“户报、村评、乡审、县定”的程序，通过省应急管理厅“一卡通”审批系统将住房重建资金全部发放给因灾住房重建对象。</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（三）项目财务管理情况。</w:t>
      </w:r>
    </w:p>
    <w:p>
      <w:pPr>
        <w:adjustRightInd w:val="0"/>
        <w:snapToGrid w:val="0"/>
        <w:spacing w:line="576" w:lineRule="exact"/>
        <w:ind w:firstLineChars="200" w:firstLine="640"/>
        <w:contextualSpacing/>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总体评价各项目实施单位财务管理制度是否健全，是否严格执行财务管理制度，账务处理是否及时，会计核算是否规范等。</w:t>
      </w:r>
    </w:p>
    <w:p>
      <w:pPr>
        <w:adjustRightInd w:val="0"/>
        <w:snapToGrid w:val="0"/>
        <w:spacing w:line="576" w:lineRule="exact"/>
        <w:ind w:firstLineChars="200" w:firstLine="640"/>
        <w:rPr>
          <w:rFonts w:ascii="黑体" w:eastAsia="黑体" w:hAnsi="宋体"/>
        </w:rPr>
      </w:pPr>
      <w:r>
        <w:rPr>
          <w:rFonts w:ascii="黑体" w:eastAsia="黑体" w:hAnsi="宋体" w:hint="eastAsia"/>
          <w:sz w:val="32"/>
          <w:szCs w:val="32"/>
        </w:rPr>
        <w:t>三、项目实施及管理情况</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lang w:val="zh-CN"/>
        </w:rPr>
        <w:t>（一）项目组织架构及实施流程。</w:t>
      </w:r>
      <w:r>
        <w:rPr>
          <w:rFonts w:ascii="方正仿宋简体" w:eastAsia="方正仿宋简体" w:cs="方正仿宋简体" w:hAnsi="方正仿宋简体" w:hint="eastAsia"/>
          <w:color w:val="000000"/>
          <w:sz w:val="32"/>
          <w:szCs w:val="20"/>
        </w:rPr>
        <w:t>按照“户报、村评、乡审、县定”的程序，结合住房重建进度分批次拨付。由区应急管理局会同乡镇(街道)、区住房和城乡建设局、区农业农村局、区自然资源分局、区财政局组织实施。</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lang w:val="zh-CN"/>
        </w:rPr>
        <w:t>（二）项目管理情况。</w:t>
      </w:r>
      <w:r>
        <w:rPr>
          <w:rFonts w:ascii="方正仿宋简体" w:eastAsia="方正仿宋简体" w:cs="方正仿宋简体" w:hAnsi="方正仿宋简体" w:hint="eastAsia"/>
          <w:color w:val="000000"/>
          <w:sz w:val="32"/>
          <w:szCs w:val="20"/>
        </w:rPr>
        <w:t>该项目严格按照《四川省自然灾害救灾资金管理暂行办法》、《利州区2020年因洪涝灾害倒损住房恢复重建及维修加固实施方案》组织实施，各乡镇(街道)、区级相关部门按照职责分工落实。</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lang w:val="zh-CN"/>
        </w:rPr>
        <w:t>（三）项目监管情况。</w:t>
      </w:r>
      <w:r>
        <w:rPr>
          <w:rFonts w:ascii="方正仿宋简体" w:eastAsia="方正仿宋简体" w:cs="方正仿宋简体" w:hAnsi="方正仿宋简体" w:hint="eastAsia"/>
          <w:color w:val="000000"/>
          <w:sz w:val="32"/>
          <w:szCs w:val="20"/>
        </w:rPr>
        <w:t>由区应急管理局组织乡镇(街道)、区级相关部门参与对住房重建逐户验收，根据受灾群众重建进度并通过“一卡通”拨付补助资金。</w:t>
      </w:r>
    </w:p>
    <w:p>
      <w:pPr>
        <w:adjustRightInd w:val="0"/>
        <w:snapToGrid w:val="0"/>
        <w:spacing w:line="576" w:lineRule="exact"/>
        <w:ind w:firstLineChars="200" w:firstLine="640"/>
        <w:rPr>
          <w:rFonts w:ascii="仿宋_GB2312" w:hAnsi="宋体"/>
          <w:lang w:val="zh-CN"/>
        </w:rPr>
      </w:pPr>
      <w:r>
        <w:rPr>
          <w:rFonts w:ascii="黑体" w:eastAsia="黑体" w:hAnsi="宋体" w:hint="eastAsia"/>
          <w:sz w:val="32"/>
          <w:szCs w:val="32"/>
        </w:rPr>
        <w:t>四、项目绩效情况</w:t>
      </w:r>
      <w:r>
        <w:rPr>
          <w:rFonts w:ascii="仿宋_GB2312" w:hAnsi="宋体" w:hint="eastAsia"/>
          <w:sz w:val="32"/>
          <w:szCs w:val="32"/>
          <w:lang w:val="zh-CN"/>
        </w:rPr>
        <w:tab/>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（一）项目完成情况。</w:t>
      </w:r>
    </w:p>
    <w:p>
      <w:pPr>
        <w:pStyle w:val="16"/>
        <w:spacing w:line="576" w:lineRule="exact"/>
        <w:ind w:firstLineChars="200" w:firstLine="640"/>
        <w:rPr>
          <w:rFonts w:ascii="方正仿宋简体" w:eastAsia="方正仿宋简体" w:cs="方正仿宋简体" w:hAnsi="方正仿宋简体"/>
          <w:color w:val="000000"/>
          <w:spacing w:val="0"/>
          <w:lang w:val="zh-CN"/>
        </w:rPr>
      </w:pPr>
      <w:r>
        <w:rPr>
          <w:rFonts w:ascii="方正仿宋简体" w:eastAsia="方正仿宋简体" w:cs="方正仿宋简体" w:hAnsi="方正仿宋简体" w:hint="eastAsia"/>
          <w:color w:val="000000"/>
          <w:spacing w:val="0"/>
        </w:rPr>
        <w:t>该项目确保了31户因灾住房损毁的群众在2022年内住上了安全的住房，恢复了正常生活。</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（二）项目效益情况。</w:t>
      </w:r>
    </w:p>
    <w:p>
      <w:pPr>
        <w:tabs>
          <w:tab w:val="left" w:pos="0"/>
        </w:tabs>
        <w:adjustRightInd w:val="0"/>
        <w:snapToGrid w:val="0"/>
        <w:spacing w:line="576" w:lineRule="exact"/>
        <w:ind w:firstLineChars="200" w:firstLine="640"/>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rPr>
        <w:t>我局因灾住房重建绩效目标建立工作有计划、实施有方案、日常有监督的管理机制，工作取得较好的成效，效能得到提高、获得社会公众的好评，确保受灾群众住房安全。</w:t>
      </w:r>
    </w:p>
    <w:p>
      <w:pPr>
        <w:adjustRightInd w:val="0"/>
        <w:snapToGrid w:val="0"/>
        <w:spacing w:line="576" w:lineRule="exact"/>
        <w:ind w:firstLineChars="200" w:firstLine="640"/>
        <w:rPr>
          <w:rFonts w:ascii="黑体" w:eastAsia="黑体" w:hAnsi="宋体"/>
        </w:rPr>
      </w:pPr>
      <w:r>
        <w:rPr>
          <w:rFonts w:ascii="黑体" w:eastAsia="黑体" w:hAnsi="宋体" w:hint="eastAsia"/>
          <w:sz w:val="32"/>
          <w:szCs w:val="32"/>
        </w:rPr>
        <w:t>五、评价结论及建议</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（一）评价结论。</w:t>
      </w:r>
    </w:p>
    <w:p>
      <w:pPr>
        <w:adjustRightInd w:val="0"/>
        <w:snapToGrid w:val="0"/>
        <w:spacing w:line="576" w:lineRule="exact"/>
        <w:ind w:firstLineChars="200" w:firstLine="640"/>
        <w:contextualSpacing/>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rPr>
        <w:t>该项目确保了受灾群众住上了安全的住房，恢复了正常生活，维护了社会的稳定</w:t>
      </w:r>
      <w:r>
        <w:rPr>
          <w:rFonts w:ascii="方正仿宋简体" w:eastAsia="方正仿宋简体" w:cs="方正仿宋简体" w:hAnsi="方正仿宋简体" w:hint="eastAsia"/>
          <w:color w:val="000000"/>
          <w:sz w:val="32"/>
          <w:szCs w:val="20"/>
          <w:lang w:val="zh-CN"/>
        </w:rPr>
        <w:t>。</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（二）存在的问题。</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rPr>
        <w:t>住房重建需要根据受灾群众自身资金情况和重建意愿确定，重建时间较长，建房成本高。</w:t>
      </w:r>
    </w:p>
    <w:p>
      <w:pPr>
        <w:adjustRightInd w:val="0"/>
        <w:snapToGrid w:val="0"/>
        <w:spacing w:line="576" w:lineRule="exact"/>
        <w:ind w:firstLineChars="200" w:firstLine="640"/>
        <w:rPr>
          <w:rFonts w:ascii="方正仿宋简体" w:eastAsia="方正仿宋简体" w:cs="方正仿宋简体" w:hAnsi="方正仿宋简体"/>
          <w:color w:val="000000"/>
          <w:sz w:val="32"/>
          <w:szCs w:val="20"/>
          <w:lang w:val="zh-CN"/>
        </w:rPr>
      </w:pPr>
      <w:r>
        <w:rPr>
          <w:rFonts w:ascii="方正仿宋简体" w:eastAsia="方正仿宋简体" w:cs="方正仿宋简体" w:hAnsi="方正仿宋简体" w:hint="eastAsia"/>
          <w:color w:val="000000"/>
          <w:sz w:val="32"/>
          <w:szCs w:val="20"/>
          <w:lang w:val="zh-CN"/>
        </w:rPr>
        <w:t>（三）相关建议。</w:t>
      </w:r>
    </w:p>
    <w:p>
      <w:pPr>
        <w:spacing w:line="576" w:lineRule="exact"/>
        <w:ind w:firstLineChars="200" w:firstLine="640"/>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rPr>
        <w:t>建议上级部门上调重建的救助标准。</w:t>
      </w:r>
    </w:p>
    <w:p>
      <w:pPr>
        <w:pStyle w:val="30"/>
        <w:keepNext w:val="0"/>
        <w:keepLines w:val="0"/>
        <w:widowControl w:val="0"/>
        <w:spacing w:line="576" w:lineRule="exact"/>
        <w:rPr>
          <w:rFonts w:ascii="方正仿宋简体" w:eastAsia="方正仿宋简体" w:cs="方正仿宋简体" w:hAnsi="方正仿宋简体"/>
          <w:color w:val="000000"/>
          <w:sz w:val="32"/>
          <w:szCs w:val="20"/>
          <w:lang w:val="zh-CN"/>
        </w:rPr>
      </w:pPr>
    </w:p>
    <w:p>
      <w:pPr>
        <w:spacing w:line="576" w:lineRule="exact"/>
        <w:rPr>
          <w:rFonts w:ascii="方正仿宋简体" w:eastAsia="方正仿宋简体" w:cs="方正仿宋简体" w:hAnsi="方正仿宋简体"/>
          <w:color w:val="000000"/>
          <w:sz w:val="32"/>
          <w:szCs w:val="20"/>
        </w:rPr>
      </w:pPr>
    </w:p>
    <w:p>
      <w:pPr>
        <w:tabs>
          <w:tab w:val="left" w:pos="0"/>
        </w:tabs>
        <w:adjustRightInd w:val="0"/>
        <w:snapToGrid w:val="0"/>
        <w:spacing w:line="576" w:lineRule="exact"/>
        <w:ind w:firstLineChars="1400" w:firstLine="4480"/>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rPr>
        <w:t>广元市利州区应急管理局</w:t>
      </w:r>
    </w:p>
    <w:p>
      <w:pPr>
        <w:tabs>
          <w:tab w:val="left" w:pos="0"/>
        </w:tabs>
        <w:adjustRightInd w:val="0"/>
        <w:snapToGrid w:val="0"/>
        <w:spacing w:line="576" w:lineRule="exact"/>
        <w:ind w:firstLineChars="1600" w:firstLine="5120"/>
        <w:rPr>
          <w:rFonts w:ascii="方正仿宋简体" w:eastAsia="方正仿宋简体" w:cs="方正仿宋简体" w:hAnsi="方正仿宋简体"/>
          <w:color w:val="000000"/>
          <w:sz w:val="32"/>
          <w:szCs w:val="20"/>
        </w:rPr>
      </w:pPr>
      <w:r>
        <w:rPr>
          <w:rFonts w:ascii="方正仿宋简体" w:eastAsia="方正仿宋简体" w:cs="方正仿宋简体" w:hAnsi="方正仿宋简体" w:hint="eastAsia"/>
          <w:color w:val="000000"/>
          <w:sz w:val="32"/>
          <w:szCs w:val="20"/>
        </w:rPr>
        <w:t>2023年5月5日</w:t>
      </w:r>
    </w:p>
    <w:p>
      <w:pPr>
        <w:pStyle w:val="16"/>
        <w:spacing w:before="93"/>
        <w:rPr>
          <w:rFonts w:ascii="仿宋_GB2312" w:hAnsi="宋体"/>
          <w:szCs w:val="32"/>
        </w:rPr>
      </w:pPr>
    </w:p>
    <w:p>
      <w:pPr>
        <w:pStyle w:val="15"/>
        <w:spacing w:beforeLines="0" w:before="93"/>
        <w:rPr>
          <w:color w:val="C00000"/>
        </w:rPr>
      </w:pPr>
    </w:p>
    <w:p>
      <w:pPr>
        <w:pStyle w:val="15"/>
        <w:spacing w:beforeLines="0" w:before="93"/>
        <w:rPr>
          <w:color w:val="C00000"/>
        </w:rPr>
      </w:pPr>
    </w:p>
    <w:p>
      <w:pPr>
        <w:pStyle w:val="15"/>
        <w:spacing w:beforeLines="0" w:before="93"/>
        <w:rPr>
          <w:color w:val="C00000"/>
        </w:rPr>
      </w:pPr>
    </w:p>
    <w:p>
      <w:pPr>
        <w:pStyle w:val="15"/>
        <w:spacing w:beforeLines="0" w:before="93"/>
        <w:rPr>
          <w:color w:val="C00000"/>
        </w:rPr>
        <w:sectPr>
          <w:pgSz w:w="11906" w:h="16838"/>
          <w:pgMar w:top="2098" w:right="1474" w:bottom="1984" w:left="1587" w:header="851" w:footer="992" w:gutter="0"/>
          <w:cols w:num="1" w:space="0"/>
          <w:titlePg/>
          <w:docGrid w:type="lines" w:linePitch="312" w:charSpace="0"/>
        </w:sectPr>
      </w:pPr>
    </w:p>
    <w:tbl>
      <w:tblPr>
        <w:jc w:val="center"/>
        <w:tblW w:w="1415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76"/>
        <w:gridCol w:w="677"/>
        <w:gridCol w:w="1353"/>
        <w:gridCol w:w="2924"/>
        <w:gridCol w:w="2222"/>
        <w:gridCol w:w="1763"/>
        <w:gridCol w:w="1763"/>
        <w:gridCol w:w="2779"/>
      </w:tblGrid>
      <w:tr>
        <w:trPr>
          <w:trHeight w:val="470"/>
        </w:trPr>
        <w:tc>
          <w:tcPr>
            <w:tcW w:w="14157" w:type="dxa"/>
            <w:gridSpan w:val="8"/>
            <w:tcBorders>
              <w:top w:val="nil"/>
              <w:left w:val="nil"/>
              <w:bottom w:val="nil"/>
              <w:right w:val="nil"/>
            </w:tcBorders>
            <w:shd w:val="clear" w:color="auto" w:fill="auto"/>
            <w:vAlign w:val="center"/>
          </w:tcPr>
          <w:p>
            <w:pPr>
              <w:widowControl/>
              <w:jc w:val="center"/>
              <w:rPr>
                <w:rFonts w:ascii="方正小标宋简体" w:eastAsia="方正小标宋简体" w:cs="宋体" w:hAnsi="方正小标宋简体"/>
                <w:color w:val="000000"/>
                <w:kern w:val="0"/>
                <w:sz w:val="32"/>
                <w:szCs w:val="32"/>
              </w:rPr>
            </w:pPr>
            <w:r>
              <w:rPr>
                <w:rFonts w:ascii="方正小标宋简体" w:eastAsia="方正小标宋简体" w:cs="宋体" w:hAnsi="方正小标宋简体" w:hint="eastAsia"/>
                <w:color w:val="000000"/>
                <w:kern w:val="0"/>
                <w:sz w:val="32"/>
                <w:szCs w:val="32"/>
              </w:rPr>
              <w:t>自然灾害灾后重建补助转移支付区域（项目）绩效目标自评表</w:t>
            </w:r>
          </w:p>
        </w:tc>
      </w:tr>
      <w:tr>
        <w:trPr>
          <w:trHeight w:val="237"/>
        </w:trPr>
        <w:tc>
          <w:tcPr>
            <w:tcW w:w="14157" w:type="dxa"/>
            <w:gridSpan w:val="8"/>
            <w:tcBorders>
              <w:top w:val="nil"/>
              <w:left w:val="nil"/>
              <w:bottom w:val="single" w:sz="4" w:space="0" w:color="auto"/>
              <w:right w:val="nil"/>
            </w:tcBorders>
            <w:shd w:val="clear" w:color="auto" w:fill="auto"/>
          </w:tcPr>
          <w:p>
            <w:pPr>
              <w:widowControl/>
              <w:jc w:val="center"/>
              <w:rPr>
                <w:rFonts w:ascii="仿宋_GB2312" w:eastAsia="仿宋_GB2312" w:cs="宋体" w:hAnsi="宋体"/>
                <w:color w:val="000000"/>
                <w:kern w:val="0"/>
                <w:sz w:val="22"/>
                <w:szCs w:val="22"/>
              </w:rPr>
            </w:pPr>
            <w:r>
              <w:rPr>
                <w:rFonts w:ascii="仿宋_GB2312" w:eastAsia="仿宋_GB2312" w:cs="宋体" w:hAnsi="宋体" w:hint="eastAsia"/>
                <w:color w:val="000000"/>
                <w:kern w:val="0"/>
                <w:sz w:val="22"/>
                <w:szCs w:val="22"/>
              </w:rPr>
              <w:t>（2022年度）</w:t>
            </w:r>
          </w:p>
        </w:tc>
      </w:tr>
      <w:tr>
        <w:trPr>
          <w:trHeight w:val="424"/>
        </w:trPr>
        <w:tc>
          <w:tcPr>
            <w:tcW w:w="2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转移支付（项目）名称</w:t>
            </w:r>
          </w:p>
        </w:tc>
        <w:tc>
          <w:tcPr>
            <w:tcW w:w="11451" w:type="dxa"/>
            <w:gridSpan w:val="5"/>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自然灾害灾后重建补助</w:t>
            </w:r>
          </w:p>
        </w:tc>
      </w:tr>
      <w:tr>
        <w:trPr>
          <w:trHeight w:val="255"/>
        </w:trPr>
        <w:tc>
          <w:tcPr>
            <w:tcW w:w="2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中央主管部门</w:t>
            </w:r>
          </w:p>
        </w:tc>
        <w:tc>
          <w:tcPr>
            <w:tcW w:w="11451" w:type="dxa"/>
            <w:gridSpan w:val="5"/>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应急管理部</w:t>
            </w:r>
          </w:p>
        </w:tc>
      </w:tr>
      <w:tr>
        <w:trPr>
          <w:trHeight w:val="255"/>
        </w:trPr>
        <w:tc>
          <w:tcPr>
            <w:tcW w:w="2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地方主管部门</w:t>
            </w: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广元市利州区应急管理局</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资金使用单位</w:t>
            </w:r>
          </w:p>
        </w:tc>
        <w:tc>
          <w:tcPr>
            <w:tcW w:w="4542"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广元市利州区应急管理局</w:t>
            </w:r>
          </w:p>
        </w:tc>
      </w:tr>
      <w:tr>
        <w:trPr>
          <w:trHeight w:val="477"/>
        </w:trPr>
        <w:tc>
          <w:tcPr>
            <w:tcW w:w="270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资金投入情况</w:t>
              <w:br/>
              <w:t>（万元）</w:t>
            </w: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22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全年预算数（A）</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全年执行数（B）</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预算执行率（B/A×100%)</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年度资金总额：</w:t>
            </w:r>
          </w:p>
        </w:tc>
        <w:tc>
          <w:tcPr>
            <w:tcW w:w="222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108.5</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108.5</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其中：中央财政资金</w:t>
            </w:r>
          </w:p>
        </w:tc>
        <w:tc>
          <w:tcPr>
            <w:tcW w:w="222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108.5</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108.5</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地方资金</w:t>
            </w:r>
          </w:p>
        </w:tc>
        <w:tc>
          <w:tcPr>
            <w:tcW w:w="222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277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20"/>
                <w:szCs w:val="20"/>
              </w:rPr>
              <w:t xml:space="preserve">  其他资金</w:t>
            </w:r>
          </w:p>
        </w:tc>
        <w:tc>
          <w:tcPr>
            <w:tcW w:w="222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352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277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5"/>
        </w:trPr>
        <w:tc>
          <w:tcPr>
            <w:tcW w:w="270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资金管理情况</w:t>
            </w: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5748"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情况说明</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存在问题和改进措施</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分配科学性</w:t>
            </w:r>
          </w:p>
        </w:tc>
        <w:tc>
          <w:tcPr>
            <w:tcW w:w="5748"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严格按照救助标准分配资金，分配科学。</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下达及时性</w:t>
            </w:r>
          </w:p>
        </w:tc>
        <w:tc>
          <w:tcPr>
            <w:tcW w:w="5748"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严格按照重建进度下达，下达及时。</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77"/>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拨付合规性</w:t>
            </w:r>
          </w:p>
        </w:tc>
        <w:tc>
          <w:tcPr>
            <w:tcW w:w="5748"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通过“一卡通”审批系统审批、“一卡通”发放系统发放，拨付合规。</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使用规范性</w:t>
            </w:r>
          </w:p>
        </w:tc>
        <w:tc>
          <w:tcPr>
            <w:tcW w:w="5748"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严格按照预算的科目和项目执行，使用规范。</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执行准确性</w:t>
            </w:r>
          </w:p>
        </w:tc>
        <w:tc>
          <w:tcPr>
            <w:tcW w:w="5748"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按照预算安排的金额执行，待其完工后全部拨付</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预算绩效管理情况</w:t>
            </w:r>
          </w:p>
        </w:tc>
        <w:tc>
          <w:tcPr>
            <w:tcW w:w="5748"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纳入绩效管理，开展绩效监控和绩效评价。</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5"/>
        </w:trPr>
        <w:tc>
          <w:tcPr>
            <w:tcW w:w="2706" w:type="dxa"/>
            <w:gridSpan w:val="3"/>
            <w:vMerge/>
            <w:tcBorders>
              <w:top w:val="single" w:sz="4" w:space="0" w:color="auto"/>
              <w:left w:val="single" w:sz="4" w:space="0" w:color="auto"/>
              <w:bottom w:val="single" w:sz="4" w:space="0" w:color="000000"/>
              <w:right w:val="single" w:sz="4" w:space="0" w:color="000000"/>
            </w:tcBorders>
            <w:vAlign w:val="center"/>
          </w:tcPr>
          <w:p/>
        </w:tc>
        <w:tc>
          <w:tcPr>
            <w:tcW w:w="292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支出责任履行情况</w:t>
            </w:r>
          </w:p>
        </w:tc>
        <w:tc>
          <w:tcPr>
            <w:tcW w:w="5748"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足额安排资金履行本级支出责任。</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5"/>
        </w:trPr>
        <w:tc>
          <w:tcPr>
            <w:tcW w:w="676"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总体目标完成情况</w:t>
            </w:r>
          </w:p>
        </w:tc>
        <w:tc>
          <w:tcPr>
            <w:tcW w:w="7176" w:type="dxa"/>
            <w:gridSpan w:val="4"/>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w:t>
            </w:r>
          </w:p>
        </w:tc>
        <w:tc>
          <w:tcPr>
            <w:tcW w:w="6305" w:type="dxa"/>
            <w:gridSpan w:val="3"/>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全年实际完成情况</w:t>
            </w:r>
          </w:p>
        </w:tc>
      </w:tr>
      <w:tr>
        <w:trPr>
          <w:trHeight w:val="1630"/>
        </w:trPr>
        <w:tc>
          <w:tcPr>
            <w:tcW w:w="676" w:type="dxa"/>
            <w:vMerge/>
            <w:tcBorders>
              <w:top w:val="nil"/>
              <w:left w:val="single" w:sz="4" w:space="0" w:color="auto"/>
              <w:bottom w:val="single" w:sz="4" w:space="0" w:color="000000"/>
              <w:right w:val="single" w:sz="4" w:space="0" w:color="auto"/>
            </w:tcBorders>
            <w:vAlign w:val="center"/>
          </w:tcPr>
          <w:p/>
        </w:tc>
        <w:tc>
          <w:tcPr>
            <w:tcW w:w="7176" w:type="dxa"/>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城乡居民住房灾后恢复重建。</w:t>
            </w:r>
          </w:p>
        </w:tc>
        <w:tc>
          <w:tcPr>
            <w:tcW w:w="6305"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cs="宋体" w:hAnsi="宋体"/>
                <w:color w:val="000000"/>
                <w:kern w:val="0"/>
                <w:sz w:val="20"/>
                <w:szCs w:val="20"/>
              </w:rPr>
            </w:pPr>
            <w:r>
              <w:rPr>
                <w:rFonts w:ascii="宋体" w:cs="宋体" w:hAnsi="宋体" w:hint="eastAsia"/>
                <w:color w:val="000000"/>
                <w:kern w:val="0"/>
                <w:sz w:val="20"/>
                <w:szCs w:val="20"/>
              </w:rPr>
              <w:t>已完成灾后恢复重建任务，并通过“一卡通”系统将重建补助资金全部发放给31户受灾困难群众。</w:t>
            </w:r>
          </w:p>
        </w:tc>
      </w:tr>
      <w:tr>
        <w:trPr>
          <w:trHeight w:val="938"/>
        </w:trPr>
        <w:tc>
          <w:tcPr>
            <w:tcW w:w="676"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绩效指标</w:t>
            </w:r>
          </w:p>
        </w:tc>
        <w:tc>
          <w:tcPr>
            <w:tcW w:w="677"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一级</w:t>
              <w:br/>
              <w:t>指标</w:t>
            </w:r>
          </w:p>
        </w:tc>
        <w:tc>
          <w:tcPr>
            <w:tcW w:w="135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二级指标</w:t>
            </w: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三级指标</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指标值</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全年实际完成值</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未完成原因和改进措施</w:t>
            </w:r>
          </w:p>
        </w:tc>
      </w:tr>
      <w:tr>
        <w:trPr>
          <w:trHeight w:val="429"/>
        </w:trPr>
        <w:tc>
          <w:tcPr>
            <w:tcW w:w="676" w:type="dxa"/>
            <w:vMerge/>
            <w:tcBorders>
              <w:top w:val="nil"/>
              <w:left w:val="single" w:sz="4" w:space="0" w:color="auto"/>
              <w:bottom w:val="single" w:sz="4" w:space="0" w:color="auto"/>
              <w:right w:val="single" w:sz="4" w:space="0" w:color="auto"/>
            </w:tcBorders>
            <w:vAlign w:val="center"/>
          </w:tcPr>
          <w:p/>
        </w:tc>
        <w:tc>
          <w:tcPr>
            <w:tcW w:w="677"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产</w:t>
              <w:br/>
              <w:t>出</w:t>
              <w:br/>
              <w:t>指</w:t>
              <w:br/>
              <w:t>标</w:t>
            </w:r>
          </w:p>
        </w:tc>
        <w:tc>
          <w:tcPr>
            <w:tcW w:w="135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数量指标</w:t>
            </w: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灾后重建户数</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31</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31</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02"/>
        </w:trPr>
        <w:tc>
          <w:tcPr>
            <w:tcW w:w="676" w:type="dxa"/>
            <w:vMerge/>
            <w:tcBorders>
              <w:top w:val="nil"/>
              <w:left w:val="single" w:sz="4" w:space="0" w:color="auto"/>
              <w:bottom w:val="single" w:sz="4" w:space="0" w:color="auto"/>
              <w:right w:val="single" w:sz="4" w:space="0" w:color="auto"/>
            </w:tcBorders>
            <w:vAlign w:val="center"/>
          </w:tcPr>
          <w:p/>
        </w:tc>
        <w:tc>
          <w:tcPr>
            <w:tcW w:w="677" w:type="dxa"/>
            <w:vMerge/>
            <w:tcBorders>
              <w:top w:val="nil"/>
              <w:left w:val="single" w:sz="4" w:space="0" w:color="auto"/>
              <w:bottom w:val="single" w:sz="4" w:space="0" w:color="auto"/>
              <w:right w:val="single" w:sz="4" w:space="0" w:color="auto"/>
            </w:tcBorders>
            <w:vAlign w:val="center"/>
          </w:tcPr>
          <w:p/>
        </w:tc>
        <w:tc>
          <w:tcPr>
            <w:tcW w:w="135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质量指标</w:t>
            </w: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救助标准</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3.5万元/户</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3.5万元/户</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02"/>
        </w:trPr>
        <w:tc>
          <w:tcPr>
            <w:tcW w:w="676" w:type="dxa"/>
            <w:vMerge/>
            <w:tcBorders>
              <w:top w:val="nil"/>
              <w:left w:val="single" w:sz="4" w:space="0" w:color="auto"/>
              <w:bottom w:val="single" w:sz="4" w:space="0" w:color="auto"/>
              <w:right w:val="single" w:sz="4" w:space="0" w:color="auto"/>
            </w:tcBorders>
            <w:vAlign w:val="center"/>
          </w:tcPr>
          <w:p/>
        </w:tc>
        <w:tc>
          <w:tcPr>
            <w:tcW w:w="677" w:type="dxa"/>
            <w:vMerge/>
            <w:tcBorders>
              <w:top w:val="nil"/>
              <w:left w:val="single" w:sz="4" w:space="0" w:color="auto"/>
              <w:bottom w:val="single" w:sz="4" w:space="0" w:color="auto"/>
              <w:right w:val="single" w:sz="4" w:space="0" w:color="auto"/>
            </w:tcBorders>
            <w:vAlign w:val="center"/>
          </w:tcPr>
          <w:p/>
        </w:tc>
        <w:tc>
          <w:tcPr>
            <w:tcW w:w="1353" w:type="dxa"/>
            <w:vMerge/>
            <w:tcBorders>
              <w:top w:val="nil"/>
              <w:left w:val="single" w:sz="4" w:space="0" w:color="auto"/>
              <w:bottom w:val="single" w:sz="4" w:space="0" w:color="auto"/>
              <w:right w:val="single" w:sz="4" w:space="0" w:color="auto"/>
            </w:tcBorders>
            <w:vAlign w:val="center"/>
          </w:tcP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救灾资金下拨率（%）</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02"/>
        </w:trPr>
        <w:tc>
          <w:tcPr>
            <w:tcW w:w="676" w:type="dxa"/>
            <w:vMerge/>
            <w:tcBorders>
              <w:top w:val="nil"/>
              <w:left w:val="single" w:sz="4" w:space="0" w:color="auto"/>
              <w:bottom w:val="single" w:sz="4" w:space="0" w:color="auto"/>
              <w:right w:val="single" w:sz="4" w:space="0" w:color="auto"/>
            </w:tcBorders>
            <w:vAlign w:val="center"/>
          </w:tcPr>
          <w:p/>
        </w:tc>
        <w:tc>
          <w:tcPr>
            <w:tcW w:w="677" w:type="dxa"/>
            <w:vMerge/>
            <w:tcBorders>
              <w:top w:val="nil"/>
              <w:left w:val="single" w:sz="4" w:space="0" w:color="auto"/>
              <w:bottom w:val="single" w:sz="4" w:space="0" w:color="auto"/>
              <w:right w:val="single" w:sz="4" w:space="0" w:color="auto"/>
            </w:tcBorders>
            <w:vAlign w:val="center"/>
          </w:tcPr>
          <w:p/>
        </w:tc>
        <w:tc>
          <w:tcPr>
            <w:tcW w:w="1353" w:type="dxa"/>
            <w:vMerge/>
            <w:tcBorders>
              <w:top w:val="nil"/>
              <w:left w:val="single" w:sz="4" w:space="0" w:color="auto"/>
              <w:bottom w:val="single" w:sz="4" w:space="0" w:color="auto"/>
              <w:right w:val="single" w:sz="4" w:space="0" w:color="auto"/>
            </w:tcBorders>
            <w:vAlign w:val="center"/>
          </w:tcP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救灾资金使用率（%）</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77"/>
        </w:trPr>
        <w:tc>
          <w:tcPr>
            <w:tcW w:w="676" w:type="dxa"/>
            <w:vMerge/>
            <w:tcBorders>
              <w:top w:val="nil"/>
              <w:left w:val="single" w:sz="4" w:space="0" w:color="auto"/>
              <w:bottom w:val="single" w:sz="4" w:space="0" w:color="auto"/>
              <w:right w:val="single" w:sz="4" w:space="0" w:color="auto"/>
            </w:tcBorders>
            <w:vAlign w:val="center"/>
          </w:tcPr>
          <w:p/>
        </w:tc>
        <w:tc>
          <w:tcPr>
            <w:tcW w:w="677" w:type="dxa"/>
            <w:vMerge/>
            <w:tcBorders>
              <w:top w:val="nil"/>
              <w:left w:val="single" w:sz="4" w:space="0" w:color="auto"/>
              <w:bottom w:val="single" w:sz="4" w:space="0" w:color="auto"/>
              <w:right w:val="single" w:sz="4" w:space="0" w:color="auto"/>
            </w:tcBorders>
            <w:vAlign w:val="center"/>
          </w:tcPr>
          <w:p/>
        </w:tc>
        <w:tc>
          <w:tcPr>
            <w:tcW w:w="1353" w:type="dxa"/>
            <w:vMerge/>
            <w:tcBorders>
              <w:top w:val="nil"/>
              <w:left w:val="single" w:sz="4" w:space="0" w:color="auto"/>
              <w:bottom w:val="single" w:sz="4" w:space="0" w:color="auto"/>
              <w:right w:val="single" w:sz="4" w:space="0" w:color="auto"/>
            </w:tcBorders>
            <w:vAlign w:val="center"/>
          </w:tcP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通过“一卡通”审批系统申报、审批、发放率（%）</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02"/>
        </w:trPr>
        <w:tc>
          <w:tcPr>
            <w:tcW w:w="676" w:type="dxa"/>
            <w:vMerge/>
            <w:tcBorders>
              <w:top w:val="nil"/>
              <w:left w:val="single" w:sz="4" w:space="0" w:color="auto"/>
              <w:bottom w:val="single" w:sz="4" w:space="0" w:color="auto"/>
              <w:right w:val="single" w:sz="4" w:space="0" w:color="auto"/>
            </w:tcBorders>
            <w:vAlign w:val="center"/>
          </w:tcPr>
          <w:p/>
        </w:tc>
        <w:tc>
          <w:tcPr>
            <w:tcW w:w="677" w:type="dxa"/>
            <w:vMerge/>
            <w:tcBorders>
              <w:top w:val="nil"/>
              <w:left w:val="single" w:sz="4" w:space="0" w:color="auto"/>
              <w:bottom w:val="single" w:sz="4" w:space="0" w:color="auto"/>
              <w:right w:val="single" w:sz="4" w:space="0" w:color="auto"/>
            </w:tcBorders>
            <w:vAlign w:val="center"/>
          </w:tcPr>
          <w:p/>
        </w:tc>
        <w:tc>
          <w:tcPr>
            <w:tcW w:w="135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时效指标</w:t>
            </w:r>
          </w:p>
        </w:tc>
        <w:tc>
          <w:tcPr>
            <w:tcW w:w="5146" w:type="dxa"/>
            <w:gridSpan w:val="2"/>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按重建进度拨付</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全部拨付</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全部拨付</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02"/>
        </w:trPr>
        <w:tc>
          <w:tcPr>
            <w:tcW w:w="676" w:type="dxa"/>
            <w:vMerge/>
            <w:tcBorders>
              <w:top w:val="nil"/>
              <w:left w:val="single" w:sz="4" w:space="0" w:color="auto"/>
              <w:bottom w:val="single" w:sz="4" w:space="0" w:color="auto"/>
              <w:right w:val="single" w:sz="4" w:space="0" w:color="auto"/>
            </w:tcBorders>
            <w:vAlign w:val="center"/>
          </w:tcPr>
          <w:p/>
        </w:tc>
        <w:tc>
          <w:tcPr>
            <w:tcW w:w="677"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　</w:t>
            </w:r>
          </w:p>
        </w:tc>
        <w:tc>
          <w:tcPr>
            <w:tcW w:w="135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社会效益</w:t>
              <w:br/>
              <w:t>指标</w:t>
            </w: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帮助受灾群众灾后恢复重建</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群众满意度高</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群众满意度高</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02"/>
        </w:trPr>
        <w:tc>
          <w:tcPr>
            <w:tcW w:w="676" w:type="dxa"/>
            <w:vMerge/>
            <w:tcBorders>
              <w:top w:val="nil"/>
              <w:left w:val="single" w:sz="4" w:space="0" w:color="auto"/>
              <w:bottom w:val="single" w:sz="4" w:space="0" w:color="auto"/>
              <w:right w:val="single" w:sz="4" w:space="0" w:color="auto"/>
            </w:tcBorders>
            <w:vAlign w:val="center"/>
          </w:tcPr>
          <w:p/>
        </w:tc>
        <w:tc>
          <w:tcPr>
            <w:tcW w:w="677" w:type="dxa"/>
            <w:vMerge/>
            <w:tcBorders>
              <w:top w:val="nil"/>
              <w:left w:val="single" w:sz="4" w:space="0" w:color="auto"/>
              <w:bottom w:val="single" w:sz="4" w:space="0" w:color="auto"/>
              <w:right w:val="single" w:sz="4" w:space="0" w:color="auto"/>
            </w:tcBorders>
            <w:vAlign w:val="center"/>
          </w:tcPr>
          <w:p/>
        </w:tc>
        <w:tc>
          <w:tcPr>
            <w:tcW w:w="1353" w:type="dxa"/>
            <w:vMerge/>
            <w:tcBorders>
              <w:top w:val="nil"/>
              <w:left w:val="single" w:sz="4" w:space="0" w:color="auto"/>
              <w:bottom w:val="single" w:sz="4" w:space="0" w:color="auto"/>
              <w:right w:val="single" w:sz="4" w:space="0" w:color="auto"/>
            </w:tcBorders>
            <w:vAlign w:val="center"/>
          </w:tcP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重大负责舆情和事件次数（次）</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0</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0</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712"/>
        </w:trPr>
        <w:tc>
          <w:tcPr>
            <w:tcW w:w="676" w:type="dxa"/>
            <w:vMerge/>
            <w:tcBorders>
              <w:top w:val="nil"/>
              <w:left w:val="single" w:sz="4" w:space="0" w:color="auto"/>
              <w:bottom w:val="single" w:sz="4" w:space="0" w:color="auto"/>
              <w:right w:val="single" w:sz="4" w:space="0" w:color="auto"/>
            </w:tcBorders>
            <w:vAlign w:val="center"/>
          </w:tcPr>
          <w:p/>
        </w:tc>
        <w:tc>
          <w:tcPr>
            <w:tcW w:w="677"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满意度指标</w:t>
            </w:r>
          </w:p>
        </w:tc>
        <w:tc>
          <w:tcPr>
            <w:tcW w:w="135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服务对象</w:t>
              <w:br/>
              <w:t>满意度指标</w:t>
            </w:r>
          </w:p>
        </w:tc>
        <w:tc>
          <w:tcPr>
            <w:tcW w:w="5146"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受灾群众投诉率（%）</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0</w:t>
            </w:r>
          </w:p>
        </w:tc>
        <w:tc>
          <w:tcPr>
            <w:tcW w:w="176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0</w:t>
            </w:r>
          </w:p>
        </w:tc>
        <w:tc>
          <w:tcPr>
            <w:tcW w:w="27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77"/>
        </w:trPr>
        <w:tc>
          <w:tcPr>
            <w:tcW w:w="676"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说明</w:t>
            </w:r>
          </w:p>
        </w:tc>
        <w:tc>
          <w:tcPr>
            <w:tcW w:w="13481" w:type="dxa"/>
            <w:gridSpan w:val="7"/>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无</w:t>
            </w:r>
          </w:p>
        </w:tc>
      </w:tr>
      <w:tr>
        <w:trPr>
          <w:trHeight w:val="246"/>
        </w:trPr>
        <w:tc>
          <w:tcPr>
            <w:tcW w:w="14157" w:type="dxa"/>
            <w:gridSpan w:val="8"/>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注：1.资金使用单位按项目绩效目标填报，主管部门汇总时按区域绩效目标填报。</w:t>
            </w:r>
          </w:p>
        </w:tc>
      </w:tr>
      <w:tr>
        <w:trPr>
          <w:trHeight w:val="387"/>
        </w:trPr>
        <w:tc>
          <w:tcPr>
            <w:tcW w:w="14157" w:type="dxa"/>
            <w:gridSpan w:val="8"/>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2.其他资金包括与中央财政资金、地方财政资金共同投入到同一项目的自有资金、社会资金，以及以前年度的结转结余资金等。</w:t>
            </w:r>
          </w:p>
        </w:tc>
      </w:tr>
      <w:tr>
        <w:trPr>
          <w:trHeight w:val="254"/>
        </w:trPr>
        <w:tc>
          <w:tcPr>
            <w:tcW w:w="14157" w:type="dxa"/>
            <w:gridSpan w:val="8"/>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3.全年执行数是指按照国库集中支付制度要求所形成的实际支出。</w:t>
            </w:r>
          </w:p>
        </w:tc>
      </w:tr>
    </w:tbl>
    <w:p>
      <w:pPr>
        <w:pStyle w:val="15"/>
        <w:spacing w:beforeLines="0" w:before="93"/>
        <w:rPr>
          <w:color w:val="C00000"/>
        </w:rPr>
      </w:pPr>
    </w:p>
    <w:p>
      <w:pPr>
        <w:pStyle w:val="15"/>
        <w:spacing w:beforeLines="0" w:before="93"/>
        <w:rPr>
          <w:color w:val="C00000"/>
        </w:r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sectPr>
          <w:pgSz w:w="16838" w:h="11906" w:orient="landscape"/>
          <w:pgMar w:top="1587" w:right="2098" w:bottom="1474" w:left="1984" w:header="851" w:footer="992" w:gutter="0"/>
          <w:cols w:num="1" w:space="0"/>
          <w:titlePg/>
          <w:docGrid w:type="lines" w:linePitch="312" w:charSpace="0"/>
        </w:sectPr>
      </w:pPr>
    </w:p>
    <w:p>
      <w:pPr>
        <w:pStyle w:val="38"/>
        <w:spacing w:line="576" w:lineRule="exact"/>
        <w:jc w:val="center"/>
        <w:rPr>
          <w:rFonts w:ascii="方正小标宋简体" w:eastAsia="方正小标宋简体" w:cs="方正小标宋简体" w:hAnsi="方正小标宋简体"/>
          <w:color w:val="auto"/>
          <w:kern w:val="2"/>
          <w:sz w:val="44"/>
          <w:szCs w:val="44"/>
          <w:lang w:val="en-US"/>
        </w:rPr>
      </w:pPr>
      <w:r>
        <w:rPr>
          <w:rFonts w:ascii="方正小标宋简体" w:eastAsia="方正小标宋简体" w:cs="方正小标宋简体" w:hAnsi="方正小标宋简体" w:hint="eastAsia"/>
          <w:color w:val="auto"/>
          <w:kern w:val="2"/>
          <w:sz w:val="44"/>
          <w:szCs w:val="44"/>
          <w:lang w:val="en-US"/>
        </w:rPr>
        <w:t>广元市利州区应急管理局</w:t>
      </w:r>
    </w:p>
    <w:p>
      <w:pPr>
        <w:pStyle w:val="38"/>
        <w:spacing w:line="576" w:lineRule="exact"/>
        <w:jc w:val="center"/>
        <w:rPr>
          <w:rFonts w:ascii="方正小标宋简体" w:eastAsia="方正小标宋简体" w:cs="方正小标宋简体" w:hAnsi="方正小标宋简体"/>
          <w:color w:val="auto"/>
          <w:kern w:val="2"/>
          <w:sz w:val="44"/>
          <w:szCs w:val="44"/>
          <w:lang w:val="en-US"/>
        </w:rPr>
      </w:pPr>
      <w:r>
        <w:rPr>
          <w:rFonts w:ascii="方正小标宋简体" w:eastAsia="方正小标宋简体" w:cs="方正小标宋简体" w:hAnsi="方正小标宋简体" w:hint="eastAsia"/>
          <w:color w:val="auto"/>
          <w:kern w:val="2"/>
          <w:sz w:val="44"/>
          <w:szCs w:val="44"/>
          <w:lang w:val="en-US"/>
        </w:rPr>
        <w:t>2022年专项资金预算项目支出绩效</w:t>
      </w:r>
    </w:p>
    <w:p>
      <w:pPr>
        <w:pStyle w:val="38"/>
        <w:spacing w:line="576" w:lineRule="exact"/>
        <w:jc w:val="center"/>
        <w:rPr>
          <w:rFonts w:ascii="方正小标宋简体" w:eastAsia="方正小标宋简体" w:cs="方正小标宋简体" w:hAnsi="方正小标宋简体"/>
          <w:color w:val="auto"/>
          <w:kern w:val="2"/>
          <w:sz w:val="44"/>
          <w:szCs w:val="44"/>
          <w:lang w:val="en-US"/>
        </w:rPr>
      </w:pPr>
      <w:r>
        <w:rPr>
          <w:rFonts w:ascii="方正小标宋简体" w:eastAsia="方正小标宋简体" w:cs="方正小标宋简体" w:hAnsi="方正小标宋简体" w:hint="eastAsia"/>
          <w:color w:val="auto"/>
          <w:kern w:val="2"/>
          <w:sz w:val="44"/>
          <w:szCs w:val="44"/>
          <w:lang w:val="en-US"/>
        </w:rPr>
        <w:t>自评报告（风险普查）</w:t>
      </w:r>
    </w:p>
    <w:p>
      <w:pPr>
        <w:pStyle w:val="38"/>
        <w:spacing w:line="576" w:lineRule="exact"/>
        <w:ind w:firstLine="640"/>
        <w:jc w:val="center"/>
        <w:rPr>
          <w:rFonts w:ascii="宋体" w:hAnsi="宋体"/>
          <w:color w:val="auto"/>
          <w:kern w:val="2"/>
          <w:sz w:val="32"/>
          <w:szCs w:val="32"/>
        </w:rPr>
      </w:pPr>
    </w:p>
    <w:p>
      <w:pPr>
        <w:adjustRightInd w:val="0"/>
        <w:snapToGrid w:val="0"/>
        <w:spacing w:line="576" w:lineRule="exact"/>
        <w:ind w:firstLineChars="200" w:firstLine="64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rPr>
        <w:t>一、</w:t>
      </w:r>
      <w:r>
        <w:rPr>
          <w:rFonts w:ascii="方正黑体简体" w:eastAsia="方正黑体简体" w:cs="方正黑体简体" w:hAnsi="方正黑体简体" w:hint="eastAsia"/>
          <w:sz w:val="32"/>
          <w:szCs w:val="32"/>
          <w:lang w:val="zh-CN"/>
        </w:rPr>
        <w:t>项目概况</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（一）项目基本情况。</w:t>
      </w:r>
    </w:p>
    <w:p>
      <w:pPr>
        <w:overflowPunct w:val="0"/>
        <w:topLinePunct/>
        <w:spacing w:line="576" w:lineRule="exact"/>
        <w:ind w:firstLineChars="200" w:firstLine="640"/>
        <w:contextualSpacing/>
        <w:rPr>
          <w:rFonts w:ascii="方正仿宋简体" w:eastAsia="方正仿宋简体" w:cs="方正仿宋简体" w:hAnsi="方正仿宋简体"/>
          <w:b/>
          <w:bCs/>
          <w:kern w:val="0"/>
          <w:sz w:val="32"/>
          <w:szCs w:val="32"/>
          <w:shd w:val="clear" w:color="auto" w:fill="FFFFFF"/>
          <w:lang w:val="zh-CN"/>
        </w:rPr>
      </w:pPr>
      <w:r>
        <w:rPr>
          <w:rFonts w:ascii="方正仿宋简体" w:eastAsia="方正仿宋简体" w:cs="方正仿宋简体" w:hAnsi="方正仿宋简体" w:hint="eastAsia"/>
          <w:b/>
          <w:bCs/>
          <w:kern w:val="0"/>
          <w:sz w:val="32"/>
          <w:szCs w:val="32"/>
          <w:shd w:val="clear" w:color="auto" w:fill="FFFFFF"/>
          <w:lang w:val="zh-CN"/>
        </w:rPr>
        <w:t>1．项目管理职能。</w:t>
      </w:r>
    </w:p>
    <w:p>
      <w:pPr>
        <w:overflowPunct w:val="0"/>
        <w:topLinePunct/>
        <w:spacing w:line="576" w:lineRule="exact"/>
        <w:ind w:firstLineChars="200" w:firstLine="640"/>
        <w:contextualSpacing/>
        <w:rPr>
          <w:rFonts w:ascii="方正仿宋简体" w:eastAsia="方正仿宋简体" w:cs="方正仿宋简体" w:hAnsi="方正仿宋简体"/>
          <w:kern w:val="0"/>
          <w:sz w:val="32"/>
          <w:szCs w:val="32"/>
          <w:shd w:val="clear" w:color="auto" w:fill="FFFFFF"/>
        </w:rPr>
      </w:pPr>
      <w:r>
        <w:rPr>
          <w:rFonts w:ascii="方正仿宋简体" w:eastAsia="方正仿宋简体" w:cs="方正仿宋简体" w:hAnsi="方正仿宋简体" w:hint="eastAsia"/>
          <w:snapToGrid w:val="0"/>
          <w:color w:val="000000"/>
          <w:kern w:val="0"/>
          <w:sz w:val="32"/>
          <w:szCs w:val="32"/>
        </w:rPr>
        <w:t>在区领导小组领导下开展工作，承担领导小组日常工作，具体负责广元市利州区第一次全国自然灾害综合风险普查的组织、协调和实施，研究提出需区领导小组决策的建议方案，督促落实领导小组议定事项，承办领导小组交办的其他事项。包括风险普查规范性文件、工作制度拟定；区级总体方案及有关任务分工方案组织编制和指导实施；组织开展新闻宣传、舆情引导和业务培训；组织收集广元市利州区第一次全国自然灾害综合风险普查基础资料；配合市级开展普查基础底图和必要的空间要素信息制备等；组织完成广元市利州区第一次全国自然灾害综合风险普查成果审核、验收和汇交工作；负责区级各部门和单位普查成果的检查验收；负责广元市利州区第一次全国自然灾害综合风险普查数据等各类成果汇总、分析；负责区级普查资料归档、成果编制等；负责公共服务设施承灾体、减灾能力、历史灾害调查，配合上级部门完成利州区自然灾害综合风险评估与区划工作。</w:t>
      </w:r>
    </w:p>
    <w:p>
      <w:pPr>
        <w:adjustRightInd w:val="0"/>
        <w:snapToGrid w:val="0"/>
        <w:spacing w:line="576" w:lineRule="exact"/>
        <w:ind w:firstLineChars="200" w:firstLine="640"/>
        <w:contextualSpacing/>
        <w:rPr>
          <w:rFonts w:ascii="方正仿宋简体" w:eastAsia="方正仿宋简体" w:cs="方正仿宋简体" w:hAnsi="方正仿宋简体"/>
          <w:b/>
          <w:bCs/>
          <w:kern w:val="0"/>
          <w:sz w:val="32"/>
          <w:szCs w:val="32"/>
          <w:shd w:val="clear" w:color="auto" w:fill="FFFFFF"/>
          <w:lang w:val="zh-CN"/>
        </w:rPr>
      </w:pPr>
      <w:r>
        <w:rPr>
          <w:rFonts w:ascii="方正仿宋简体" w:eastAsia="方正仿宋简体" w:cs="方正仿宋简体" w:hAnsi="方正仿宋简体" w:hint="eastAsia"/>
          <w:b/>
          <w:bCs/>
          <w:kern w:val="0"/>
          <w:sz w:val="32"/>
          <w:szCs w:val="32"/>
          <w:shd w:val="clear" w:color="auto" w:fill="FFFFFF"/>
          <w:lang w:val="zh-CN"/>
        </w:rPr>
        <w:t>2．项目立项、资金申报的依据。</w:t>
      </w:r>
    </w:p>
    <w:p>
      <w:pPr>
        <w:pStyle w:val="25"/>
        <w:spacing w:beforeAutospacing="0" w:after="180" w:afterAutospacing="0" w:line="576" w:lineRule="exact"/>
        <w:ind w:firstLineChars="200" w:firstLine="640"/>
        <w:rPr>
          <w:rFonts w:ascii="方正仿宋简体" w:eastAsia="方正仿宋简体" w:cs="方正仿宋简体" w:hAnsi="方正仿宋简体"/>
          <w:sz w:val="32"/>
          <w:szCs w:val="32"/>
          <w:shd w:val="clear" w:color="auto" w:fill="FFFFFF"/>
          <w:lang w:val="zh-CN"/>
        </w:rPr>
      </w:pPr>
      <w:r>
        <w:rPr>
          <w:rFonts w:ascii="方正仿宋简体" w:eastAsia="方正仿宋简体" w:cs="方正仿宋简体" w:hAnsi="方正仿宋简体" w:hint="eastAsia"/>
          <w:sz w:val="32"/>
          <w:szCs w:val="32"/>
          <w:shd w:val="clear" w:color="auto" w:fill="FFFFFF"/>
        </w:rPr>
        <w:t>（1）《国务院办公厅关于开展第一次全国自然灾害综合风险普查的通知》</w:t>
      </w:r>
      <w:r>
        <w:rPr>
          <w:rFonts w:ascii="方正仿宋简体" w:eastAsia="方正仿宋简体" w:cs="方正仿宋简体" w:hAnsi="方正仿宋简体" w:hint="eastAsia"/>
          <w:sz w:val="32"/>
          <w:szCs w:val="32"/>
          <w:shd w:val="clear" w:color="auto" w:fill="FFFFFF"/>
          <w:lang w:val="zh-CN"/>
        </w:rPr>
        <w:t>国办发〔2020〕12号</w:t>
      </w:r>
    </w:p>
    <w:p>
      <w:pPr>
        <w:pStyle w:val="25"/>
        <w:spacing w:beforeAutospacing="0" w:afterAutospacing="0" w:line="576" w:lineRule="exact"/>
        <w:ind w:firstLineChars="200" w:firstLine="640"/>
        <w:rPr>
          <w:rFonts w:ascii="方正仿宋简体" w:eastAsia="方正仿宋简体" w:cs="方正仿宋简体" w:hAnsi="方正仿宋简体"/>
          <w:sz w:val="32"/>
          <w:szCs w:val="32"/>
          <w:shd w:val="clear" w:color="auto" w:fill="FFFFFF"/>
          <w:lang w:val="zh-CN"/>
        </w:rPr>
      </w:pP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shd w:val="clear" w:color="auto" w:fill="FFFFFF"/>
        </w:rPr>
        <w:t>2</w:t>
      </w: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shd w:val="clear" w:color="auto" w:fill="FFFFFF"/>
        </w:rPr>
        <w:t>四川省人民政府办公厅关于开展四川省第一次全国自然灾害综合风险普查的通知</w:t>
      </w: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shd w:val="clear" w:color="auto" w:fill="FFFFFF"/>
        </w:rPr>
        <w:t>川办发</w:t>
      </w:r>
      <w:r>
        <w:rPr>
          <w:rFonts w:ascii="方正仿宋简体" w:eastAsia="方正仿宋简体" w:cs="方正仿宋简体" w:hAnsi="方正仿宋简体" w:hint="eastAsia"/>
          <w:sz w:val="32"/>
          <w:szCs w:val="32"/>
          <w:shd w:val="clear" w:color="auto" w:fill="FFFFFF"/>
          <w:lang w:val="zh-CN"/>
        </w:rPr>
        <w:t>〔2020〕</w:t>
      </w:r>
      <w:r>
        <w:rPr>
          <w:rFonts w:ascii="方正仿宋简体" w:eastAsia="方正仿宋简体" w:cs="方正仿宋简体" w:hAnsi="方正仿宋简体" w:hint="eastAsia"/>
          <w:sz w:val="32"/>
          <w:szCs w:val="32"/>
          <w:shd w:val="clear" w:color="auto" w:fill="FFFFFF"/>
        </w:rPr>
        <w:t>58</w:t>
      </w:r>
      <w:r>
        <w:rPr>
          <w:rFonts w:ascii="方正仿宋简体" w:eastAsia="方正仿宋简体" w:cs="方正仿宋简体" w:hAnsi="方正仿宋简体" w:hint="eastAsia"/>
          <w:sz w:val="32"/>
          <w:szCs w:val="32"/>
          <w:shd w:val="clear" w:color="auto" w:fill="FFFFFF"/>
          <w:lang w:val="zh-CN"/>
        </w:rPr>
        <w:t>号</w:t>
      </w:r>
    </w:p>
    <w:p>
      <w:pPr>
        <w:pStyle w:val="25"/>
        <w:spacing w:beforeAutospacing="0" w:afterAutospacing="0" w:line="576" w:lineRule="exact"/>
        <w:ind w:firstLineChars="200" w:firstLine="640"/>
        <w:rPr>
          <w:rFonts w:ascii="方正仿宋简体" w:eastAsia="方正仿宋简体" w:cs="方正仿宋简体" w:hAnsi="方正仿宋简体"/>
          <w:sz w:val="32"/>
          <w:szCs w:val="32"/>
          <w:shd w:val="clear" w:color="auto" w:fill="FFFFFF"/>
        </w:rPr>
      </w:pP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shd w:val="clear" w:color="auto" w:fill="FFFFFF"/>
        </w:rPr>
        <w:t>3</w:t>
      </w: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shd w:val="clear" w:color="auto" w:fill="FFFFFF"/>
        </w:rPr>
        <w:t>广元市第一次全国自然灾害综合风险普查领导小组办公室关于印发广元市第一次全国自然灾害综合风险普查总体方案的通知</w:t>
      </w: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shd w:val="clear" w:color="auto" w:fill="FFFFFF"/>
        </w:rPr>
        <w:t>广灾险普办</w:t>
      </w:r>
      <w:r>
        <w:rPr>
          <w:rFonts w:ascii="方正仿宋简体" w:eastAsia="方正仿宋简体" w:cs="方正仿宋简体" w:hAnsi="方正仿宋简体" w:hint="eastAsia"/>
          <w:sz w:val="32"/>
          <w:szCs w:val="32"/>
          <w:shd w:val="clear" w:color="auto" w:fill="FFFFFF"/>
          <w:lang w:val="zh-CN"/>
        </w:rPr>
        <w:t>〔202</w:t>
      </w:r>
      <w:r>
        <w:rPr>
          <w:rFonts w:ascii="方正仿宋简体" w:eastAsia="方正仿宋简体" w:cs="方正仿宋简体" w:hAnsi="方正仿宋简体" w:hint="eastAsia"/>
          <w:sz w:val="32"/>
          <w:szCs w:val="32"/>
          <w:shd w:val="clear" w:color="auto" w:fill="FFFFFF"/>
        </w:rPr>
        <w:t>1</w:t>
      </w: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shd w:val="clear" w:color="auto" w:fill="FFFFFF"/>
        </w:rPr>
        <w:t>2</w:t>
      </w:r>
      <w:r>
        <w:rPr>
          <w:rFonts w:ascii="方正仿宋简体" w:eastAsia="方正仿宋简体" w:cs="方正仿宋简体" w:hAnsi="方正仿宋简体" w:hint="eastAsia"/>
          <w:sz w:val="32"/>
          <w:szCs w:val="32"/>
          <w:shd w:val="clear" w:color="auto" w:fill="FFFFFF"/>
          <w:lang w:val="zh-CN"/>
        </w:rPr>
        <w:t>号</w:t>
      </w:r>
    </w:p>
    <w:p>
      <w:pPr>
        <w:pStyle w:val="25"/>
        <w:spacing w:beforeAutospacing="0" w:afterAutospacing="0" w:line="576" w:lineRule="exact"/>
        <w:ind w:firstLineChars="200" w:firstLine="640"/>
        <w:rPr>
          <w:rFonts w:ascii="方正仿宋简体" w:eastAsia="方正仿宋简体" w:cs="方正仿宋简体" w:hAnsi="方正仿宋简体"/>
          <w:sz w:val="32"/>
          <w:szCs w:val="32"/>
          <w:shd w:val="clear" w:color="auto" w:fill="FFFFFF"/>
          <w:lang w:val="zh-CN"/>
        </w:rPr>
      </w:pP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shd w:val="clear" w:color="auto" w:fill="FFFFFF"/>
        </w:rPr>
        <w:t>4</w:t>
      </w: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rPr>
        <w:t>《广元市利州区第一次全国自然灾害综合风险普查领导小组办公室关于印发广元市利州区第一次全国自然灾害综合风险普查总体方案的通知》</w:t>
      </w:r>
      <w:r>
        <w:rPr>
          <w:rFonts w:ascii="方正仿宋简体" w:eastAsia="方正仿宋简体" w:cs="方正仿宋简体" w:hAnsi="方正仿宋简体" w:hint="eastAsia"/>
          <w:sz w:val="32"/>
          <w:szCs w:val="32"/>
          <w:shd w:val="clear" w:color="auto" w:fill="FFFFFF"/>
        </w:rPr>
        <w:t>广利灾险普办</w:t>
      </w:r>
      <w:r>
        <w:rPr>
          <w:rFonts w:ascii="方正仿宋简体" w:eastAsia="方正仿宋简体" w:cs="方正仿宋简体" w:hAnsi="方正仿宋简体" w:hint="eastAsia"/>
          <w:sz w:val="32"/>
          <w:szCs w:val="32"/>
          <w:shd w:val="clear" w:color="auto" w:fill="FFFFFF"/>
          <w:lang w:val="zh-CN"/>
        </w:rPr>
        <w:t>〔202</w:t>
      </w:r>
      <w:r>
        <w:rPr>
          <w:rFonts w:ascii="方正仿宋简体" w:eastAsia="方正仿宋简体" w:cs="方正仿宋简体" w:hAnsi="方正仿宋简体" w:hint="eastAsia"/>
          <w:sz w:val="32"/>
          <w:szCs w:val="32"/>
          <w:shd w:val="clear" w:color="auto" w:fill="FFFFFF"/>
        </w:rPr>
        <w:t>1</w:t>
      </w:r>
      <w:r>
        <w:rPr>
          <w:rFonts w:ascii="方正仿宋简体" w:eastAsia="方正仿宋简体" w:cs="方正仿宋简体" w:hAnsi="方正仿宋简体" w:hint="eastAsia"/>
          <w:sz w:val="32"/>
          <w:szCs w:val="32"/>
          <w:shd w:val="clear" w:color="auto" w:fill="FFFFFF"/>
          <w:lang w:val="zh-CN"/>
        </w:rPr>
        <w:t>〕</w:t>
      </w:r>
      <w:r>
        <w:rPr>
          <w:rFonts w:ascii="方正仿宋简体" w:eastAsia="方正仿宋简体" w:cs="方正仿宋简体" w:hAnsi="方正仿宋简体" w:hint="eastAsia"/>
          <w:sz w:val="32"/>
          <w:szCs w:val="32"/>
          <w:shd w:val="clear" w:color="auto" w:fill="FFFFFF"/>
        </w:rPr>
        <w:t>2</w:t>
      </w:r>
      <w:r>
        <w:rPr>
          <w:rFonts w:ascii="方正仿宋简体" w:eastAsia="方正仿宋简体" w:cs="方正仿宋简体" w:hAnsi="方正仿宋简体" w:hint="eastAsia"/>
          <w:sz w:val="32"/>
          <w:szCs w:val="32"/>
          <w:shd w:val="clear" w:color="auto" w:fill="FFFFFF"/>
          <w:lang w:val="zh-CN"/>
        </w:rPr>
        <w:t>号</w:t>
      </w:r>
    </w:p>
    <w:p>
      <w:pPr>
        <w:adjustRightInd w:val="0"/>
        <w:snapToGrid w:val="0"/>
        <w:spacing w:line="576" w:lineRule="exact"/>
        <w:ind w:firstLineChars="200" w:firstLine="640"/>
        <w:contextualSpacing/>
        <w:rPr>
          <w:rFonts w:ascii="方正仿宋简体" w:eastAsia="方正仿宋简体" w:cs="方正仿宋简体" w:hAnsi="方正仿宋简体"/>
          <w:b/>
          <w:bCs/>
          <w:kern w:val="0"/>
          <w:sz w:val="32"/>
          <w:szCs w:val="32"/>
          <w:shd w:val="clear" w:color="auto" w:fill="FFFFFF"/>
          <w:lang w:val="zh-CN"/>
        </w:rPr>
      </w:pPr>
      <w:r>
        <w:rPr>
          <w:rFonts w:ascii="方正仿宋简体" w:eastAsia="方正仿宋简体" w:cs="方正仿宋简体" w:hAnsi="方正仿宋简体" w:hint="eastAsia"/>
          <w:b/>
          <w:bCs/>
          <w:kern w:val="0"/>
          <w:sz w:val="32"/>
          <w:szCs w:val="32"/>
          <w:shd w:val="clear" w:color="auto" w:fill="FFFFFF"/>
          <w:lang w:val="zh-CN"/>
        </w:rPr>
        <w:t>3．资金</w:t>
      </w:r>
      <w:r>
        <w:rPr>
          <w:rFonts w:ascii="方正仿宋简体" w:eastAsia="方正仿宋简体" w:cs="方正仿宋简体" w:hAnsi="方正仿宋简体" w:hint="eastAsia"/>
          <w:b/>
          <w:bCs/>
          <w:kern w:val="0"/>
          <w:sz w:val="32"/>
          <w:szCs w:val="32"/>
          <w:shd w:val="clear" w:color="auto" w:fill="FFFFFF"/>
        </w:rPr>
        <w:t>或项目</w:t>
      </w:r>
      <w:r>
        <w:rPr>
          <w:rFonts w:ascii="方正仿宋简体" w:eastAsia="方正仿宋简体" w:cs="方正仿宋简体" w:hAnsi="方正仿宋简体" w:hint="eastAsia"/>
          <w:b/>
          <w:bCs/>
          <w:kern w:val="0"/>
          <w:sz w:val="32"/>
          <w:szCs w:val="32"/>
          <w:shd w:val="clear" w:color="auto" w:fill="FFFFFF"/>
          <w:lang w:val="zh-CN"/>
        </w:rPr>
        <w:t>管理办法制定情况，资金支持具体项目的条件、范围与支持方式概况。</w:t>
      </w:r>
    </w:p>
    <w:p>
      <w:pPr>
        <w:adjustRightInd w:val="0"/>
        <w:snapToGrid w:val="0"/>
        <w:spacing w:line="576" w:lineRule="exact"/>
        <w:ind w:firstLineChars="200" w:firstLine="640"/>
        <w:contextualSpacing/>
        <w:rPr>
          <w:rFonts w:ascii="方正仿宋简体" w:eastAsia="方正仿宋简体" w:cs="方正仿宋简体" w:hAnsi="方正仿宋简体"/>
          <w:kern w:val="0"/>
          <w:sz w:val="32"/>
          <w:szCs w:val="32"/>
          <w:shd w:val="clear" w:color="auto" w:fill="FFFFFF"/>
        </w:rPr>
      </w:pPr>
      <w:r>
        <w:rPr>
          <w:rFonts w:ascii="方正仿宋简体" w:eastAsia="方正仿宋简体" w:cs="方正仿宋简体" w:hAnsi="方正仿宋简体" w:hint="eastAsia"/>
          <w:kern w:val="0"/>
          <w:sz w:val="32"/>
          <w:szCs w:val="32"/>
          <w:shd w:val="clear" w:color="auto" w:fill="FFFFFF"/>
        </w:rPr>
        <w:t>根据上级风险普查有关文件精神，制定区级风险普查方案，通过政府购买服务的方式聘请第三方技术支撑机构开展风险普查工作。</w:t>
      </w:r>
    </w:p>
    <w:p>
      <w:pPr>
        <w:adjustRightInd w:val="0"/>
        <w:snapToGrid w:val="0"/>
        <w:spacing w:line="576" w:lineRule="exact"/>
        <w:ind w:firstLineChars="200" w:firstLine="640"/>
        <w:contextualSpacing/>
        <w:rPr>
          <w:rFonts w:ascii="方正仿宋简体" w:eastAsia="方正仿宋简体" w:cs="方正仿宋简体" w:hAnsi="方正仿宋简体"/>
          <w:b/>
          <w:bCs/>
          <w:kern w:val="0"/>
          <w:sz w:val="32"/>
          <w:szCs w:val="32"/>
          <w:shd w:val="clear" w:color="auto" w:fill="FFFFFF"/>
          <w:lang w:val="zh-CN"/>
        </w:rPr>
      </w:pPr>
      <w:r>
        <w:rPr>
          <w:rFonts w:ascii="方正仿宋简体" w:eastAsia="方正仿宋简体" w:cs="方正仿宋简体" w:hAnsi="方正仿宋简体" w:hint="eastAsia"/>
          <w:b/>
          <w:bCs/>
          <w:kern w:val="0"/>
          <w:sz w:val="32"/>
          <w:szCs w:val="32"/>
          <w:shd w:val="clear" w:color="auto" w:fill="FFFFFF"/>
          <w:lang w:val="zh-CN"/>
        </w:rPr>
        <w:t>4．资金分配的原则及考虑因素。</w:t>
      </w:r>
    </w:p>
    <w:p>
      <w:pPr>
        <w:adjustRightInd w:val="0"/>
        <w:snapToGrid w:val="0"/>
        <w:spacing w:line="576" w:lineRule="exact"/>
        <w:ind w:firstLineChars="200" w:firstLine="640"/>
        <w:contextualSpacing/>
        <w:rPr>
          <w:rFonts w:ascii="方正仿宋简体" w:eastAsia="方正仿宋简体" w:cs="方正仿宋简体" w:hAnsi="方正仿宋简体"/>
          <w:kern w:val="0"/>
          <w:sz w:val="32"/>
          <w:szCs w:val="32"/>
          <w:shd w:val="clear" w:color="auto" w:fill="FFFFFF"/>
        </w:rPr>
      </w:pPr>
      <w:r>
        <w:rPr>
          <w:rFonts w:ascii="方正仿宋简体" w:eastAsia="方正仿宋简体" w:cs="方正仿宋简体" w:hAnsi="方正仿宋简体" w:hint="eastAsia"/>
          <w:kern w:val="0"/>
          <w:sz w:val="32"/>
          <w:szCs w:val="32"/>
          <w:shd w:val="clear" w:color="auto" w:fill="FFFFFF"/>
        </w:rPr>
        <w:t>依据与第三方机构签订风险普查政府采购合同支付资金。</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（二）项目绩效目标。</w:t>
      </w:r>
    </w:p>
    <w:p>
      <w:pPr>
        <w:adjustRightInd w:val="0"/>
        <w:snapToGrid w:val="0"/>
        <w:spacing w:line="576" w:lineRule="exact"/>
        <w:ind w:firstLineChars="200" w:firstLine="640"/>
        <w:contextualSpacing/>
        <w:rPr>
          <w:rFonts w:ascii="方正仿宋简体" w:eastAsia="方正仿宋简体" w:cs="方正仿宋简体" w:hAnsi="方正仿宋简体"/>
          <w:kern w:val="0"/>
          <w:sz w:val="32"/>
          <w:szCs w:val="32"/>
          <w:shd w:val="clear" w:color="auto" w:fill="FFFFFF"/>
          <w:lang w:val="zh-CN"/>
        </w:rPr>
      </w:pPr>
      <w:r>
        <w:rPr>
          <w:rFonts w:ascii="方正仿宋简体" w:eastAsia="方正仿宋简体" w:cs="方正仿宋简体" w:hAnsi="方正仿宋简体" w:hint="eastAsia"/>
          <w:b/>
          <w:bCs/>
          <w:kern w:val="0"/>
          <w:sz w:val="32"/>
          <w:szCs w:val="32"/>
          <w:shd w:val="clear" w:color="auto" w:fill="FFFFFF"/>
          <w:lang w:val="zh-CN"/>
        </w:rPr>
        <w:t>1．项目主要内容。</w:t>
      </w:r>
      <w:r>
        <w:rPr>
          <w:rFonts w:ascii="方正仿宋简体" w:eastAsia="方正仿宋简体" w:cs="方正仿宋简体" w:hAnsi="方正仿宋简体" w:hint="eastAsia"/>
          <w:sz w:val="32"/>
          <w:szCs w:val="32"/>
        </w:rPr>
        <w:t>完成全区范围内公共服务设施相关调查、历史灾害调查、综合减灾资源（能力）调查、重点隐患调查与评估，完成数据核查和普查总结分析。汇总气象局、林业局、交通运输局、住房和城乡建设局、水利局、地震局、自然资源局等7大系统成果，形成利州区风险普查综合性成果。</w:t>
      </w:r>
    </w:p>
    <w:p>
      <w:pPr>
        <w:adjustRightInd w:val="0"/>
        <w:snapToGrid w:val="0"/>
        <w:spacing w:line="576" w:lineRule="exact"/>
        <w:ind w:firstLineChars="200" w:firstLine="640"/>
        <w:contextualSpacing/>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
          <w:bCs/>
          <w:kern w:val="0"/>
          <w:sz w:val="32"/>
          <w:szCs w:val="32"/>
          <w:shd w:val="clear" w:color="auto" w:fill="FFFFFF"/>
          <w:lang w:val="zh-CN"/>
        </w:rPr>
        <w:t>2．</w:t>
      </w:r>
      <w:r>
        <w:rPr>
          <w:rFonts w:ascii="方正仿宋简体" w:eastAsia="方正仿宋简体" w:cs="方正仿宋简体" w:hAnsi="方正仿宋简体" w:hint="eastAsia"/>
          <w:b/>
          <w:bCs/>
          <w:kern w:val="0"/>
          <w:sz w:val="32"/>
          <w:szCs w:val="32"/>
          <w:shd w:val="clear" w:color="auto" w:fill="FFFFFF"/>
        </w:rPr>
        <w:t>项目绩效目标</w:t>
      </w:r>
      <w:r>
        <w:rPr>
          <w:rFonts w:ascii="方正仿宋简体" w:eastAsia="方正仿宋简体" w:cs="方正仿宋简体" w:hAnsi="方正仿宋简体" w:hint="eastAsia"/>
          <w:b/>
          <w:bCs/>
          <w:sz w:val="32"/>
          <w:szCs w:val="32"/>
        </w:rPr>
        <w:t>。</w:t>
      </w:r>
    </w:p>
    <w:p>
      <w:pPr>
        <w:pStyle w:val="16"/>
        <w:spacing w:line="576" w:lineRule="exact"/>
        <w:ind w:firstLine="640"/>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1）产出目标。调查任务覆盖区数量辖区所有乡镇街道和村社区。普查对象清查覆盖率≥95%，调查任务完成率≥80%，普查宣传工作覆盖的县级行政区比例100%，普查人员参与培训的覆盖率≥95%，普查数据成果质检核查通过率≥90%，各项任务按进度开展偏差程度小于1个月，成本有效控制。</w:t>
      </w:r>
    </w:p>
    <w:p>
      <w:pPr>
        <w:spacing w:line="576" w:lineRule="exact"/>
        <w:ind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w:t>
      </w:r>
      <w:r>
        <w:rPr>
          <w:rFonts w:ascii="方正仿宋简体" w:eastAsia="方正仿宋简体" w:cs="方正仿宋简体" w:hAnsi="方正仿宋简体" w:hint="eastAsia"/>
          <w:color w:val="000000"/>
          <w:sz w:val="32"/>
          <w:szCs w:val="32"/>
        </w:rPr>
        <w:t>效益指标。</w:t>
      </w:r>
      <w:r>
        <w:rPr>
          <w:rFonts w:ascii="方正仿宋简体" w:eastAsia="方正仿宋简体" w:cs="方正仿宋简体" w:hAnsi="方正仿宋简体" w:hint="eastAsia"/>
          <w:sz w:val="32"/>
          <w:szCs w:val="32"/>
        </w:rPr>
        <w:t>普查成果为自然灾害防治、应急管理等工作提供科学依据，减轻灾害损失成效显著，数据共享涉及部门数量不少于6个，行业部门数据共享数量不少于100项指标，普查工作对提升基层自然灾害防治能力的作用效果显著。</w:t>
      </w:r>
    </w:p>
    <w:p>
      <w:pPr>
        <w:pStyle w:val="16"/>
        <w:spacing w:line="576" w:lineRule="exact"/>
        <w:rPr>
          <w:rFonts w:ascii="方正仿宋简体" w:eastAsia="方正仿宋简体" w:cs="方正仿宋简体" w:hAnsi="方正仿宋简体"/>
          <w:szCs w:val="32"/>
        </w:rPr>
      </w:pPr>
      <w:r>
        <w:rPr>
          <w:rFonts w:ascii="方正仿宋简体" w:eastAsia="方正仿宋简体" w:cs="方正仿宋简体" w:hAnsi="方正仿宋简体" w:hint="eastAsia"/>
          <w:szCs w:val="32"/>
        </w:rPr>
        <w:t xml:space="preserve">    （3）满意度指标。行业部门满意度≥90%。</w:t>
      </w:r>
    </w:p>
    <w:p>
      <w:pPr>
        <w:spacing w:line="576" w:lineRule="exact"/>
        <w:ind w:firstLineChars="200" w:firstLine="640"/>
        <w:rPr>
          <w:rFonts w:ascii="方正仿宋简体" w:eastAsia="方正仿宋简体" w:cs="方正仿宋简体" w:hAnsi="方正仿宋简体"/>
          <w:kern w:val="0"/>
          <w:sz w:val="32"/>
          <w:szCs w:val="32"/>
          <w:shd w:val="clear" w:color="auto" w:fill="FFFFFF"/>
          <w:lang w:val="zh-CN"/>
        </w:rPr>
      </w:pPr>
      <w:r>
        <w:rPr>
          <w:rFonts w:ascii="方正仿宋简体" w:eastAsia="方正仿宋简体" w:cs="方正仿宋简体" w:hAnsi="方正仿宋简体" w:hint="eastAsia"/>
          <w:b/>
          <w:bCs/>
          <w:kern w:val="0"/>
          <w:sz w:val="32"/>
          <w:szCs w:val="32"/>
          <w:shd w:val="clear" w:color="auto" w:fill="FFFFFF"/>
          <w:lang w:val="zh-CN"/>
        </w:rPr>
        <w:t>3．申报目标合理</w:t>
      </w:r>
      <w:r>
        <w:rPr>
          <w:rFonts w:ascii="方正仿宋简体" w:eastAsia="方正仿宋简体" w:cs="方正仿宋简体" w:hAnsi="方正仿宋简体" w:hint="eastAsia"/>
          <w:b/>
          <w:bCs/>
          <w:kern w:val="0"/>
          <w:sz w:val="32"/>
          <w:szCs w:val="32"/>
          <w:shd w:val="clear" w:color="auto" w:fill="FFFFFF"/>
        </w:rPr>
        <w:t>可行性。</w:t>
      </w:r>
      <w:r>
        <w:rPr>
          <w:rFonts w:ascii="方正仿宋简体" w:eastAsia="方正仿宋简体" w:cs="方正仿宋简体" w:hAnsi="方正仿宋简体" w:hint="eastAsia"/>
          <w:sz w:val="32"/>
          <w:szCs w:val="32"/>
        </w:rPr>
        <w:t>根据国家、省、市有关文件精神，我局根据普查工作实际内容细化了普查工作实施方案，制定了推进工作机制，进一步明确了普查目标任务、普查范围及内容、总体路线及方法、职责与分工、质量管理、普查成果汇交、组织实施、保障措施和各项工作制度等内容。</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（三）项目自评步骤及方法。</w:t>
      </w:r>
    </w:p>
    <w:p>
      <w:pPr>
        <w:pStyle w:val="27"/>
        <w:spacing w:beforeLines="50" w:before="156" w:line="576" w:lineRule="exact"/>
        <w:ind w:leftChars="0" w:left="0"/>
        <w:jc w:val="left"/>
        <w:rPr>
          <w:rFonts w:ascii="方正仿宋简体" w:eastAsia="方正仿宋简体" w:cs="方正仿宋简体" w:hAnsi="方正仿宋简体"/>
          <w:sz w:val="32"/>
        </w:rPr>
      </w:pPr>
      <w:r>
        <w:rPr>
          <w:rFonts w:ascii="方正仿宋简体" w:eastAsia="方正仿宋简体" w:cs="方正仿宋简体" w:hAnsi="方正仿宋简体" w:hint="eastAsia"/>
          <w:sz w:val="32"/>
        </w:rPr>
        <w:t>根据上级下发的年度自然灾害防治体系建设补助资金（全国自然灾害综合风险普查试点经费）区域绩效目标自评表结合国家风险普查系统调查数据、质检情况、相关档案资料逐项开展自评。</w:t>
      </w:r>
    </w:p>
    <w:p>
      <w:pPr>
        <w:adjustRightInd w:val="0"/>
        <w:snapToGrid w:val="0"/>
        <w:spacing w:line="576"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二、项目资金申报及使用情况</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（一）项目资金申报及批复情况。</w:t>
      </w:r>
    </w:p>
    <w:p>
      <w:pPr>
        <w:adjustRightInd w:val="0"/>
        <w:snapToGrid w:val="0"/>
        <w:spacing w:line="576" w:lineRule="exact"/>
        <w:ind w:firstLineChars="200" w:firstLine="640"/>
        <w:rPr>
          <w:rFonts w:ascii="方正仿宋简体" w:eastAsia="方正仿宋简体" w:cs="方正仿宋简体" w:hAnsi="方正仿宋简体"/>
          <w:kern w:val="0"/>
          <w:sz w:val="32"/>
          <w:szCs w:val="32"/>
          <w:shd w:val="clear" w:color="auto" w:fill="FFFFFF"/>
        </w:rPr>
      </w:pPr>
      <w:r>
        <w:rPr>
          <w:rFonts w:ascii="方正仿宋简体" w:eastAsia="方正仿宋简体" w:cs="方正仿宋简体" w:hAnsi="方正仿宋简体" w:hint="eastAsia"/>
          <w:kern w:val="0"/>
          <w:sz w:val="32"/>
          <w:szCs w:val="32"/>
          <w:shd w:val="clear" w:color="auto" w:fill="FFFFFF"/>
        </w:rPr>
        <w:t>项目报经2021年区政府第116次常务会议批准后实施。</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（二）资金计划、到位及使用情况（可用表格形式反映）。</w:t>
      </w:r>
    </w:p>
    <w:p>
      <w:pPr>
        <w:adjustRightInd w:val="0"/>
        <w:snapToGrid w:val="0"/>
        <w:spacing w:line="576" w:lineRule="exact"/>
        <w:ind w:firstLineChars="200" w:firstLine="640"/>
        <w:contextualSpacing/>
        <w:rPr>
          <w:rFonts w:ascii="方正仿宋简体" w:eastAsia="方正仿宋简体" w:cs="方正仿宋简体" w:hAnsi="方正仿宋简体"/>
          <w:b/>
          <w:bCs/>
          <w:kern w:val="0"/>
          <w:sz w:val="32"/>
          <w:szCs w:val="32"/>
          <w:shd w:val="clear" w:color="auto" w:fill="FFFFFF"/>
          <w:lang w:val="zh-CN"/>
        </w:rPr>
      </w:pPr>
      <w:r>
        <w:rPr>
          <w:rFonts w:ascii="方正仿宋简体" w:eastAsia="方正仿宋简体" w:cs="方正仿宋简体" w:hAnsi="方正仿宋简体" w:hint="eastAsia"/>
          <w:b/>
          <w:bCs/>
          <w:kern w:val="0"/>
          <w:sz w:val="32"/>
          <w:szCs w:val="32"/>
          <w:shd w:val="clear" w:color="auto" w:fill="FFFFFF"/>
          <w:lang w:val="zh-CN"/>
        </w:rPr>
        <w:t>1．资金计划。</w:t>
      </w:r>
    </w:p>
    <w:p>
      <w:pPr>
        <w:adjustRightInd w:val="0"/>
        <w:snapToGrid w:val="0"/>
        <w:spacing w:line="576" w:lineRule="exact"/>
        <w:ind w:firstLineChars="200" w:firstLine="640"/>
        <w:contextualSpacing/>
        <w:rPr>
          <w:rFonts w:ascii="方正仿宋简体" w:eastAsia="方正仿宋简体" w:cs="方正仿宋简体" w:hAnsi="方正仿宋简体"/>
          <w:kern w:val="0"/>
          <w:sz w:val="32"/>
          <w:szCs w:val="32"/>
          <w:shd w:val="clear" w:color="auto" w:fill="FFFFFF"/>
        </w:rPr>
      </w:pPr>
      <w:r>
        <w:rPr>
          <w:rFonts w:ascii="方正仿宋简体" w:eastAsia="方正仿宋简体" w:cs="方正仿宋简体" w:hAnsi="方正仿宋简体" w:hint="eastAsia"/>
          <w:sz w:val="32"/>
          <w:szCs w:val="32"/>
        </w:rPr>
        <w:t>按照国家、省、市有关文件精神要求，普查经费由地方保障为主，国家、省、市通过转移支付给予适当补助。</w:t>
      </w:r>
    </w:p>
    <w:p>
      <w:pPr>
        <w:adjustRightInd w:val="0"/>
        <w:snapToGrid w:val="0"/>
        <w:spacing w:line="576" w:lineRule="exact"/>
        <w:ind w:firstLineChars="200" w:firstLine="640"/>
        <w:contextualSpacing/>
        <w:rPr>
          <w:rFonts w:ascii="方正仿宋简体" w:eastAsia="方正仿宋简体" w:cs="方正仿宋简体" w:hAnsi="方正仿宋简体"/>
          <w:b/>
          <w:bCs/>
          <w:kern w:val="0"/>
          <w:sz w:val="32"/>
          <w:szCs w:val="32"/>
          <w:shd w:val="clear" w:color="auto" w:fill="FFFFFF"/>
          <w:lang w:val="zh-CN"/>
        </w:rPr>
      </w:pPr>
      <w:r>
        <w:rPr>
          <w:rFonts w:ascii="方正仿宋简体" w:eastAsia="方正仿宋简体" w:cs="方正仿宋简体" w:hAnsi="方正仿宋简体" w:hint="eastAsia"/>
          <w:b/>
          <w:bCs/>
          <w:kern w:val="0"/>
          <w:sz w:val="32"/>
          <w:szCs w:val="32"/>
          <w:shd w:val="clear" w:color="auto" w:fill="FFFFFF"/>
          <w:lang w:val="zh-CN"/>
        </w:rPr>
        <w:t>2．资金到位</w:t>
      </w:r>
      <w:r>
        <w:rPr>
          <w:rFonts w:ascii="方正仿宋简体" w:eastAsia="方正仿宋简体" w:cs="方正仿宋简体" w:hAnsi="方正仿宋简体" w:hint="eastAsia"/>
          <w:b/>
          <w:bCs/>
          <w:kern w:val="0"/>
          <w:sz w:val="32"/>
          <w:szCs w:val="32"/>
          <w:shd w:val="clear" w:color="auto" w:fill="FFFFFF"/>
        </w:rPr>
        <w:t>情况</w:t>
      </w:r>
      <w:r>
        <w:rPr>
          <w:rFonts w:ascii="方正仿宋简体" w:eastAsia="方正仿宋简体" w:cs="方正仿宋简体" w:hAnsi="方正仿宋简体" w:hint="eastAsia"/>
          <w:b/>
          <w:bCs/>
          <w:kern w:val="0"/>
          <w:sz w:val="32"/>
          <w:szCs w:val="32"/>
          <w:shd w:val="clear" w:color="auto" w:fill="FFFFFF"/>
          <w:lang w:val="zh-CN"/>
        </w:rPr>
        <w:t>。</w:t>
      </w:r>
    </w:p>
    <w:p>
      <w:pPr>
        <w:adjustRightInd w:val="0"/>
        <w:snapToGrid w:val="0"/>
        <w:spacing w:line="576" w:lineRule="exact"/>
        <w:ind w:firstLineChars="200" w:firstLine="640"/>
        <w:contextualSpacing/>
        <w:rPr>
          <w:rFonts w:ascii="方正仿宋简体" w:eastAsia="方正仿宋简体" w:cs="方正仿宋简体" w:hAnsi="方正仿宋简体"/>
          <w:kern w:val="0"/>
          <w:sz w:val="32"/>
          <w:szCs w:val="32"/>
          <w:shd w:val="clear" w:color="auto" w:fill="FFFFFF"/>
        </w:rPr>
      </w:pPr>
      <w:r>
        <w:rPr>
          <w:rFonts w:ascii="方正仿宋简体" w:eastAsia="方正仿宋简体" w:cs="方正仿宋简体" w:hAnsi="方正仿宋简体" w:hint="eastAsia"/>
          <w:kern w:val="0"/>
          <w:sz w:val="32"/>
          <w:szCs w:val="32"/>
          <w:shd w:val="clear" w:color="auto" w:fill="FFFFFF"/>
        </w:rPr>
        <w:t>目前已到位2022年中央自然灾害防治体系建设补助资金预算（全国自然灾害综合风险普查经费）10万元。</w:t>
      </w:r>
    </w:p>
    <w:p>
      <w:pPr>
        <w:pStyle w:val="26"/>
        <w:spacing w:before="0" w:after="0" w:line="576" w:lineRule="exact"/>
        <w:ind w:firstLineChars="200" w:firstLine="640"/>
        <w:jc w:val="both"/>
        <w:rPr>
          <w:rFonts w:ascii="方正仿宋简体" w:eastAsia="方正仿宋简体" w:cs="方正仿宋简体" w:hAnsi="方正仿宋简体"/>
          <w:b/>
          <w:shd w:val="clear" w:color="auto" w:fill="FFFFFF"/>
          <w:lang w:val="zh-CN"/>
        </w:rPr>
      </w:pPr>
      <w:r>
        <w:rPr>
          <w:rFonts w:ascii="方正仿宋简体" w:eastAsia="方正仿宋简体" w:cs="方正仿宋简体" w:hAnsi="方正仿宋简体" w:hint="eastAsia"/>
          <w:b/>
          <w:shd w:val="clear" w:color="auto" w:fill="FFFFFF"/>
          <w:lang w:val="zh-CN"/>
        </w:rPr>
        <w:t>3．资金使用。</w:t>
      </w:r>
    </w:p>
    <w:p>
      <w:pPr>
        <w:pStyle w:val="26"/>
        <w:spacing w:before="0" w:after="0" w:line="576" w:lineRule="exact"/>
        <w:ind w:firstLineChars="200" w:firstLine="640"/>
        <w:jc w:val="both"/>
        <w:rPr>
          <w:rFonts w:ascii="方正仿宋简体" w:eastAsia="方正仿宋简体" w:cs="方正仿宋简体" w:hAnsi="方正仿宋简体"/>
          <w:bCs w:val="0"/>
          <w:shd w:val="clear" w:color="auto" w:fill="FFFFFF"/>
          <w:lang w:val="zh-CN"/>
        </w:rPr>
      </w:pPr>
      <w:r>
        <w:rPr>
          <w:rFonts w:ascii="方正仿宋简体" w:eastAsia="方正仿宋简体" w:cs="方正仿宋简体" w:hAnsi="方正仿宋简体" w:hint="eastAsia"/>
          <w:bCs w:val="0"/>
          <w:shd w:val="clear" w:color="auto" w:fill="FFFFFF"/>
        </w:rPr>
        <w:t>2022年10月</w:t>
      </w:r>
      <w:r>
        <w:rPr>
          <w:rFonts w:ascii="方正仿宋简体" w:eastAsia="方正仿宋简体" w:cs="方正仿宋简体" w:hAnsi="方正仿宋简体" w:hint="eastAsia"/>
          <w:bCs w:val="0"/>
          <w:color w:val="000000"/>
          <w:kern w:val="2"/>
        </w:rPr>
        <w:t>上级向我区应急管理系统下达的中央补助资金10万元已全额用于我区应急管理系统调查阶段的工作经费中，无资金截留情况。</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（三）项目财务管理情况。</w:t>
      </w:r>
    </w:p>
    <w:p>
      <w:pPr>
        <w:pStyle w:val="26"/>
        <w:spacing w:before="0" w:after="0" w:line="576" w:lineRule="exact"/>
        <w:ind w:firstLineChars="200" w:firstLine="640"/>
        <w:jc w:val="left"/>
        <w:rPr>
          <w:rFonts w:ascii="方正仿宋简体" w:eastAsia="方正仿宋简体" w:cs="方正仿宋简体" w:hAnsi="方正仿宋简体"/>
        </w:rPr>
      </w:pPr>
      <w:r>
        <w:rPr>
          <w:rFonts w:ascii="方正仿宋简体" w:eastAsia="方正仿宋简体" w:cs="方正仿宋简体" w:hAnsi="方正仿宋简体" w:hint="eastAsia"/>
          <w:bCs w:val="0"/>
          <w:shd w:val="clear" w:color="auto" w:fill="FFFFFF"/>
        </w:rPr>
        <w:t>区应急管理局坚持专款专用的原则，严格执行上级有关文件精神和政府常务会议批复要求。项目资金处理及时，会计核算规范。</w:t>
      </w:r>
    </w:p>
    <w:p>
      <w:pPr>
        <w:adjustRightInd w:val="0"/>
        <w:snapToGrid w:val="0"/>
        <w:spacing w:line="576"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三、项目实施及管理情况</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（一）项目组织架构及实施流程。</w:t>
      </w:r>
    </w:p>
    <w:p>
      <w:pPr>
        <w:adjustRightInd w:val="0"/>
        <w:snapToGrid w:val="0"/>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kern w:val="0"/>
          <w:sz w:val="32"/>
          <w:szCs w:val="32"/>
          <w:shd w:val="clear" w:color="auto" w:fill="FFFFFF"/>
        </w:rPr>
        <w:t>为保障该项目的顺利实施，利州区成立了区第一次全国自然灾害风险普查工作领导小组，并下设办公室，办公室设在区应急管理局，并落实专门普查办工作人员具体负责普查项目日常工作，制定总体方案组织落实。</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（二）项目管理情况。</w:t>
      </w:r>
    </w:p>
    <w:p>
      <w:pPr>
        <w:adjustRightInd w:val="0"/>
        <w:snapToGrid w:val="0"/>
        <w:spacing w:line="576" w:lineRule="exact"/>
        <w:ind w:firstLineChars="200" w:firstLine="640"/>
        <w:rPr>
          <w:rFonts w:ascii="方正仿宋简体" w:eastAsia="方正仿宋简体" w:cs="方正仿宋简体" w:hAnsi="方正仿宋简体"/>
          <w:kern w:val="0"/>
          <w:sz w:val="32"/>
          <w:szCs w:val="32"/>
          <w:shd w:val="clear" w:color="auto" w:fill="FFFFFF"/>
        </w:rPr>
      </w:pPr>
      <w:r>
        <w:rPr>
          <w:rFonts w:ascii="方正仿宋简体" w:eastAsia="方正仿宋简体" w:cs="方正仿宋简体" w:hAnsi="方正仿宋简体" w:hint="eastAsia"/>
          <w:kern w:val="0"/>
          <w:sz w:val="32"/>
          <w:szCs w:val="32"/>
          <w:shd w:val="clear" w:color="auto" w:fill="FFFFFF"/>
        </w:rPr>
        <w:t>本项目严格按照政府采购程序通过四川政府采购网组织采购并公示。</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（三）项目监管情况。</w:t>
      </w:r>
    </w:p>
    <w:p>
      <w:pPr>
        <w:adjustRightInd w:val="0"/>
        <w:snapToGrid w:val="0"/>
        <w:spacing w:line="576" w:lineRule="exact"/>
        <w:ind w:firstLineChars="200" w:firstLine="640"/>
        <w:rPr>
          <w:rFonts w:ascii="方正仿宋简体" w:eastAsia="方正仿宋简体" w:cs="方正仿宋简体" w:hAnsi="方正仿宋简体"/>
          <w:kern w:val="0"/>
          <w:sz w:val="32"/>
          <w:szCs w:val="32"/>
          <w:shd w:val="clear" w:color="auto" w:fill="FFFFFF"/>
          <w:lang w:val="zh-CN"/>
        </w:rPr>
      </w:pPr>
      <w:r>
        <w:rPr>
          <w:rFonts w:ascii="方正仿宋简体" w:eastAsia="方正仿宋简体" w:cs="方正仿宋简体" w:hAnsi="方正仿宋简体" w:hint="eastAsia"/>
          <w:kern w:val="0"/>
          <w:sz w:val="32"/>
          <w:szCs w:val="32"/>
          <w:shd w:val="clear" w:color="auto" w:fill="FFFFFF"/>
        </w:rPr>
        <w:t>本项目依据国家风险普查系统普查质检和上级有关文件精神及与第三方机构签订的合同进行</w:t>
      </w:r>
      <w:r>
        <w:rPr>
          <w:rFonts w:ascii="方正仿宋简体" w:eastAsia="方正仿宋简体" w:cs="方正仿宋简体" w:hAnsi="方正仿宋简体" w:hint="eastAsia"/>
          <w:kern w:val="0"/>
          <w:sz w:val="32"/>
          <w:szCs w:val="32"/>
          <w:shd w:val="clear" w:color="auto" w:fill="FFFFFF"/>
          <w:lang w:val="zh-CN"/>
        </w:rPr>
        <w:t>。</w:t>
      </w:r>
    </w:p>
    <w:p>
      <w:pPr>
        <w:adjustRightInd w:val="0"/>
        <w:snapToGrid w:val="0"/>
        <w:spacing w:line="576" w:lineRule="exact"/>
        <w:ind w:firstLineChars="200" w:firstLine="64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rPr>
        <w:t>四、项目绩效情况</w:t>
      </w:r>
      <w:r>
        <w:rPr>
          <w:rFonts w:ascii="方正黑体简体" w:eastAsia="方正黑体简体" w:cs="方正黑体简体" w:hAnsi="方正黑体简体" w:hint="eastAsia"/>
          <w:sz w:val="32"/>
          <w:szCs w:val="32"/>
          <w:lang w:val="zh-CN"/>
        </w:rPr>
        <w:tab/>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（一）项目完成情况。</w:t>
      </w:r>
    </w:p>
    <w:p>
      <w:pPr>
        <w:pStyle w:val="26"/>
        <w:spacing w:before="0" w:after="0" w:line="576" w:lineRule="exact"/>
        <w:ind w:firstLineChars="200" w:firstLine="640"/>
        <w:jc w:val="both"/>
        <w:rPr>
          <w:rFonts w:ascii="方正仿宋简体" w:eastAsia="方正仿宋简体" w:cs="方正仿宋简体" w:hAnsi="方正仿宋简体"/>
          <w:color w:val="000000"/>
        </w:rPr>
      </w:pPr>
      <w:r>
        <w:rPr>
          <w:rFonts w:ascii="方正仿宋简体" w:eastAsia="方正仿宋简体" w:cs="方正仿宋简体" w:hAnsi="方正仿宋简体" w:hint="eastAsia"/>
          <w:color w:val="000000"/>
        </w:rPr>
        <w:t>利州区应急管理系统负责风险普查任务严格按照国家、省、市的统一安排部署如期全面完成，共上报调查数据2646项，其中，承灾体调查数据402项，减灾能力调查数据1532项，历史灾害调查数据712项，已通过市、省、国家逐级质检核查。</w:t>
      </w:r>
    </w:p>
    <w:p>
      <w:pPr>
        <w:pStyle w:val="26"/>
        <w:spacing w:before="0" w:after="0" w:line="576" w:lineRule="exact"/>
        <w:ind w:firstLineChars="200" w:firstLine="640"/>
        <w:jc w:val="both"/>
        <w:rPr>
          <w:rFonts w:ascii="方正仿宋简体" w:eastAsia="方正仿宋简体" w:cs="方正仿宋简体" w:hAnsi="方正仿宋简体"/>
          <w:color w:val="000000"/>
        </w:rPr>
      </w:pPr>
      <w:r>
        <w:rPr>
          <w:rFonts w:ascii="方正仿宋简体" w:eastAsia="方正仿宋简体" w:cs="方正仿宋简体" w:hAnsi="方正仿宋简体" w:hint="eastAsia"/>
          <w:b/>
          <w:bCs w:val="0"/>
          <w:color w:val="000000"/>
        </w:rPr>
        <w:t>1、产出指标方面。</w:t>
      </w:r>
      <w:r>
        <w:rPr>
          <w:rFonts w:ascii="方正仿宋简体" w:eastAsia="方正仿宋简体" w:cs="方正仿宋简体" w:hAnsi="方正仿宋简体" w:hint="eastAsia"/>
          <w:color w:val="000000"/>
        </w:rPr>
        <w:t>调查任务已全面覆盖全区15个乡镇，普查对象清查覆盖率达100%，调查任务完成率达100%，普查宣传覆盖全区15个乡镇、186个村社区，覆盖率达100%，普查人员培训率达100%，普查成果质检核查通过率100%，普查工作时效无偏差，均已在规定时间内完成工作任务，成本控制在有效范围内。</w:t>
      </w:r>
    </w:p>
    <w:p>
      <w:pPr>
        <w:pStyle w:val="26"/>
        <w:spacing w:before="0" w:after="0" w:line="576" w:lineRule="exact"/>
        <w:ind w:firstLineChars="200" w:firstLine="640"/>
        <w:jc w:val="both"/>
        <w:rPr>
          <w:rFonts w:ascii="方正仿宋简体" w:eastAsia="方正仿宋简体" w:cs="方正仿宋简体" w:hAnsi="方正仿宋简体"/>
          <w:color w:val="000000"/>
        </w:rPr>
      </w:pPr>
      <w:r>
        <w:rPr>
          <w:rFonts w:ascii="方正仿宋简体" w:eastAsia="方正仿宋简体" w:cs="方正仿宋简体" w:hAnsi="方正仿宋简体" w:hint="eastAsia"/>
          <w:b/>
          <w:bCs w:val="0"/>
          <w:color w:val="000000"/>
        </w:rPr>
        <w:t>2、效益指标方面。</w:t>
      </w:r>
      <w:r>
        <w:rPr>
          <w:rFonts w:ascii="方正仿宋简体" w:eastAsia="方正仿宋简体" w:cs="方正仿宋简体" w:hAnsi="方正仿宋简体" w:hint="eastAsia"/>
          <w:color w:val="000000"/>
        </w:rPr>
        <w:t>普查成果经济效益和社会效益成果显著，可为为自然灾害防治、应急管理等工作提供科学依据，能有效指导辖区各有关涉灾部门和单位参与自然灾情防治和应急处置，提升基层防治能力。</w:t>
      </w:r>
    </w:p>
    <w:p>
      <w:pPr>
        <w:pStyle w:val="26"/>
        <w:spacing w:before="0" w:after="0" w:line="576" w:lineRule="exact"/>
        <w:ind w:firstLineChars="200" w:firstLine="640"/>
        <w:jc w:val="both"/>
        <w:rPr>
          <w:rFonts w:ascii="方正仿宋简体" w:eastAsia="方正仿宋简体" w:cs="方正仿宋简体" w:hAnsi="方正仿宋简体"/>
        </w:rPr>
      </w:pPr>
      <w:r>
        <w:rPr>
          <w:rFonts w:ascii="方正仿宋简体" w:eastAsia="方正仿宋简体" w:cs="方正仿宋简体" w:hAnsi="方正仿宋简体" w:hint="eastAsia"/>
          <w:b/>
          <w:bCs w:val="0"/>
          <w:color w:val="000000"/>
        </w:rPr>
        <w:t>3、满意度指标方面。</w:t>
      </w:r>
      <w:r>
        <w:rPr>
          <w:rFonts w:ascii="方正仿宋简体" w:eastAsia="方正仿宋简体" w:cs="方正仿宋简体" w:hAnsi="方正仿宋简体" w:hint="eastAsia"/>
          <w:color w:val="000000"/>
        </w:rPr>
        <w:t>本次普查获得了辖区广大人民群众的大力支持，社会满意度达100%。</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（二）项目效益情况。</w:t>
      </w:r>
    </w:p>
    <w:p>
      <w:pPr>
        <w:pStyle w:val="26"/>
        <w:spacing w:before="0" w:after="0" w:line="576" w:lineRule="exact"/>
        <w:ind w:firstLineChars="200" w:firstLine="640"/>
        <w:jc w:val="left"/>
        <w:rPr>
          <w:rFonts w:ascii="方正仿宋简体" w:eastAsia="方正仿宋简体" w:cs="方正仿宋简体" w:hAnsi="方正仿宋简体"/>
          <w:lang w:val="zh-CN"/>
        </w:rPr>
      </w:pPr>
      <w:r>
        <w:rPr>
          <w:rFonts w:ascii="方正仿宋简体" w:eastAsia="方正仿宋简体" w:cs="方正仿宋简体" w:hAnsi="方正仿宋简体" w:hint="eastAsia"/>
          <w:color w:val="000000"/>
        </w:rPr>
        <w:t>普查成果经济效益和社会效益成果显著，可为为自然灾害防治、应急管理等工作提供科学依据，能有效指导辖区各有关涉灾部门和单位参与自然灾情防治和应急处置，提升基层防治能力。</w:t>
      </w:r>
    </w:p>
    <w:p>
      <w:pPr>
        <w:adjustRightInd w:val="0"/>
        <w:snapToGrid w:val="0"/>
        <w:spacing w:line="576"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五、评价结论及建议</w:t>
      </w:r>
    </w:p>
    <w:p>
      <w:pPr>
        <w:adjustRightInd w:val="0"/>
        <w:snapToGrid w:val="0"/>
        <w:spacing w:line="576"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（一）评价结论。</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bCs/>
          <w:color w:val="000000"/>
          <w:kern w:val="0"/>
          <w:sz w:val="32"/>
          <w:szCs w:val="32"/>
        </w:rPr>
        <w:t>该项目产出指标、效益指标、满意度指标三大绩效指标均已满足预期目标值。项目资金严格按照上级有关文件精神、区政府常务会议批复以及政府采购合同执行。该项目评</w:t>
      </w:r>
      <w:r>
        <w:rPr>
          <w:rFonts w:ascii="方正仿宋简体" w:eastAsia="方正仿宋简体" w:cs="方正仿宋简体" w:hAnsi="方正仿宋简体" w:hint="eastAsia"/>
          <w:sz w:val="32"/>
          <w:szCs w:val="32"/>
        </w:rPr>
        <w:t>估总得分100分，预期效果能满足需求。</w:t>
      </w:r>
    </w:p>
    <w:p>
      <w:pPr>
        <w:adjustRightInd w:val="0"/>
        <w:snapToGrid w:val="0"/>
        <w:spacing w:line="576" w:lineRule="exact"/>
        <w:ind w:firstLineChars="200" w:firstLine="640"/>
        <w:contextualSpacing/>
        <w:rPr>
          <w:rFonts w:ascii="方正仿宋简体" w:eastAsia="方正仿宋简体" w:cs="方正仿宋简体" w:hAnsi="方正仿宋简体"/>
          <w:kern w:val="0"/>
          <w:sz w:val="32"/>
          <w:szCs w:val="32"/>
          <w:shd w:val="clear" w:color="auto" w:fill="FFFFFF"/>
        </w:rPr>
      </w:pPr>
      <w:r>
        <w:rPr>
          <w:rFonts w:ascii="方正仿宋简体" w:eastAsia="方正仿宋简体" w:cs="方正仿宋简体" w:hAnsi="方正仿宋简体" w:hint="eastAsia"/>
          <w:sz w:val="32"/>
          <w:szCs w:val="32"/>
          <w:lang w:val="zh-CN"/>
        </w:rPr>
        <w:t>（二）存在的问题。（</w:t>
      </w:r>
      <w:r>
        <w:rPr>
          <w:rFonts w:ascii="方正仿宋简体" w:eastAsia="方正仿宋简体" w:cs="方正仿宋简体" w:hAnsi="方正仿宋简体" w:hint="eastAsia"/>
          <w:sz w:val="32"/>
          <w:szCs w:val="32"/>
        </w:rPr>
        <w:t>无</w:t>
      </w:r>
      <w:r>
        <w:rPr>
          <w:rFonts w:ascii="方正仿宋简体" w:eastAsia="方正仿宋简体" w:cs="方正仿宋简体" w:hAnsi="方正仿宋简体" w:hint="eastAsia"/>
          <w:sz w:val="32"/>
          <w:szCs w:val="32"/>
          <w:lang w:val="zh-CN"/>
        </w:rPr>
        <w:t>）</w:t>
      </w:r>
    </w:p>
    <w:p>
      <w:pPr>
        <w:adjustRightInd w:val="0"/>
        <w:snapToGrid w:val="0"/>
        <w:spacing w:line="576" w:lineRule="exact"/>
        <w:ind w:firstLineChars="200" w:firstLine="640"/>
        <w:contextualSpacing/>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（三）相关建议。（</w:t>
      </w:r>
      <w:r>
        <w:rPr>
          <w:rFonts w:ascii="方正仿宋简体" w:eastAsia="方正仿宋简体" w:cs="方正仿宋简体" w:hAnsi="方正仿宋简体" w:hint="eastAsia"/>
          <w:sz w:val="32"/>
          <w:szCs w:val="32"/>
        </w:rPr>
        <w:t>无</w:t>
      </w:r>
      <w:r>
        <w:rPr>
          <w:rFonts w:ascii="方正仿宋简体" w:eastAsia="方正仿宋简体" w:cs="方正仿宋简体" w:hAnsi="方正仿宋简体" w:hint="eastAsia"/>
          <w:sz w:val="32"/>
          <w:szCs w:val="32"/>
          <w:lang w:val="zh-CN"/>
        </w:rPr>
        <w:t>）</w:t>
      </w:r>
    </w:p>
    <w:p>
      <w:pPr>
        <w:adjustRightInd w:val="0"/>
        <w:snapToGrid w:val="0"/>
        <w:spacing w:line="576" w:lineRule="exact"/>
        <w:ind w:leftChars="200" w:left="1380" w:hangingChars="300" w:hanging="960"/>
        <w:contextualSpacing/>
        <w:rPr>
          <w:rFonts w:ascii="方正仿宋简体" w:eastAsia="方正仿宋简体" w:cs="方正仿宋简体" w:hAnsi="方正仿宋简体"/>
          <w:kern w:val="0"/>
          <w:sz w:val="32"/>
          <w:szCs w:val="32"/>
          <w:shd w:val="clear" w:color="auto" w:fill="FFFFFF"/>
          <w:lang w:val="zh-CN"/>
        </w:rPr>
      </w:pPr>
    </w:p>
    <w:p>
      <w:pPr>
        <w:pStyle w:val="15"/>
        <w:spacing w:beforeLines="0" w:before="93"/>
        <w:rPr>
          <w:rFonts w:ascii="方正仿宋简体" w:eastAsia="方正仿宋简体" w:cs="方正仿宋简体" w:hAnsi="方正仿宋简体"/>
          <w:color w:val="C00000"/>
          <w:sz w:val="32"/>
          <w:szCs w:val="32"/>
        </w:rPr>
      </w:pPr>
    </w:p>
    <w:p>
      <w:pPr>
        <w:pStyle w:val="15"/>
        <w:spacing w:beforeLines="0" w:before="93"/>
        <w:rPr>
          <w:rFonts w:ascii="方正仿宋简体" w:eastAsia="方正仿宋简体" w:cs="方正仿宋简体" w:hAnsi="方正仿宋简体"/>
          <w:color w:val="C00000"/>
          <w:sz w:val="32"/>
          <w:szCs w:val="32"/>
        </w:rPr>
        <w:sectPr>
          <w:pgSz w:w="11906" w:h="16838"/>
          <w:pgMar w:top="2098" w:right="1474" w:bottom="1984" w:left="1587" w:header="851" w:footer="992" w:gutter="0"/>
          <w:cols w:num="1" w:space="0"/>
          <w:titlePg/>
          <w:docGrid w:type="lines" w:linePitch="312" w:charSpace="0"/>
        </w:sectPr>
      </w:pPr>
    </w:p>
    <w:tbl>
      <w:tblPr>
        <w:jc w:val="center"/>
        <w:tblW w:w="1420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50"/>
        <w:gridCol w:w="650"/>
        <w:gridCol w:w="1302"/>
        <w:gridCol w:w="2812"/>
        <w:gridCol w:w="2138"/>
        <w:gridCol w:w="1696"/>
        <w:gridCol w:w="2278"/>
        <w:gridCol w:w="2674"/>
      </w:tblGrid>
      <w:tr>
        <w:trPr>
          <w:trHeight w:val="636"/>
        </w:trPr>
        <w:tc>
          <w:tcPr>
            <w:tcW w:w="14200" w:type="dxa"/>
            <w:gridSpan w:val="8"/>
            <w:tcBorders>
              <w:top w:val="nil"/>
              <w:left w:val="nil"/>
              <w:bottom w:val="nil"/>
              <w:right w:val="nil"/>
            </w:tcBorders>
            <w:shd w:val="clear" w:color="auto" w:fill="auto"/>
            <w:vAlign w:val="center"/>
          </w:tcPr>
          <w:p>
            <w:pPr>
              <w:widowControl/>
              <w:jc w:val="center"/>
              <w:rPr>
                <w:rFonts w:ascii="方正小标宋简体" w:eastAsia="方正小标宋简体" w:cs="宋体" w:hAnsi="方正小标宋简体"/>
                <w:color w:val="000000"/>
                <w:kern w:val="0"/>
                <w:sz w:val="32"/>
                <w:szCs w:val="32"/>
              </w:rPr>
            </w:pPr>
            <w:r>
              <w:rPr>
                <w:rFonts w:ascii="方正小标宋简体" w:eastAsia="方正小标宋简体" w:cs="宋体" w:hAnsi="方正小标宋简体" w:hint="eastAsia"/>
                <w:color w:val="000000"/>
                <w:kern w:val="0"/>
                <w:sz w:val="32"/>
                <w:szCs w:val="32"/>
              </w:rPr>
              <w:t>自然灾害综合风险普查转移支付区域（项目）绩效目标自评表</w:t>
            </w:r>
          </w:p>
        </w:tc>
      </w:tr>
      <w:tr>
        <w:trPr>
          <w:trHeight w:val="325"/>
        </w:trPr>
        <w:tc>
          <w:tcPr>
            <w:tcW w:w="14200" w:type="dxa"/>
            <w:gridSpan w:val="8"/>
            <w:tcBorders>
              <w:top w:val="nil"/>
              <w:left w:val="nil"/>
              <w:bottom w:val="single" w:sz="4" w:space="0" w:color="auto"/>
              <w:right w:val="nil"/>
            </w:tcBorders>
            <w:shd w:val="clear" w:color="auto" w:fill="auto"/>
          </w:tcPr>
          <w:p>
            <w:pPr>
              <w:widowControl/>
              <w:jc w:val="center"/>
              <w:rPr>
                <w:rFonts w:ascii="仿宋_GB2312" w:eastAsia="仿宋_GB2312" w:cs="宋体" w:hAnsi="宋体"/>
                <w:color w:val="000000"/>
                <w:kern w:val="0"/>
                <w:sz w:val="22"/>
                <w:szCs w:val="22"/>
              </w:rPr>
            </w:pPr>
            <w:r>
              <w:rPr>
                <w:rFonts w:ascii="仿宋_GB2312" w:eastAsia="仿宋_GB2312" w:cs="宋体" w:hAnsi="宋体" w:hint="eastAsia"/>
                <w:color w:val="000000"/>
                <w:kern w:val="0"/>
                <w:sz w:val="22"/>
                <w:szCs w:val="22"/>
              </w:rPr>
              <w:t>（2022年度）</w:t>
            </w:r>
          </w:p>
        </w:tc>
      </w:tr>
      <w:tr>
        <w:trPr>
          <w:trHeight w:val="573"/>
        </w:trPr>
        <w:tc>
          <w:tcPr>
            <w:tcW w:w="2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转移支付（项目）名称</w:t>
            </w:r>
          </w:p>
        </w:tc>
        <w:tc>
          <w:tcPr>
            <w:tcW w:w="11598" w:type="dxa"/>
            <w:gridSpan w:val="5"/>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2022年中央自然灾害防治体系建设补助（全国自然灾害综合风险普查）</w:t>
            </w:r>
          </w:p>
        </w:tc>
      </w:tr>
      <w:tr>
        <w:trPr>
          <w:trHeight w:val="339"/>
        </w:trPr>
        <w:tc>
          <w:tcPr>
            <w:tcW w:w="2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中央主管部门</w:t>
            </w:r>
          </w:p>
        </w:tc>
        <w:tc>
          <w:tcPr>
            <w:tcW w:w="11598" w:type="dxa"/>
            <w:gridSpan w:val="5"/>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应急管理部</w:t>
            </w:r>
          </w:p>
        </w:tc>
      </w:tr>
      <w:tr>
        <w:trPr>
          <w:trHeight w:val="339"/>
        </w:trPr>
        <w:tc>
          <w:tcPr>
            <w:tcW w:w="2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地方主管部门</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广元市利州区应急管理局</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资金使用单位</w:t>
            </w:r>
          </w:p>
        </w:tc>
        <w:tc>
          <w:tcPr>
            <w:tcW w:w="4952"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广元市利州区应急管理局</w:t>
            </w:r>
          </w:p>
        </w:tc>
      </w:tr>
      <w:tr>
        <w:trPr>
          <w:trHeight w:val="646"/>
        </w:trPr>
        <w:tc>
          <w:tcPr>
            <w:tcW w:w="260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资金投入情况</w:t>
              <w:br/>
              <w:t>（万元）</w:t>
            </w: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13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全年预算数（A）</w:t>
            </w:r>
          </w:p>
        </w:tc>
        <w:tc>
          <w:tcPr>
            <w:tcW w:w="3974"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全年执行数（B）</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预算执行率（B/A×100%)</w:t>
            </w:r>
          </w:p>
        </w:tc>
      </w:tr>
      <w:tr>
        <w:trPr>
          <w:trHeight w:val="339"/>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年度资金总额：</w:t>
            </w:r>
          </w:p>
        </w:tc>
        <w:tc>
          <w:tcPr>
            <w:tcW w:w="213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w:t>
            </w:r>
          </w:p>
        </w:tc>
        <w:tc>
          <w:tcPr>
            <w:tcW w:w="3974"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w:t>
            </w:r>
          </w:p>
        </w:tc>
        <w:tc>
          <w:tcPr>
            <w:tcW w:w="267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100%</w:t>
            </w:r>
          </w:p>
        </w:tc>
      </w:tr>
      <w:tr>
        <w:trPr>
          <w:trHeight w:val="339"/>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其中：中央财政资金</w:t>
            </w:r>
          </w:p>
        </w:tc>
        <w:tc>
          <w:tcPr>
            <w:tcW w:w="213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w:t>
            </w:r>
          </w:p>
        </w:tc>
        <w:tc>
          <w:tcPr>
            <w:tcW w:w="3974"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w:t>
            </w:r>
          </w:p>
        </w:tc>
        <w:tc>
          <w:tcPr>
            <w:tcW w:w="267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100%</w:t>
            </w:r>
          </w:p>
        </w:tc>
      </w:tr>
      <w:tr>
        <w:trPr>
          <w:trHeight w:val="339"/>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地方资金</w:t>
            </w:r>
          </w:p>
        </w:tc>
        <w:tc>
          <w:tcPr>
            <w:tcW w:w="213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3974"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267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39"/>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20"/>
                <w:szCs w:val="20"/>
              </w:rPr>
              <w:t xml:space="preserve">  其他资金</w:t>
            </w:r>
          </w:p>
        </w:tc>
        <w:tc>
          <w:tcPr>
            <w:tcW w:w="213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3974"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2674"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39"/>
        </w:trPr>
        <w:tc>
          <w:tcPr>
            <w:tcW w:w="260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资金管理情况</w:t>
            </w: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6112"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情况说明</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存在问题和改进措施</w:t>
            </w:r>
          </w:p>
        </w:tc>
      </w:tr>
      <w:tr>
        <w:trPr>
          <w:trHeight w:val="646"/>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分配科学性</w:t>
            </w:r>
          </w:p>
        </w:tc>
        <w:tc>
          <w:tcPr>
            <w:tcW w:w="6112"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严格按照转移支付管理制度以及资金管理办法规定分配资金。</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99"/>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下达及时性</w:t>
            </w:r>
          </w:p>
        </w:tc>
        <w:tc>
          <w:tcPr>
            <w:tcW w:w="6112"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严格按照规定的时限要求分解下达。</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646"/>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拨付合规性</w:t>
            </w:r>
          </w:p>
        </w:tc>
        <w:tc>
          <w:tcPr>
            <w:tcW w:w="6112"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通过政府采购程序确定第三方技术公司，并按照合同约定拨付资金，拨付合规。</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580"/>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使用规范性</w:t>
            </w:r>
          </w:p>
        </w:tc>
        <w:tc>
          <w:tcPr>
            <w:tcW w:w="6112"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严格按照预算的科目和项目执行，使用规范。</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560"/>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执行准确性</w:t>
            </w:r>
          </w:p>
        </w:tc>
        <w:tc>
          <w:tcPr>
            <w:tcW w:w="6112"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按照预算安排的金额执行，执行准确。</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99"/>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预算绩效管理情况</w:t>
            </w:r>
          </w:p>
        </w:tc>
        <w:tc>
          <w:tcPr>
            <w:tcW w:w="6112"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纳入绩效管理，开展绩效监控和绩效评价。</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519"/>
        </w:trPr>
        <w:tc>
          <w:tcPr>
            <w:tcW w:w="2602" w:type="dxa"/>
            <w:gridSpan w:val="3"/>
            <w:vMerge/>
            <w:tcBorders>
              <w:top w:val="single" w:sz="4" w:space="0" w:color="auto"/>
              <w:left w:val="single" w:sz="4" w:space="0" w:color="auto"/>
              <w:bottom w:val="single" w:sz="4" w:space="0" w:color="000000"/>
              <w:right w:val="single" w:sz="4" w:space="0" w:color="000000"/>
            </w:tcBorders>
            <w:vAlign w:val="center"/>
          </w:tcPr>
          <w:p/>
        </w:tc>
        <w:tc>
          <w:tcPr>
            <w:tcW w:w="2812"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支出责任履行情况</w:t>
            </w:r>
          </w:p>
        </w:tc>
        <w:tc>
          <w:tcPr>
            <w:tcW w:w="6112"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足额安排资金履行本级支出责任。</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39"/>
        </w:trPr>
        <w:tc>
          <w:tcPr>
            <w:tcW w:w="650"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总体目标完成情况</w:t>
            </w:r>
          </w:p>
        </w:tc>
        <w:tc>
          <w:tcPr>
            <w:tcW w:w="6902" w:type="dxa"/>
            <w:gridSpan w:val="4"/>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w:t>
            </w:r>
          </w:p>
        </w:tc>
        <w:tc>
          <w:tcPr>
            <w:tcW w:w="6648" w:type="dxa"/>
            <w:gridSpan w:val="3"/>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全年实际完成情况</w:t>
            </w:r>
          </w:p>
        </w:tc>
      </w:tr>
      <w:tr>
        <w:trPr>
          <w:trHeight w:val="2237"/>
        </w:trPr>
        <w:tc>
          <w:tcPr>
            <w:tcW w:w="650" w:type="dxa"/>
            <w:vMerge/>
            <w:tcBorders>
              <w:top w:val="nil"/>
              <w:left w:val="single" w:sz="4" w:space="0" w:color="auto"/>
              <w:bottom w:val="single" w:sz="4" w:space="0" w:color="000000"/>
              <w:right w:val="single" w:sz="4" w:space="0" w:color="auto"/>
            </w:tcBorders>
            <w:vAlign w:val="center"/>
          </w:tcPr>
          <w:p/>
        </w:tc>
        <w:tc>
          <w:tcPr>
            <w:tcW w:w="6902" w:type="dxa"/>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全面完成全区自然灾害风险普查工作任务。</w:t>
            </w:r>
          </w:p>
        </w:tc>
        <w:tc>
          <w:tcPr>
            <w:tcW w:w="6648" w:type="dxa"/>
            <w:gridSpan w:val="3"/>
            <w:tcBorders>
              <w:top w:val="single" w:sz="4" w:space="0" w:color="auto"/>
              <w:left w:val="nil"/>
              <w:bottom w:val="single" w:sz="4" w:space="0" w:color="auto"/>
              <w:right w:val="single" w:sz="4" w:space="0" w:color="auto"/>
            </w:tcBorders>
            <w:shd w:val="clear" w:color="auto" w:fill="auto"/>
            <w:vAlign w:val="center"/>
          </w:tcPr>
          <w:p>
            <w:pPr>
              <w:widowControl/>
              <w:rPr>
                <w:rFonts w:ascii="宋体" w:cs="宋体" w:hAnsi="宋体"/>
                <w:color w:val="000000"/>
                <w:kern w:val="0"/>
                <w:sz w:val="20"/>
                <w:szCs w:val="20"/>
              </w:rPr>
            </w:pPr>
            <w:r>
              <w:rPr>
                <w:rFonts w:ascii="宋体" w:cs="宋体" w:hAnsi="宋体" w:hint="eastAsia"/>
                <w:color w:val="000000"/>
                <w:kern w:val="0"/>
                <w:sz w:val="20"/>
                <w:szCs w:val="20"/>
              </w:rPr>
              <w:t>已全面完成全区自然灾害风险普查工作任务。</w:t>
            </w:r>
          </w:p>
        </w:tc>
      </w:tr>
      <w:tr>
        <w:trPr>
          <w:trHeight w:val="1282"/>
        </w:trPr>
        <w:tc>
          <w:tcPr>
            <w:tcW w:w="65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绩效指标</w:t>
            </w:r>
          </w:p>
        </w:tc>
        <w:tc>
          <w:tcPr>
            <w:tcW w:w="65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一级</w:t>
              <w:br/>
              <w:t>指标</w:t>
            </w:r>
          </w:p>
        </w:tc>
        <w:tc>
          <w:tcPr>
            <w:tcW w:w="130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二级指标</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三级指标</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指标值</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全年实际完成值</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未完成原因和改进措施</w:t>
            </w:r>
          </w:p>
        </w:tc>
      </w:tr>
      <w:tr>
        <w:trPr>
          <w:trHeight w:val="646"/>
        </w:trPr>
        <w:tc>
          <w:tcPr>
            <w:tcW w:w="650" w:type="dxa"/>
            <w:vMerge/>
            <w:tcBorders>
              <w:top w:val="nil"/>
              <w:left w:val="single" w:sz="4" w:space="0" w:color="auto"/>
              <w:bottom w:val="single" w:sz="4" w:space="0" w:color="auto"/>
              <w:right w:val="single" w:sz="4" w:space="0" w:color="auto"/>
            </w:tcBorders>
            <w:vAlign w:val="center"/>
          </w:tcPr>
          <w:p/>
        </w:tc>
        <w:tc>
          <w:tcPr>
            <w:tcW w:w="650"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产出指标</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数量指标</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调查任务覆盖区数量</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辖区所有县区及市本级</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已全面覆盖全区15个乡镇</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77"/>
        </w:trPr>
        <w:tc>
          <w:tcPr>
            <w:tcW w:w="650" w:type="dxa"/>
            <w:vMerge/>
            <w:tcBorders>
              <w:top w:val="nil"/>
              <w:left w:val="single" w:sz="4" w:space="0" w:color="auto"/>
              <w:bottom w:val="single" w:sz="4" w:space="0" w:color="auto"/>
              <w:right w:val="single" w:sz="4" w:space="0" w:color="auto"/>
            </w:tcBorders>
            <w:vAlign w:val="center"/>
          </w:tcPr>
          <w:p/>
        </w:tc>
        <w:tc>
          <w:tcPr>
            <w:tcW w:w="650" w:type="dxa"/>
            <w:vMerge/>
            <w:tcBorders>
              <w:top w:val="nil"/>
              <w:left w:val="single" w:sz="4" w:space="0" w:color="auto"/>
              <w:bottom w:val="single" w:sz="4" w:space="0" w:color="000000"/>
              <w:right w:val="single" w:sz="4" w:space="0" w:color="auto"/>
            </w:tcBorders>
            <w:vAlign w:val="center"/>
          </w:tcPr>
          <w:p/>
        </w:tc>
        <w:tc>
          <w:tcPr>
            <w:tcW w:w="1302" w:type="dxa"/>
            <w:vMerge/>
            <w:tcBorders>
              <w:top w:val="nil"/>
              <w:left w:val="single" w:sz="4" w:space="0" w:color="auto"/>
              <w:bottom w:val="single" w:sz="4" w:space="0" w:color="auto"/>
              <w:right w:val="single" w:sz="4" w:space="0" w:color="auto"/>
            </w:tcBorders>
            <w:vAlign w:val="center"/>
          </w:tc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市、县两级普查对象清查覆盖率</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≥95%</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77"/>
        </w:trPr>
        <w:tc>
          <w:tcPr>
            <w:tcW w:w="650" w:type="dxa"/>
            <w:vMerge/>
            <w:tcBorders>
              <w:top w:val="nil"/>
              <w:left w:val="single" w:sz="4" w:space="0" w:color="auto"/>
              <w:bottom w:val="single" w:sz="4" w:space="0" w:color="auto"/>
              <w:right w:val="single" w:sz="4" w:space="0" w:color="auto"/>
            </w:tcBorders>
            <w:vAlign w:val="center"/>
          </w:tcPr>
          <w:p/>
        </w:tc>
        <w:tc>
          <w:tcPr>
            <w:tcW w:w="650" w:type="dxa"/>
            <w:vMerge/>
            <w:tcBorders>
              <w:top w:val="nil"/>
              <w:left w:val="single" w:sz="4" w:space="0" w:color="auto"/>
              <w:bottom w:val="single" w:sz="4" w:space="0" w:color="000000"/>
              <w:right w:val="single" w:sz="4" w:space="0" w:color="auto"/>
            </w:tcBorders>
            <w:vAlign w:val="center"/>
          </w:tcPr>
          <w:p/>
        </w:tc>
        <w:tc>
          <w:tcPr>
            <w:tcW w:w="1302" w:type="dxa"/>
            <w:vMerge/>
            <w:tcBorders>
              <w:top w:val="nil"/>
              <w:left w:val="single" w:sz="4" w:space="0" w:color="auto"/>
              <w:bottom w:val="single" w:sz="4" w:space="0" w:color="auto"/>
              <w:right w:val="single" w:sz="4" w:space="0" w:color="auto"/>
            </w:tcBorders>
            <w:vAlign w:val="center"/>
          </w:tc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调查任务完成率</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77"/>
        </w:trPr>
        <w:tc>
          <w:tcPr>
            <w:tcW w:w="650" w:type="dxa"/>
            <w:vMerge/>
            <w:tcBorders>
              <w:top w:val="nil"/>
              <w:left w:val="single" w:sz="4" w:space="0" w:color="auto"/>
              <w:bottom w:val="single" w:sz="4" w:space="0" w:color="auto"/>
              <w:right w:val="single" w:sz="4" w:space="0" w:color="auto"/>
            </w:tcBorders>
            <w:vAlign w:val="center"/>
          </w:tcPr>
          <w:p/>
        </w:tc>
        <w:tc>
          <w:tcPr>
            <w:tcW w:w="650" w:type="dxa"/>
            <w:vMerge/>
            <w:tcBorders>
              <w:top w:val="nil"/>
              <w:left w:val="single" w:sz="4" w:space="0" w:color="auto"/>
              <w:bottom w:val="single" w:sz="4" w:space="0" w:color="000000"/>
              <w:right w:val="single" w:sz="4" w:space="0" w:color="auto"/>
            </w:tcBorders>
            <w:vAlign w:val="center"/>
          </w:tcPr>
          <w:p/>
        </w:tc>
        <w:tc>
          <w:tcPr>
            <w:tcW w:w="1302" w:type="dxa"/>
            <w:vMerge/>
            <w:tcBorders>
              <w:top w:val="nil"/>
              <w:left w:val="single" w:sz="4" w:space="0" w:color="auto"/>
              <w:bottom w:val="single" w:sz="4" w:space="0" w:color="auto"/>
              <w:right w:val="single" w:sz="4" w:space="0" w:color="auto"/>
            </w:tcBorders>
            <w:vAlign w:val="center"/>
          </w:tc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普查宣传工作覆盖的县级行政区比例</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77"/>
        </w:trPr>
        <w:tc>
          <w:tcPr>
            <w:tcW w:w="650" w:type="dxa"/>
            <w:vMerge/>
            <w:tcBorders>
              <w:top w:val="nil"/>
              <w:left w:val="single" w:sz="4" w:space="0" w:color="auto"/>
              <w:bottom w:val="single" w:sz="4" w:space="0" w:color="auto"/>
              <w:right w:val="single" w:sz="4" w:space="0" w:color="auto"/>
            </w:tcBorders>
            <w:vAlign w:val="center"/>
          </w:tcPr>
          <w:p/>
        </w:tc>
        <w:tc>
          <w:tcPr>
            <w:tcW w:w="650" w:type="dxa"/>
            <w:vMerge/>
            <w:tcBorders>
              <w:top w:val="nil"/>
              <w:left w:val="single" w:sz="4" w:space="0" w:color="auto"/>
              <w:bottom w:val="single" w:sz="4" w:space="0" w:color="000000"/>
              <w:right w:val="single" w:sz="4" w:space="0" w:color="auto"/>
            </w:tcBorders>
            <w:vAlign w:val="center"/>
          </w:tcPr>
          <w:p/>
        </w:tc>
        <w:tc>
          <w:tcPr>
            <w:tcW w:w="1302" w:type="dxa"/>
            <w:vMerge/>
            <w:tcBorders>
              <w:top w:val="nil"/>
              <w:left w:val="single" w:sz="4" w:space="0" w:color="auto"/>
              <w:bottom w:val="single" w:sz="4" w:space="0" w:color="auto"/>
              <w:right w:val="single" w:sz="4" w:space="0" w:color="auto"/>
            </w:tcBorders>
            <w:vAlign w:val="center"/>
          </w:tcP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普查人员参与培训的覆盖率</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≥95%</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77"/>
        </w:trPr>
        <w:tc>
          <w:tcPr>
            <w:tcW w:w="650" w:type="dxa"/>
            <w:vMerge/>
            <w:tcBorders>
              <w:top w:val="nil"/>
              <w:left w:val="single" w:sz="4" w:space="0" w:color="auto"/>
              <w:bottom w:val="single" w:sz="4" w:space="0" w:color="auto"/>
              <w:right w:val="single" w:sz="4" w:space="0" w:color="auto"/>
            </w:tcBorders>
            <w:vAlign w:val="center"/>
          </w:tcPr>
          <w:p/>
        </w:tc>
        <w:tc>
          <w:tcPr>
            <w:tcW w:w="65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　</w:t>
            </w:r>
          </w:p>
        </w:tc>
        <w:tc>
          <w:tcPr>
            <w:tcW w:w="130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质量指标</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普查数据成果质检核查通过率</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646"/>
        </w:trPr>
        <w:tc>
          <w:tcPr>
            <w:tcW w:w="650" w:type="dxa"/>
            <w:vMerge/>
            <w:tcBorders>
              <w:top w:val="nil"/>
              <w:left w:val="single" w:sz="4" w:space="0" w:color="auto"/>
              <w:bottom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0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时效指标</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各项任务按进度开展偏差程度</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偏差1个月以内</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无偏差，在规定时间内完成</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96"/>
        </w:trPr>
        <w:tc>
          <w:tcPr>
            <w:tcW w:w="650" w:type="dxa"/>
            <w:vMerge/>
            <w:tcBorders>
              <w:top w:val="nil"/>
              <w:left w:val="single" w:sz="4" w:space="0" w:color="auto"/>
              <w:bottom w:val="single" w:sz="4" w:space="0" w:color="auto"/>
              <w:right w:val="single" w:sz="4" w:space="0" w:color="auto"/>
            </w:tcBorders>
            <w:vAlign w:val="center"/>
          </w:tcPr>
          <w:p/>
        </w:tc>
        <w:tc>
          <w:tcPr>
            <w:tcW w:w="650" w:type="dxa"/>
            <w:vMerge/>
            <w:tcBorders>
              <w:top w:val="nil"/>
              <w:left w:val="single" w:sz="4" w:space="0" w:color="auto"/>
              <w:bottom w:val="single" w:sz="4" w:space="0" w:color="auto"/>
              <w:right w:val="single" w:sz="4" w:space="0" w:color="auto"/>
            </w:tcBorders>
            <w:vAlign w:val="center"/>
          </w:tcPr>
          <w:p/>
        </w:tc>
        <w:tc>
          <w:tcPr>
            <w:tcW w:w="130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成本指标</w:t>
            </w:r>
          </w:p>
        </w:tc>
        <w:tc>
          <w:tcPr>
            <w:tcW w:w="4950" w:type="dxa"/>
            <w:gridSpan w:val="2"/>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成本控制有效性</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有效</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有效</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601"/>
        </w:trPr>
        <w:tc>
          <w:tcPr>
            <w:tcW w:w="650" w:type="dxa"/>
            <w:vMerge/>
            <w:tcBorders>
              <w:top w:val="nil"/>
              <w:left w:val="single" w:sz="4" w:space="0" w:color="auto"/>
              <w:bottom w:val="single" w:sz="4" w:space="0" w:color="auto"/>
              <w:right w:val="single" w:sz="4" w:space="0" w:color="auto"/>
            </w:tcBorders>
            <w:vAlign w:val="center"/>
          </w:tcPr>
          <w:p/>
        </w:tc>
        <w:tc>
          <w:tcPr>
            <w:tcW w:w="650"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效益指标</w:t>
            </w:r>
          </w:p>
        </w:tc>
        <w:tc>
          <w:tcPr>
            <w:tcW w:w="1302"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经济效益指标</w:t>
            </w:r>
          </w:p>
        </w:tc>
        <w:tc>
          <w:tcPr>
            <w:tcW w:w="4950" w:type="dxa"/>
            <w:gridSpan w:val="2"/>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普查成果为自然灾害防治、应急管理等工作提供科学依据，减轻灾害损失</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效果显著</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效果显著，可为自然灾害防治、应急管理等工作提供科学依据，最大限度减轻灾害损失。</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438"/>
        </w:trPr>
        <w:tc>
          <w:tcPr>
            <w:tcW w:w="650" w:type="dxa"/>
            <w:vMerge/>
            <w:tcBorders>
              <w:top w:val="nil"/>
              <w:left w:val="single" w:sz="4" w:space="0" w:color="auto"/>
              <w:bottom w:val="single" w:sz="4" w:space="0" w:color="auto"/>
              <w:right w:val="single" w:sz="4" w:space="0" w:color="auto"/>
            </w:tcBorders>
            <w:vAlign w:val="center"/>
          </w:tcPr>
          <w:p/>
        </w:tc>
        <w:tc>
          <w:tcPr>
            <w:tcW w:w="650" w:type="dxa"/>
            <w:vMerge/>
            <w:tcBorders>
              <w:top w:val="nil"/>
              <w:left w:val="single" w:sz="4" w:space="0" w:color="auto"/>
              <w:bottom w:val="single" w:sz="4" w:space="0" w:color="000000"/>
              <w:right w:val="single" w:sz="4" w:space="0" w:color="auto"/>
            </w:tcBorders>
            <w:vAlign w:val="center"/>
          </w:tcPr>
          <w:p/>
        </w:tc>
        <w:tc>
          <w:tcPr>
            <w:tcW w:w="1302" w:type="dxa"/>
            <w:vMerge/>
            <w:tcBorders>
              <w:top w:val="nil"/>
              <w:left w:val="single" w:sz="4" w:space="0" w:color="auto"/>
              <w:bottom w:val="single" w:sz="4" w:space="0" w:color="000000"/>
              <w:right w:val="single" w:sz="4" w:space="0" w:color="auto"/>
            </w:tcBorders>
            <w:vAlign w:val="center"/>
          </w:tcPr>
          <w:p/>
        </w:tc>
        <w:tc>
          <w:tcPr>
            <w:tcW w:w="4950" w:type="dxa"/>
            <w:gridSpan w:val="2"/>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数据共享涉及部门数量</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不少于6个</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24个</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646"/>
        </w:trPr>
        <w:tc>
          <w:tcPr>
            <w:tcW w:w="650" w:type="dxa"/>
            <w:vMerge/>
            <w:tcBorders>
              <w:top w:val="nil"/>
              <w:left w:val="single" w:sz="4" w:space="0" w:color="auto"/>
              <w:bottom w:val="single" w:sz="4" w:space="0" w:color="auto"/>
              <w:right w:val="single" w:sz="4" w:space="0" w:color="auto"/>
            </w:tcBorders>
            <w:vAlign w:val="center"/>
          </w:tcPr>
          <w:p/>
        </w:tc>
        <w:tc>
          <w:tcPr>
            <w:tcW w:w="650" w:type="dxa"/>
            <w:vMerge/>
            <w:tcBorders>
              <w:top w:val="nil"/>
              <w:left w:val="single" w:sz="4" w:space="0" w:color="auto"/>
              <w:bottom w:val="single" w:sz="4" w:space="0" w:color="000000"/>
              <w:right w:val="single" w:sz="4" w:space="0" w:color="auto"/>
            </w:tcBorders>
            <w:vAlign w:val="center"/>
          </w:tcPr>
          <w:p/>
        </w:tc>
        <w:tc>
          <w:tcPr>
            <w:tcW w:w="1302" w:type="dxa"/>
            <w:vMerge/>
            <w:tcBorders>
              <w:top w:val="nil"/>
              <w:left w:val="single" w:sz="4" w:space="0" w:color="auto"/>
              <w:bottom w:val="single" w:sz="4" w:space="0" w:color="000000"/>
              <w:right w:val="single" w:sz="4" w:space="0" w:color="auto"/>
            </w:tcBorders>
            <w:vAlign w:val="center"/>
          </w:tcPr>
          <w:p/>
        </w:tc>
        <w:tc>
          <w:tcPr>
            <w:tcW w:w="4950" w:type="dxa"/>
            <w:gridSpan w:val="2"/>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行业部门数据共享数量</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不少于100项指标</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120个</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964"/>
        </w:trPr>
        <w:tc>
          <w:tcPr>
            <w:tcW w:w="650" w:type="dxa"/>
            <w:vMerge/>
            <w:tcBorders>
              <w:top w:val="nil"/>
              <w:left w:val="single" w:sz="4" w:space="0" w:color="auto"/>
              <w:bottom w:val="single" w:sz="4" w:space="0" w:color="auto"/>
              <w:right w:val="single" w:sz="4" w:space="0" w:color="auto"/>
            </w:tcBorders>
            <w:vAlign w:val="center"/>
          </w:tcPr>
          <w:p/>
        </w:tc>
        <w:tc>
          <w:tcPr>
            <w:tcW w:w="650" w:type="dxa"/>
            <w:vMerge/>
            <w:tcBorders>
              <w:top w:val="nil"/>
              <w:left w:val="single" w:sz="4" w:space="0" w:color="auto"/>
              <w:bottom w:val="single" w:sz="4" w:space="0" w:color="000000"/>
              <w:right w:val="single" w:sz="4" w:space="0" w:color="auto"/>
            </w:tcBorders>
            <w:vAlign w:val="center"/>
          </w:tcPr>
          <w:p/>
        </w:tc>
        <w:tc>
          <w:tcPr>
            <w:tcW w:w="130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社会效益指标</w:t>
            </w:r>
          </w:p>
        </w:tc>
        <w:tc>
          <w:tcPr>
            <w:tcW w:w="4950" w:type="dxa"/>
            <w:gridSpan w:val="2"/>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普查工作对提升基层自然灾害防治能力的作用</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效果显著</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效果显著，有效提升基层自然灾害防治能力。</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601"/>
        </w:trPr>
        <w:tc>
          <w:tcPr>
            <w:tcW w:w="650" w:type="dxa"/>
            <w:vMerge/>
            <w:tcBorders>
              <w:top w:val="nil"/>
              <w:left w:val="single" w:sz="4" w:space="0" w:color="auto"/>
              <w:bottom w:val="single" w:sz="4" w:space="0" w:color="auto"/>
              <w:right w:val="single" w:sz="4" w:space="0" w:color="auto"/>
            </w:tcBorders>
            <w:vAlign w:val="center"/>
          </w:tcPr>
          <w:p/>
        </w:tc>
        <w:tc>
          <w:tcPr>
            <w:tcW w:w="65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满意度指标</w:t>
            </w:r>
          </w:p>
        </w:tc>
        <w:tc>
          <w:tcPr>
            <w:tcW w:w="1302"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服务对象满意度指标</w:t>
            </w:r>
          </w:p>
        </w:tc>
        <w:tc>
          <w:tcPr>
            <w:tcW w:w="4950"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行业部门满意度</w:t>
            </w:r>
          </w:p>
        </w:tc>
        <w:tc>
          <w:tcPr>
            <w:tcW w:w="1696"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≥90%</w:t>
            </w:r>
          </w:p>
        </w:tc>
        <w:tc>
          <w:tcPr>
            <w:tcW w:w="227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67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646"/>
        </w:trPr>
        <w:tc>
          <w:tcPr>
            <w:tcW w:w="65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说明</w:t>
            </w:r>
          </w:p>
        </w:tc>
        <w:tc>
          <w:tcPr>
            <w:tcW w:w="13550" w:type="dxa"/>
            <w:gridSpan w:val="7"/>
            <w:tcBorders>
              <w:top w:val="single" w:sz="4" w:space="0" w:color="auto"/>
              <w:left w:val="nil"/>
              <w:bottom w:val="single" w:sz="4" w:space="0" w:color="auto"/>
              <w:right w:val="single" w:sz="4" w:space="0" w:color="000000"/>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无</w:t>
            </w:r>
          </w:p>
        </w:tc>
      </w:tr>
      <w:tr>
        <w:trPr>
          <w:trHeight w:val="328"/>
        </w:trPr>
        <w:tc>
          <w:tcPr>
            <w:tcW w:w="14200" w:type="dxa"/>
            <w:gridSpan w:val="8"/>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注：1.资金使用单位按项目绩效目标填报，主管部门汇总时按区域绩效目标填报。</w:t>
            </w:r>
          </w:p>
        </w:tc>
      </w:tr>
      <w:tr>
        <w:trPr>
          <w:trHeight w:val="532"/>
        </w:trPr>
        <w:tc>
          <w:tcPr>
            <w:tcW w:w="14200" w:type="dxa"/>
            <w:gridSpan w:val="8"/>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2.其他资金包括与中央财政资金、地方财政资金共同投入到同一项目的自有资金、社会资金，以及以前年度的结转结余资金等。</w:t>
            </w:r>
          </w:p>
        </w:tc>
      </w:tr>
      <w:tr>
        <w:trPr>
          <w:trHeight w:val="348"/>
        </w:trPr>
        <w:tc>
          <w:tcPr>
            <w:tcW w:w="14200" w:type="dxa"/>
            <w:gridSpan w:val="8"/>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3.全年执行数是指按照国库集中支付制度要求所形成的实际支出。</w:t>
            </w:r>
          </w:p>
        </w:tc>
      </w:tr>
    </w:tbl>
    <w:p>
      <w:pPr>
        <w:pStyle w:val="15"/>
        <w:spacing w:beforeLines="0" w:before="93"/>
        <w:rPr>
          <w:color w:val="C00000"/>
        </w:rPr>
      </w:pPr>
    </w:p>
    <w:p>
      <w:pPr>
        <w:pStyle w:val="15"/>
        <w:spacing w:beforeLines="0" w:before="93"/>
        <w:rPr>
          <w:color w:val="C00000"/>
        </w:rPr>
      </w:pPr>
    </w:p>
    <w:p>
      <w:pPr>
        <w:pStyle w:val="38"/>
        <w:spacing w:line="578" w:lineRule="exact"/>
        <w:jc w:val="center"/>
        <w:rPr>
          <w:rFonts w:ascii="方正小标宋简体" w:eastAsia="方正小标宋简体" w:cs="方正小标宋简体" w:hAnsi="方正小标宋简体"/>
          <w:color w:val="auto"/>
          <w:kern w:val="2"/>
          <w:sz w:val="44"/>
          <w:szCs w:val="44"/>
          <w:lang w:val="en-US"/>
        </w:rPr>
        <w:sectPr>
          <w:pgSz w:w="16838" w:h="11906" w:orient="landscape"/>
          <w:pgMar w:top="1587" w:right="2098" w:bottom="1474" w:left="1984" w:header="851" w:footer="992" w:gutter="0"/>
          <w:cols w:num="1" w:space="0"/>
          <w:titlePg/>
          <w:docGrid w:type="lines" w:linePitch="312" w:charSpace="0"/>
        </w:sectPr>
      </w:pPr>
    </w:p>
    <w:p>
      <w:pPr>
        <w:pStyle w:val="38"/>
        <w:spacing w:line="578" w:lineRule="exact"/>
        <w:jc w:val="center"/>
        <w:rPr>
          <w:rFonts w:ascii="方正小标宋简体" w:eastAsia="方正小标宋简体" w:cs="方正小标宋简体" w:hAnsi="方正小标宋简体"/>
          <w:color w:val="auto"/>
          <w:kern w:val="2"/>
          <w:sz w:val="44"/>
          <w:szCs w:val="44"/>
          <w:lang w:val="en-US"/>
        </w:rPr>
      </w:pPr>
      <w:r>
        <w:rPr>
          <w:rFonts w:ascii="方正小标宋简体" w:eastAsia="方正小标宋简体" w:cs="方正小标宋简体" w:hAnsi="方正小标宋简体" w:hint="eastAsia"/>
          <w:color w:val="auto"/>
          <w:kern w:val="2"/>
          <w:sz w:val="44"/>
          <w:szCs w:val="44"/>
          <w:lang w:val="en-US"/>
        </w:rPr>
        <w:t>广元市利州区应急管理局</w:t>
      </w:r>
    </w:p>
    <w:p>
      <w:pPr>
        <w:pStyle w:val="38"/>
        <w:spacing w:line="578" w:lineRule="exact"/>
        <w:jc w:val="center"/>
        <w:rPr>
          <w:rFonts w:ascii="方正小标宋简体" w:eastAsia="方正小标宋简体" w:cs="方正小标宋简体" w:hAnsi="方正小标宋简体"/>
          <w:color w:val="auto"/>
          <w:kern w:val="2"/>
          <w:sz w:val="44"/>
          <w:szCs w:val="44"/>
          <w:lang w:val="en-US"/>
        </w:rPr>
      </w:pPr>
      <w:r>
        <w:rPr>
          <w:rFonts w:ascii="方正小标宋简体" w:eastAsia="方正小标宋简体" w:cs="方正小标宋简体" w:hAnsi="方正小标宋简体" w:hint="eastAsia"/>
          <w:color w:val="auto"/>
          <w:kern w:val="2"/>
          <w:sz w:val="44"/>
          <w:szCs w:val="44"/>
          <w:lang w:val="en-US"/>
        </w:rPr>
        <w:t>关于2022年区级专项资金（干旱灾害）预算项目支出绩效自评报告</w:t>
      </w:r>
    </w:p>
    <w:p>
      <w:pPr>
        <w:pStyle w:val="38"/>
        <w:spacing w:line="578" w:lineRule="exact"/>
        <w:ind w:firstLine="640"/>
        <w:jc w:val="center"/>
        <w:rPr>
          <w:rFonts w:ascii="宋体" w:hAnsi="宋体"/>
          <w:color w:val="auto"/>
          <w:kern w:val="2"/>
          <w:sz w:val="32"/>
          <w:szCs w:val="32"/>
        </w:rPr>
      </w:pPr>
    </w:p>
    <w:p>
      <w:pPr>
        <w:adjustRightInd w:val="0"/>
        <w:snapToGrid w:val="0"/>
        <w:spacing w:line="500" w:lineRule="exact"/>
        <w:ind w:firstLineChars="200" w:firstLine="600"/>
        <w:rPr>
          <w:rFonts w:ascii="黑体" w:eastAsia="黑体" w:hAnsi="宋体"/>
          <w:sz w:val="30"/>
          <w:szCs w:val="30"/>
          <w:lang w:val="zh-CN"/>
        </w:rPr>
      </w:pPr>
      <w:r>
        <w:rPr>
          <w:rFonts w:ascii="黑体" w:eastAsia="黑体" w:hAnsi="宋体" w:hint="eastAsia"/>
          <w:sz w:val="30"/>
          <w:szCs w:val="30"/>
        </w:rPr>
        <w:t>一、</w:t>
      </w:r>
      <w:r>
        <w:rPr>
          <w:rFonts w:ascii="黑体" w:eastAsia="黑体" w:hAnsi="宋体" w:hint="eastAsia"/>
          <w:sz w:val="30"/>
          <w:szCs w:val="30"/>
          <w:lang w:val="zh-CN"/>
        </w:rPr>
        <w:t>项目概况</w:t>
      </w:r>
    </w:p>
    <w:p>
      <w:pPr>
        <w:adjustRightInd w:val="0"/>
        <w:snapToGrid w:val="0"/>
        <w:spacing w:line="500" w:lineRule="exact"/>
        <w:ind w:firstLineChars="200" w:firstLine="600"/>
        <w:rPr>
          <w:rFonts w:ascii="楷体_GB2312" w:eastAsia="楷体_GB2312" w:hAnsi="宋体"/>
          <w:sz w:val="30"/>
          <w:szCs w:val="30"/>
          <w:lang w:val="zh-CN"/>
        </w:rPr>
      </w:pPr>
      <w:r>
        <w:rPr>
          <w:rFonts w:ascii="楷体_GB2312" w:eastAsia="楷体_GB2312" w:hAnsi="宋体" w:hint="eastAsia"/>
          <w:sz w:val="30"/>
          <w:szCs w:val="30"/>
          <w:lang w:val="zh-CN"/>
        </w:rPr>
        <w:t>（一）项目基本情况。</w:t>
      </w:r>
    </w:p>
    <w:p>
      <w:pPr>
        <w:spacing w:line="500" w:lineRule="exact"/>
        <w:ind w:firstLine="64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根据广元市利州区财政局《关于下达上级财政专项补助资金的通知》（广利财建下〔2022〕26号）、（广利财建下〔2023〕5号）文件精神，分别下达了干旱灾害资金50万元和30万元、两批共80万元。</w:t>
      </w:r>
    </w:p>
    <w:p>
      <w:pPr>
        <w:adjustRightInd w:val="0"/>
        <w:snapToGrid w:val="0"/>
        <w:spacing w:line="500" w:lineRule="exact"/>
        <w:ind w:firstLineChars="200" w:firstLine="600"/>
        <w:rPr>
          <w:rFonts w:ascii="楷体_GB2312" w:eastAsia="楷体_GB2312" w:hAnsi="宋体"/>
          <w:sz w:val="30"/>
          <w:szCs w:val="30"/>
          <w:lang w:val="zh-CN"/>
        </w:rPr>
      </w:pPr>
      <w:r>
        <w:rPr>
          <w:rFonts w:ascii="楷体_GB2312" w:eastAsia="楷体_GB2312" w:hAnsi="宋体" w:hint="eastAsia"/>
          <w:sz w:val="30"/>
          <w:szCs w:val="30"/>
          <w:lang w:val="zh-CN"/>
        </w:rPr>
        <w:t>（二）项目绩效目标。</w:t>
      </w:r>
    </w:p>
    <w:p>
      <w:pPr>
        <w:spacing w:line="500" w:lineRule="exact"/>
        <w:ind w:firstLine="64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资金下达后，我们严格按照《四川省自然灾害救灾资金管理暂行办法的通知》要求，经局党委会议研究报区政府领导同意，印发《关于2022年度中央自然灾害救灾资金（干旱灾害）分配方案的请示》（广利应急〔2022〕98号）文件进行分配使用。总体目标是采购抢险应急、防汛抗旱物资及设备，全面提升防汛抗旱水平和抢险救援能力，确保人民群众生命财产安全；确保防汛物资设备安全存储、及时维修、为旱涝灾害地区提供经费支持和物资设备保障。</w:t>
      </w:r>
    </w:p>
    <w:p>
      <w:pPr>
        <w:adjustRightInd w:val="0"/>
        <w:snapToGrid w:val="0"/>
        <w:spacing w:line="500" w:lineRule="exact"/>
        <w:ind w:firstLineChars="200" w:firstLine="600"/>
        <w:rPr>
          <w:rFonts w:ascii="黑体" w:eastAsia="黑体" w:hAnsi="宋体"/>
          <w:sz w:val="30"/>
          <w:szCs w:val="30"/>
        </w:rPr>
      </w:pPr>
      <w:r>
        <w:rPr>
          <w:rFonts w:ascii="黑体" w:eastAsia="黑体" w:hAnsi="宋体" w:hint="eastAsia"/>
          <w:sz w:val="30"/>
          <w:szCs w:val="30"/>
        </w:rPr>
        <w:t>二、项目资金申报及使用情况</w:t>
      </w:r>
    </w:p>
    <w:p>
      <w:pPr>
        <w:spacing w:line="500" w:lineRule="exact"/>
        <w:ind w:firstLine="64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按照相关文件要求，结合受灾实际情况，2022年11月下达的50万元干旱灾害资金也全部按照分配方案分配到14个乡镇（街道）和消防大队用于解决城乡居民用水困难送水、购置饮水管道和租赁车辆出动抢险队伍的补助；目前对2023年上级下达的干旱灾害30万资金正在抓紧制定分配方案报区政府领导同意后尽快实施。截至绩效报告日我局对上级累计下达的中央自然灾害救灾资金（干旱灾害）80万的使用情况是：1、2022年11月下达的50万元干旱灾害资金已使用50万，执行率100%；2、2023年3月下达的30万元救灾资金目前正在实施当中，综合上级下达的2022年全部自然灾害救灾资金（干旱灾害）80万的使用情况，总的执行率为62.5%。</w:t>
      </w:r>
    </w:p>
    <w:p>
      <w:pPr>
        <w:adjustRightInd w:val="0"/>
        <w:snapToGrid w:val="0"/>
        <w:spacing w:line="500" w:lineRule="exact"/>
        <w:ind w:firstLineChars="200" w:firstLine="600"/>
        <w:rPr>
          <w:rFonts w:ascii="黑体" w:eastAsia="黑体" w:hAnsi="宋体"/>
          <w:sz w:val="30"/>
          <w:szCs w:val="30"/>
        </w:rPr>
      </w:pPr>
      <w:r>
        <w:rPr>
          <w:rFonts w:ascii="黑体" w:eastAsia="黑体" w:hAnsi="宋体" w:hint="eastAsia"/>
          <w:sz w:val="30"/>
          <w:szCs w:val="30"/>
        </w:rPr>
        <w:t>三、项目实施及管理情况</w:t>
      </w:r>
    </w:p>
    <w:p>
      <w:pPr>
        <w:spacing w:line="500" w:lineRule="exact"/>
        <w:ind w:firstLine="645"/>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为加强自然灾害救灾资金的管理，区应急管理局在收到资金预算后，根据四川省应急管理厅《四川省自然灾害救灾资金管理办法》要求，严格按照自然灾害救灾资金的使用用途，结合各乡镇（街道）的受灾报告、投入情况等因素进行分配，及时制定救灾资金使用分配方案，并与区财政局会商经区政府领导同意后下达资金至各乡镇（街道）和按规定采购物资。</w:t>
      </w:r>
    </w:p>
    <w:p>
      <w:pPr>
        <w:adjustRightInd w:val="0"/>
        <w:snapToGrid w:val="0"/>
        <w:spacing w:line="500" w:lineRule="exact"/>
        <w:ind w:firstLineChars="200" w:firstLine="600"/>
        <w:rPr>
          <w:rFonts w:ascii="仿宋_GB2312" w:hAnsi="宋体"/>
          <w:sz w:val="30"/>
          <w:szCs w:val="30"/>
          <w:lang w:val="zh-CN"/>
        </w:rPr>
      </w:pPr>
      <w:r>
        <w:rPr>
          <w:rFonts w:ascii="黑体" w:eastAsia="黑体" w:hAnsi="宋体" w:hint="eastAsia"/>
          <w:sz w:val="30"/>
          <w:szCs w:val="30"/>
        </w:rPr>
        <w:t>四、项目绩效情况</w:t>
      </w:r>
      <w:r>
        <w:rPr>
          <w:rFonts w:ascii="仿宋_GB2312" w:hAnsi="宋体" w:hint="eastAsia"/>
          <w:sz w:val="30"/>
          <w:szCs w:val="30"/>
          <w:lang w:val="zh-CN"/>
        </w:rPr>
        <w:tab/>
      </w:r>
    </w:p>
    <w:p>
      <w:pPr>
        <w:spacing w:line="50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我局按照有关规定和要求，总体绩效目标均已按时完成，所有项目的日常管理工作均按照相关管理制度执行，建立了工作有计划、实施有方案、日常有监督的管理机制，工作取得了较好的成效，效能得到了提高、获得了社会公众的好评。</w:t>
      </w:r>
    </w:p>
    <w:p>
      <w:pPr>
        <w:adjustRightInd w:val="0"/>
        <w:snapToGrid w:val="0"/>
        <w:spacing w:line="500" w:lineRule="exact"/>
        <w:ind w:firstLineChars="200" w:firstLine="600"/>
        <w:rPr>
          <w:rFonts w:ascii="黑体" w:eastAsia="黑体" w:hAnsi="宋体"/>
          <w:sz w:val="30"/>
          <w:szCs w:val="30"/>
        </w:rPr>
      </w:pPr>
      <w:r>
        <w:rPr>
          <w:rFonts w:ascii="黑体" w:eastAsia="黑体" w:hAnsi="宋体" w:hint="eastAsia"/>
          <w:sz w:val="30"/>
          <w:szCs w:val="30"/>
        </w:rPr>
        <w:t>五、评价结论及建议</w:t>
      </w:r>
    </w:p>
    <w:p>
      <w:pPr>
        <w:spacing w:line="50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按照2022年度中央对地方转移支付预算执行情况绩效通知及相关要求，结合实施绩效考评数据及考评情况，绩效评价自评分为98分。</w:t>
      </w:r>
    </w:p>
    <w:p>
      <w:pPr>
        <w:pStyle w:val="15"/>
        <w:spacing w:beforeLines="0" w:before="30" w:line="500" w:lineRule="exact"/>
      </w:pPr>
    </w:p>
    <w:p>
      <w:pPr>
        <w:pStyle w:val="15"/>
        <w:spacing w:beforeLines="0" w:before="30" w:line="500" w:lineRule="exact"/>
      </w:pPr>
    </w:p>
    <w:p>
      <w:pPr>
        <w:spacing w:line="500"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 xml:space="preserve">                        广元市利州区应急管理局</w:t>
      </w:r>
    </w:p>
    <w:p>
      <w:pPr>
        <w:spacing w:line="500" w:lineRule="exact"/>
        <w:ind w:firstLineChars="715" w:firstLine="2145"/>
        <w:rPr>
          <w:rFonts w:ascii="方正仿宋简体" w:eastAsia="方正仿宋简体" w:cs="方正仿宋简体" w:hAnsi="方正仿宋简体"/>
          <w:sz w:val="30"/>
          <w:szCs w:val="30"/>
        </w:rPr>
        <w:sectPr>
          <w:pgSz w:w="11906" w:h="16838"/>
          <w:pgMar w:top="2098" w:right="1474" w:bottom="1984" w:left="1587" w:header="851" w:footer="992" w:gutter="0"/>
          <w:cols w:num="1" w:space="0"/>
          <w:titlePg/>
          <w:docGrid w:type="lines" w:linePitch="312" w:charSpace="0"/>
        </w:sectPr>
      </w:pPr>
      <w:r>
        <w:rPr>
          <w:rFonts w:ascii="方正仿宋简体" w:eastAsia="方正仿宋简体" w:cs="方正仿宋简体" w:hAnsi="方正仿宋简体" w:hint="eastAsia"/>
          <w:sz w:val="30"/>
          <w:szCs w:val="30"/>
        </w:rPr>
        <w:t xml:space="preserve">                  2</w:t>
      </w:r>
      <w:r>
        <w:rPr>
          <w:rFonts w:ascii="方正仿宋简体" w:eastAsia="方正仿宋简体" w:cs="方正仿宋简体" w:hAnsi="方正仿宋简体"/>
          <w:sz w:val="30"/>
          <w:szCs w:val="30"/>
        </w:rPr>
        <w:t>02</w:t>
      </w:r>
      <w:r>
        <w:rPr>
          <w:rFonts w:ascii="方正仿宋简体" w:eastAsia="方正仿宋简体" w:cs="方正仿宋简体" w:hAnsi="方正仿宋简体" w:hint="eastAsia"/>
          <w:sz w:val="30"/>
          <w:szCs w:val="30"/>
        </w:rPr>
        <w:t>3年4月4号</w:t>
      </w:r>
    </w:p>
    <w:tbl>
      <w:tblPr>
        <w:jc w:val="center"/>
        <w:tblW w:w="1404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70"/>
        <w:gridCol w:w="670"/>
        <w:gridCol w:w="1343"/>
        <w:gridCol w:w="216"/>
        <w:gridCol w:w="1892"/>
        <w:gridCol w:w="791"/>
        <w:gridCol w:w="1269"/>
        <w:gridCol w:w="623"/>
        <w:gridCol w:w="1126"/>
        <w:gridCol w:w="934"/>
        <w:gridCol w:w="1749"/>
        <w:gridCol w:w="72"/>
        <w:gridCol w:w="2685"/>
      </w:tblGrid>
      <w:tr>
        <w:trPr>
          <w:trHeight w:val="176"/>
          <w:gridAfter w:val="1"/>
          <w:wAfter w:w="2685" w:type="dxa"/>
        </w:trPr>
        <w:tc>
          <w:tcPr>
            <w:tcW w:w="2899" w:type="dxa"/>
            <w:gridSpan w:val="4"/>
            <w:tcBorders>
              <w:top w:val="nil"/>
              <w:left w:val="nil"/>
              <w:bottom w:val="nil"/>
              <w:right w:val="nil"/>
            </w:tcBorders>
            <w:shd w:val="clear" w:color="auto" w:fill="auto"/>
            <w:vAlign w:val="center"/>
          </w:tcPr>
          <w:p>
            <w:pPr>
              <w:widowControl/>
              <w:jc w:val="left"/>
              <w:rPr>
                <w:rFonts w:ascii="黑体" w:eastAsia="黑体" w:cs="宋体" w:hAnsi="宋体"/>
                <w:kern w:val="0"/>
                <w:sz w:val="24"/>
              </w:rPr>
            </w:pPr>
          </w:p>
        </w:tc>
        <w:tc>
          <w:tcPr>
            <w:tcW w:w="1892" w:type="dxa"/>
            <w:tcBorders>
              <w:top w:val="nil"/>
              <w:left w:val="nil"/>
              <w:bottom w:val="nil"/>
              <w:right w:val="nil"/>
            </w:tcBorders>
            <w:shd w:val="clear" w:color="auto" w:fill="auto"/>
            <w:vAlign w:val="center"/>
          </w:tcPr>
          <w:p>
            <w:pPr>
              <w:widowControl/>
              <w:jc w:val="left"/>
              <w:rPr>
                <w:rFonts w:ascii="宋体" w:cs="宋体" w:hAnsi="宋体"/>
                <w:kern w:val="0"/>
                <w:sz w:val="24"/>
              </w:rPr>
            </w:pPr>
          </w:p>
        </w:tc>
        <w:tc>
          <w:tcPr>
            <w:tcW w:w="2060" w:type="dxa"/>
            <w:gridSpan w:val="2"/>
            <w:tcBorders>
              <w:top w:val="nil"/>
              <w:left w:val="nil"/>
              <w:bottom w:val="nil"/>
              <w:right w:val="nil"/>
            </w:tcBorders>
            <w:shd w:val="clear" w:color="auto" w:fill="auto"/>
            <w:vAlign w:val="center"/>
          </w:tcPr>
          <w:p>
            <w:pPr>
              <w:widowControl/>
              <w:jc w:val="left"/>
              <w:rPr>
                <w:rFonts w:ascii="宋体" w:cs="宋体" w:hAnsi="宋体"/>
                <w:kern w:val="0"/>
                <w:sz w:val="24"/>
              </w:rPr>
            </w:pPr>
          </w:p>
        </w:tc>
        <w:tc>
          <w:tcPr>
            <w:tcW w:w="1749" w:type="dxa"/>
            <w:gridSpan w:val="2"/>
            <w:tcBorders>
              <w:top w:val="nil"/>
              <w:left w:val="nil"/>
              <w:bottom w:val="nil"/>
              <w:right w:val="nil"/>
            </w:tcBorders>
            <w:shd w:val="clear" w:color="auto" w:fill="auto"/>
            <w:vAlign w:val="center"/>
          </w:tcPr>
          <w:p>
            <w:pPr>
              <w:widowControl/>
              <w:jc w:val="left"/>
              <w:rPr>
                <w:rFonts w:ascii="宋体" w:cs="宋体" w:hAnsi="宋体"/>
                <w:kern w:val="0"/>
                <w:sz w:val="24"/>
              </w:rPr>
            </w:pPr>
          </w:p>
        </w:tc>
        <w:tc>
          <w:tcPr>
            <w:tcW w:w="2755" w:type="dxa"/>
            <w:gridSpan w:val="3"/>
            <w:tcBorders>
              <w:top w:val="nil"/>
              <w:left w:val="nil"/>
              <w:bottom w:val="nil"/>
              <w:right w:val="nil"/>
            </w:tcBorders>
            <w:shd w:val="clear" w:color="auto" w:fill="auto"/>
            <w:vAlign w:val="center"/>
          </w:tcPr>
          <w:p>
            <w:pPr>
              <w:widowControl/>
              <w:jc w:val="left"/>
              <w:rPr>
                <w:rFonts w:ascii="宋体" w:cs="宋体" w:hAnsi="宋体"/>
                <w:kern w:val="0"/>
                <w:sz w:val="24"/>
              </w:rPr>
            </w:pPr>
          </w:p>
        </w:tc>
      </w:tr>
      <w:tr>
        <w:trPr>
          <w:trHeight w:val="331"/>
        </w:trPr>
        <w:tc>
          <w:tcPr>
            <w:tcW w:w="14040" w:type="dxa"/>
            <w:gridSpan w:val="13"/>
            <w:tcBorders>
              <w:top w:val="nil"/>
              <w:left w:val="nil"/>
              <w:bottom w:val="nil"/>
              <w:right w:val="nil"/>
            </w:tcBorders>
            <w:shd w:val="clear" w:color="auto" w:fill="auto"/>
            <w:vAlign w:val="center"/>
          </w:tcPr>
          <w:p>
            <w:pPr>
              <w:widowControl/>
              <w:jc w:val="center"/>
              <w:rPr>
                <w:rFonts w:ascii="方正小标宋简体" w:eastAsia="方正小标宋简体" w:cs="宋体" w:hAnsi="方正小标宋简体"/>
                <w:color w:val="000000"/>
                <w:kern w:val="0"/>
                <w:sz w:val="32"/>
                <w:szCs w:val="32"/>
              </w:rPr>
            </w:pPr>
            <w:r>
              <w:rPr>
                <w:rFonts w:ascii="方正小标宋简体" w:eastAsia="方正小标宋简体" w:cs="宋体" w:hAnsi="方正小标宋简体" w:hint="eastAsia"/>
                <w:color w:val="000000"/>
                <w:kern w:val="0"/>
                <w:sz w:val="32"/>
                <w:szCs w:val="32"/>
              </w:rPr>
              <w:t>利州区2022年度中央自然灾害救灾资金（干旱灾害）绩效目标自评表</w:t>
            </w:r>
          </w:p>
        </w:tc>
      </w:tr>
      <w:tr>
        <w:trPr>
          <w:trHeight w:val="170"/>
        </w:trPr>
        <w:tc>
          <w:tcPr>
            <w:tcW w:w="14040" w:type="dxa"/>
            <w:gridSpan w:val="13"/>
            <w:tcBorders>
              <w:top w:val="nil"/>
              <w:left w:val="nil"/>
              <w:bottom w:val="single" w:sz="4" w:space="0" w:color="auto"/>
              <w:right w:val="nil"/>
            </w:tcBorders>
            <w:shd w:val="clear" w:color="auto" w:fill="auto"/>
          </w:tcPr>
          <w:p>
            <w:pPr>
              <w:widowControl/>
              <w:jc w:val="center"/>
              <w:rPr>
                <w:rFonts w:ascii="仿宋_GB2312" w:eastAsia="仿宋_GB2312" w:cs="宋体" w:hAnsi="宋体"/>
                <w:color w:val="000000"/>
                <w:kern w:val="0"/>
                <w:sz w:val="22"/>
                <w:szCs w:val="22"/>
              </w:rPr>
            </w:pPr>
            <w:r>
              <w:rPr>
                <w:rFonts w:ascii="仿宋_GB2312" w:eastAsia="仿宋_GB2312" w:cs="宋体" w:hAnsi="宋体" w:hint="eastAsia"/>
                <w:color w:val="000000"/>
                <w:kern w:val="0"/>
                <w:sz w:val="22"/>
                <w:szCs w:val="22"/>
              </w:rPr>
              <w:t>（2022年度）</w:t>
            </w:r>
          </w:p>
        </w:tc>
      </w:tr>
      <w:tr>
        <w:trPr>
          <w:trHeight w:val="299"/>
        </w:trPr>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转移支付（项目）名称</w:t>
            </w:r>
          </w:p>
        </w:tc>
        <w:tc>
          <w:tcPr>
            <w:tcW w:w="11357" w:type="dxa"/>
            <w:gridSpan w:val="10"/>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中央自然灾害救灾资金（干旱灾害)</w:t>
            </w:r>
          </w:p>
        </w:tc>
      </w:tr>
      <w:tr>
        <w:trPr>
          <w:trHeight w:val="177"/>
        </w:trPr>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中央主管部门</w:t>
            </w:r>
          </w:p>
        </w:tc>
        <w:tc>
          <w:tcPr>
            <w:tcW w:w="11357" w:type="dxa"/>
            <w:gridSpan w:val="10"/>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应急管理部</w:t>
            </w:r>
          </w:p>
        </w:tc>
      </w:tr>
      <w:tr>
        <w:trPr>
          <w:trHeight w:val="177"/>
        </w:trPr>
        <w:tc>
          <w:tcPr>
            <w:tcW w:w="2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地方主管部门</w:t>
            </w: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资金使用单位</w:t>
            </w:r>
          </w:p>
        </w:tc>
        <w:tc>
          <w:tcPr>
            <w:tcW w:w="4506"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37"/>
        </w:trPr>
        <w:tc>
          <w:tcPr>
            <w:tcW w:w="268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资金投入情况</w:t>
              <w:br/>
              <w:t>（万元）</w:t>
            </w: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892"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全年预算数（A）</w:t>
            </w:r>
          </w:p>
        </w:tc>
        <w:tc>
          <w:tcPr>
            <w:tcW w:w="3809"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全年执行数（B）</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预算执行率（B/A×100%)</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年度资金总额：</w:t>
            </w:r>
          </w:p>
        </w:tc>
        <w:tc>
          <w:tcPr>
            <w:tcW w:w="1892"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80</w:t>
            </w:r>
          </w:p>
        </w:tc>
        <w:tc>
          <w:tcPr>
            <w:tcW w:w="3809"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62.50%</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其中：中央财政资金</w:t>
            </w:r>
          </w:p>
        </w:tc>
        <w:tc>
          <w:tcPr>
            <w:tcW w:w="1892"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80</w:t>
            </w:r>
          </w:p>
        </w:tc>
        <w:tc>
          <w:tcPr>
            <w:tcW w:w="3809"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62.50%</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地方资金</w:t>
            </w:r>
          </w:p>
        </w:tc>
        <w:tc>
          <w:tcPr>
            <w:tcW w:w="1892"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3809"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20"/>
                <w:szCs w:val="20"/>
              </w:rPr>
              <w:t xml:space="preserve">  其他资金</w:t>
            </w:r>
          </w:p>
        </w:tc>
        <w:tc>
          <w:tcPr>
            <w:tcW w:w="1892"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3809"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7"/>
        </w:trPr>
        <w:tc>
          <w:tcPr>
            <w:tcW w:w="268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资金管理情况</w:t>
            </w: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情况说明</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存在问题和改进措施</w:t>
            </w:r>
          </w:p>
        </w:tc>
      </w:tr>
      <w:tr>
        <w:trPr>
          <w:trHeight w:val="33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分配科学性</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严格按照规定分配资金，报区政府政府领导同意制定资金使用分配方案。</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下达及时性</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严格按照规定的时限要求及时下达。</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拨付合规性</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严格按照有关规定支付资金。</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使用规范性</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严格按照预算的项目执行，使用规范。</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执行准确性</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按照预算安排的金额执行，执行准确。</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预算绩效管理情况</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纳入绩效管理开展绩效监控和绩效评价。</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7"/>
        </w:trPr>
        <w:tc>
          <w:tcPr>
            <w:tcW w:w="2683" w:type="dxa"/>
            <w:gridSpan w:val="3"/>
            <w:vMerge/>
            <w:tcBorders>
              <w:top w:val="single" w:sz="4" w:space="0" w:color="auto"/>
              <w:left w:val="single" w:sz="4" w:space="0" w:color="auto"/>
              <w:bottom w:val="single" w:sz="4" w:space="0" w:color="000000"/>
              <w:right w:val="single" w:sz="4" w:space="0" w:color="000000"/>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支出责任履行情况</w:t>
            </w:r>
          </w:p>
        </w:tc>
        <w:tc>
          <w:tcPr>
            <w:tcW w:w="5701"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足额安排资金履行本级支出责任。</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7"/>
        </w:trPr>
        <w:tc>
          <w:tcPr>
            <w:tcW w:w="670"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总体目标完成情况</w:t>
            </w:r>
          </w:p>
        </w:tc>
        <w:tc>
          <w:tcPr>
            <w:tcW w:w="6804" w:type="dxa"/>
            <w:gridSpan w:val="7"/>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w:t>
            </w:r>
          </w:p>
        </w:tc>
        <w:tc>
          <w:tcPr>
            <w:tcW w:w="6566" w:type="dxa"/>
            <w:gridSpan w:val="5"/>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全年实际完成情况</w:t>
            </w:r>
          </w:p>
        </w:tc>
      </w:tr>
      <w:tr>
        <w:trPr>
          <w:trHeight w:val="491"/>
        </w:trPr>
        <w:tc>
          <w:tcPr>
            <w:tcW w:w="670" w:type="dxa"/>
            <w:vMerge/>
            <w:tcBorders>
              <w:top w:val="nil"/>
              <w:left w:val="single" w:sz="4" w:space="0" w:color="auto"/>
              <w:bottom w:val="single" w:sz="4" w:space="0" w:color="000000"/>
              <w:right w:val="single" w:sz="4" w:space="0" w:color="auto"/>
            </w:tcBorders>
            <w:vAlign w:val="center"/>
          </w:tcPr>
          <w:p/>
        </w:tc>
        <w:tc>
          <w:tcPr>
            <w:tcW w:w="6804" w:type="dxa"/>
            <w:gridSpan w:val="7"/>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采购防汛干旱物资及设备，提升抢险救援能力，确保人民群众生命财产安全。</w:t>
            </w:r>
          </w:p>
        </w:tc>
        <w:tc>
          <w:tcPr>
            <w:tcW w:w="6566"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r>
      <w:tr>
        <w:trPr>
          <w:trHeight w:val="668"/>
        </w:trPr>
        <w:tc>
          <w:tcPr>
            <w:tcW w:w="67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绩效指标</w:t>
            </w:r>
          </w:p>
        </w:tc>
        <w:tc>
          <w:tcPr>
            <w:tcW w:w="67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一级</w:t>
              <w:br/>
              <w:t>指标</w:t>
            </w:r>
          </w:p>
        </w:tc>
        <w:tc>
          <w:tcPr>
            <w:tcW w:w="134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二级指标</w:t>
            </w: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三级指标</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指标值</w:t>
            </w:r>
          </w:p>
        </w:tc>
        <w:tc>
          <w:tcPr>
            <w:tcW w:w="174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全年实际完成值</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未完成原因和改进措施</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产</w:t>
              <w:br/>
              <w:t>出</w:t>
              <w:br/>
              <w:t>指</w:t>
              <w:br/>
              <w:t>标</w:t>
            </w:r>
          </w:p>
        </w:tc>
        <w:tc>
          <w:tcPr>
            <w:tcW w:w="1343"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数量指标</w:t>
            </w: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1、出动抗旱队伍</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≥500（人次）</w:t>
            </w:r>
          </w:p>
        </w:tc>
        <w:tc>
          <w:tcPr>
            <w:tcW w:w="174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335（人次）</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tcBorders>
              <w:top w:val="nil"/>
              <w:left w:val="single" w:sz="4" w:space="0" w:color="auto"/>
              <w:bottom w:val="single" w:sz="4" w:space="0" w:color="auto"/>
              <w:right w:val="single" w:sz="4" w:space="0" w:color="auto"/>
            </w:tcBorders>
            <w:vAlign w:val="center"/>
          </w:tcPr>
          <w:p/>
        </w:tc>
        <w:tc>
          <w:tcPr>
            <w:tcW w:w="1343" w:type="dxa"/>
            <w:vMerge/>
            <w:tcBorders>
              <w:top w:val="nil"/>
              <w:left w:val="single" w:sz="4" w:space="0" w:color="auto"/>
              <w:bottom w:val="single" w:sz="4" w:space="0" w:color="000000"/>
              <w:right w:val="single" w:sz="4" w:space="0" w:color="auto"/>
            </w:tcBorders>
            <w:vAlign w:val="center"/>
          </w:tcP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2、投入抗旱设备</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≥200（套、件）</w:t>
            </w:r>
          </w:p>
        </w:tc>
        <w:tc>
          <w:tcPr>
            <w:tcW w:w="174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120（套、件）</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tcBorders>
              <w:top w:val="nil"/>
              <w:left w:val="single" w:sz="4" w:space="0" w:color="auto"/>
              <w:bottom w:val="single" w:sz="4" w:space="0" w:color="auto"/>
              <w:right w:val="single" w:sz="4" w:space="0" w:color="auto"/>
            </w:tcBorders>
            <w:vAlign w:val="center"/>
          </w:tcPr>
          <w:p/>
        </w:tc>
        <w:tc>
          <w:tcPr>
            <w:tcW w:w="1343" w:type="dxa"/>
            <w:vMerge/>
            <w:tcBorders>
              <w:top w:val="nil"/>
              <w:left w:val="single" w:sz="4" w:space="0" w:color="auto"/>
              <w:bottom w:val="single" w:sz="4" w:space="0" w:color="000000"/>
              <w:right w:val="single" w:sz="4" w:space="0" w:color="auto"/>
            </w:tcBorders>
            <w:vAlign w:val="center"/>
          </w:tcP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3、投入抗旱物资消耗</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≥600（套、件）</w:t>
            </w:r>
          </w:p>
        </w:tc>
        <w:tc>
          <w:tcPr>
            <w:tcW w:w="174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320（套、件）</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tcBorders>
              <w:top w:val="nil"/>
              <w:left w:val="single" w:sz="4" w:space="0" w:color="auto"/>
              <w:bottom w:val="single" w:sz="4" w:space="0" w:color="auto"/>
              <w:right w:val="single" w:sz="4" w:space="0" w:color="auto"/>
            </w:tcBorders>
            <w:vAlign w:val="center"/>
          </w:tcPr>
          <w:p/>
        </w:tc>
        <w:tc>
          <w:tcPr>
            <w:tcW w:w="1343" w:type="dxa"/>
            <w:vMerge/>
            <w:tcBorders>
              <w:top w:val="nil"/>
              <w:left w:val="single" w:sz="4" w:space="0" w:color="auto"/>
              <w:bottom w:val="single" w:sz="4" w:space="0" w:color="000000"/>
              <w:right w:val="single" w:sz="4" w:space="0" w:color="auto"/>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4、添置抗旱设备</w:t>
            </w:r>
          </w:p>
        </w:tc>
        <w:tc>
          <w:tcPr>
            <w:tcW w:w="1892"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≥50（套、件）</w:t>
            </w:r>
          </w:p>
        </w:tc>
        <w:tc>
          <w:tcPr>
            <w:tcW w:w="174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30（套、件）</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tcBorders>
              <w:top w:val="nil"/>
              <w:left w:val="single" w:sz="4" w:space="0" w:color="auto"/>
              <w:bottom w:val="single" w:sz="4" w:space="0" w:color="auto"/>
              <w:right w:val="single" w:sz="4" w:space="0" w:color="auto"/>
            </w:tcBorders>
            <w:vAlign w:val="center"/>
          </w:tcPr>
          <w:p/>
        </w:tc>
        <w:tc>
          <w:tcPr>
            <w:tcW w:w="1343" w:type="dxa"/>
            <w:vMerge/>
            <w:tcBorders>
              <w:top w:val="nil"/>
              <w:left w:val="single" w:sz="4" w:space="0" w:color="auto"/>
              <w:bottom w:val="single" w:sz="4" w:space="0" w:color="000000"/>
              <w:right w:val="single" w:sz="4" w:space="0" w:color="auto"/>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5、添置抗旱物资</w:t>
            </w:r>
          </w:p>
        </w:tc>
        <w:tc>
          <w:tcPr>
            <w:tcW w:w="1892"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≥500（套、件）</w:t>
            </w:r>
          </w:p>
        </w:tc>
        <w:tc>
          <w:tcPr>
            <w:tcW w:w="174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150（套、件）</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tcBorders>
              <w:top w:val="nil"/>
              <w:left w:val="single" w:sz="4" w:space="0" w:color="auto"/>
              <w:bottom w:val="single" w:sz="4" w:space="0" w:color="auto"/>
              <w:right w:val="single" w:sz="4" w:space="0" w:color="auto"/>
            </w:tcBorders>
            <w:vAlign w:val="center"/>
          </w:tcPr>
          <w:p/>
        </w:tc>
        <w:tc>
          <w:tcPr>
            <w:tcW w:w="1343" w:type="dxa"/>
            <w:vMerge/>
            <w:tcBorders>
              <w:top w:val="nil"/>
              <w:left w:val="single" w:sz="4" w:space="0" w:color="auto"/>
              <w:bottom w:val="single" w:sz="4" w:space="0" w:color="000000"/>
              <w:right w:val="single" w:sz="4" w:space="0" w:color="auto"/>
            </w:tcBorders>
            <w:vAlign w:val="center"/>
          </w:tcPr>
          <w:p/>
        </w:tc>
        <w:tc>
          <w:tcPr>
            <w:tcW w:w="2899" w:type="dxa"/>
            <w:gridSpan w:val="3"/>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6、因旱需救助人口</w:t>
            </w:r>
          </w:p>
        </w:tc>
        <w:tc>
          <w:tcPr>
            <w:tcW w:w="1892" w:type="dxa"/>
            <w:gridSpan w:val="2"/>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≥5000（人）</w:t>
            </w:r>
          </w:p>
        </w:tc>
        <w:tc>
          <w:tcPr>
            <w:tcW w:w="174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3037（人）</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tcBorders>
              <w:top w:val="nil"/>
              <w:left w:val="single" w:sz="4" w:space="0" w:color="auto"/>
              <w:bottom w:val="single" w:sz="4" w:space="0" w:color="auto"/>
              <w:right w:val="single" w:sz="4" w:space="0" w:color="auto"/>
            </w:tcBorders>
            <w:vAlign w:val="center"/>
          </w:tcPr>
          <w:p/>
        </w:tc>
        <w:tc>
          <w:tcPr>
            <w:tcW w:w="134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质量指标</w:t>
            </w: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1、添置设备验收通过率</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74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tcBorders>
              <w:top w:val="nil"/>
              <w:left w:val="single" w:sz="4" w:space="0" w:color="auto"/>
              <w:bottom w:val="single" w:sz="4" w:space="0" w:color="auto"/>
              <w:right w:val="single" w:sz="4" w:space="0" w:color="auto"/>
            </w:tcBorders>
            <w:vAlign w:val="center"/>
          </w:tcPr>
          <w:p/>
        </w:tc>
        <w:tc>
          <w:tcPr>
            <w:tcW w:w="1343" w:type="dxa"/>
            <w:vMerge/>
            <w:tcBorders>
              <w:top w:val="nil"/>
              <w:left w:val="single" w:sz="4" w:space="0" w:color="auto"/>
              <w:bottom w:val="single" w:sz="4" w:space="0" w:color="auto"/>
              <w:right w:val="single" w:sz="4" w:space="0" w:color="auto"/>
            </w:tcBorders>
            <w:vAlign w:val="center"/>
          </w:tcP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2、添置物资验收通过率</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74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tcBorders>
              <w:top w:val="nil"/>
              <w:left w:val="single" w:sz="4" w:space="0" w:color="auto"/>
              <w:bottom w:val="single" w:sz="4" w:space="0" w:color="auto"/>
              <w:right w:val="single" w:sz="4" w:space="0" w:color="auto"/>
            </w:tcBorders>
            <w:vAlign w:val="center"/>
          </w:tcPr>
          <w:p/>
        </w:tc>
        <w:tc>
          <w:tcPr>
            <w:tcW w:w="1343"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时效指标</w:t>
            </w: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1、30天内资金下达率</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74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71"/>
        </w:trPr>
        <w:tc>
          <w:tcPr>
            <w:tcW w:w="670" w:type="dxa"/>
            <w:vMerge/>
            <w:tcBorders>
              <w:top w:val="nil"/>
              <w:left w:val="single" w:sz="4" w:space="0" w:color="auto"/>
              <w:bottom w:val="single" w:sz="4" w:space="0" w:color="auto"/>
              <w:right w:val="single" w:sz="4" w:space="0" w:color="auto"/>
            </w:tcBorders>
            <w:vAlign w:val="center"/>
          </w:tcPr>
          <w:p/>
        </w:tc>
        <w:tc>
          <w:tcPr>
            <w:tcW w:w="670" w:type="dxa"/>
            <w:vMerge/>
            <w:tcBorders>
              <w:top w:val="nil"/>
              <w:left w:val="single" w:sz="4" w:space="0" w:color="auto"/>
              <w:bottom w:val="single" w:sz="4" w:space="0" w:color="auto"/>
              <w:right w:val="single" w:sz="4" w:space="0" w:color="auto"/>
            </w:tcBorders>
            <w:vAlign w:val="center"/>
          </w:tcPr>
          <w:p/>
        </w:tc>
        <w:tc>
          <w:tcPr>
            <w:tcW w:w="1343" w:type="dxa"/>
            <w:vMerge/>
            <w:tcBorders>
              <w:top w:val="nil"/>
              <w:left w:val="single" w:sz="4" w:space="0" w:color="auto"/>
              <w:bottom w:val="single" w:sz="4" w:space="0" w:color="auto"/>
              <w:right w:val="single" w:sz="4" w:space="0" w:color="auto"/>
            </w:tcBorders>
            <w:vAlign w:val="center"/>
          </w:tcP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2、添置设备物资完成时限</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2023年4月底</w:t>
            </w:r>
          </w:p>
        </w:tc>
        <w:tc>
          <w:tcPr>
            <w:tcW w:w="1749" w:type="dxa"/>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20"/>
                <w:szCs w:val="20"/>
              </w:rPr>
            </w:pPr>
            <w:r>
              <w:rPr>
                <w:rFonts w:ascii="宋体" w:cs="宋体" w:hAnsi="宋体" w:hint="eastAsia"/>
                <w:color w:val="000000"/>
                <w:kern w:val="0"/>
                <w:sz w:val="20"/>
                <w:szCs w:val="20"/>
              </w:rPr>
              <w:t>100.00%</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337"/>
        </w:trPr>
        <w:tc>
          <w:tcPr>
            <w:tcW w:w="670" w:type="dxa"/>
            <w:vMerge/>
            <w:tcBorders>
              <w:top w:val="nil"/>
              <w:left w:val="single" w:sz="4" w:space="0" w:color="auto"/>
              <w:bottom w:val="single" w:sz="4" w:space="0" w:color="auto"/>
              <w:right w:val="single" w:sz="4" w:space="0" w:color="auto"/>
            </w:tcBorders>
            <w:vAlign w:val="center"/>
          </w:tcPr>
          <w:p/>
        </w:tc>
        <w:tc>
          <w:tcPr>
            <w:tcW w:w="67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　</w:t>
            </w:r>
          </w:p>
        </w:tc>
        <w:tc>
          <w:tcPr>
            <w:tcW w:w="134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社会效益</w:t>
              <w:br/>
              <w:t>指标</w:t>
            </w: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灾区社会秩序</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稳定有序</w:t>
            </w:r>
          </w:p>
        </w:tc>
        <w:tc>
          <w:tcPr>
            <w:tcW w:w="174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良好</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833"/>
        </w:trPr>
        <w:tc>
          <w:tcPr>
            <w:tcW w:w="670" w:type="dxa"/>
            <w:vMerge/>
            <w:tcBorders>
              <w:top w:val="nil"/>
              <w:left w:val="single" w:sz="4" w:space="0" w:color="auto"/>
              <w:bottom w:val="single" w:sz="4" w:space="0" w:color="auto"/>
              <w:right w:val="single" w:sz="4" w:space="0" w:color="auto"/>
            </w:tcBorders>
            <w:vAlign w:val="center"/>
          </w:tcPr>
          <w:p/>
        </w:tc>
        <w:tc>
          <w:tcPr>
            <w:tcW w:w="67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满意度指标</w:t>
            </w:r>
          </w:p>
        </w:tc>
        <w:tc>
          <w:tcPr>
            <w:tcW w:w="1343"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服务对象</w:t>
              <w:br/>
              <w:t>满意度指标</w:t>
            </w:r>
          </w:p>
        </w:tc>
        <w:tc>
          <w:tcPr>
            <w:tcW w:w="4791" w:type="dxa"/>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受灾群众投诉度</w:t>
            </w:r>
          </w:p>
        </w:tc>
        <w:tc>
          <w:tcPr>
            <w:tcW w:w="2060" w:type="dxa"/>
            <w:gridSpan w:val="2"/>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20"/>
                <w:szCs w:val="20"/>
              </w:rPr>
            </w:pPr>
            <w:r>
              <w:rPr>
                <w:rFonts w:ascii="宋体" w:cs="宋体" w:hAnsi="宋体" w:hint="eastAsia"/>
                <w:color w:val="000000"/>
                <w:kern w:val="0"/>
                <w:sz w:val="20"/>
                <w:szCs w:val="20"/>
              </w:rPr>
              <w:t>5%</w:t>
            </w:r>
          </w:p>
        </w:tc>
        <w:tc>
          <w:tcPr>
            <w:tcW w:w="1749" w:type="dxa"/>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20"/>
                <w:szCs w:val="20"/>
              </w:rPr>
            </w:pPr>
            <w:r>
              <w:rPr>
                <w:rFonts w:ascii="宋体" w:cs="宋体" w:hAnsi="宋体" w:hint="eastAsia"/>
                <w:color w:val="000000"/>
                <w:kern w:val="0"/>
                <w:sz w:val="20"/>
                <w:szCs w:val="20"/>
              </w:rPr>
              <w:t>1%</w:t>
            </w:r>
          </w:p>
        </w:tc>
        <w:tc>
          <w:tcPr>
            <w:tcW w:w="2757" w:type="dxa"/>
            <w:gridSpan w:val="2"/>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337"/>
        </w:trPr>
        <w:tc>
          <w:tcPr>
            <w:tcW w:w="67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说明</w:t>
            </w:r>
          </w:p>
        </w:tc>
        <w:tc>
          <w:tcPr>
            <w:tcW w:w="13370" w:type="dxa"/>
            <w:gridSpan w:val="12"/>
            <w:tcBorders>
              <w:top w:val="single" w:sz="4" w:space="0" w:color="auto"/>
              <w:left w:val="nil"/>
              <w:bottom w:val="single" w:sz="4" w:space="0" w:color="auto"/>
              <w:right w:val="single" w:sz="4" w:space="0" w:color="000000"/>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请在此处简要说明中央巡视、各级审计和财政监督中发现的问题及其所涉及的金额，如没有请填无。</w:t>
            </w:r>
          </w:p>
        </w:tc>
      </w:tr>
      <w:tr>
        <w:trPr>
          <w:trHeight w:val="171"/>
        </w:trPr>
        <w:tc>
          <w:tcPr>
            <w:tcW w:w="14040" w:type="dxa"/>
            <w:gridSpan w:val="13"/>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注：1.资金使用单位按项目绩效目标填报，主管部门汇总时按区域绩效目标填报。</w:t>
            </w:r>
          </w:p>
        </w:tc>
      </w:tr>
      <w:tr>
        <w:trPr>
          <w:trHeight w:val="277"/>
        </w:trPr>
        <w:tc>
          <w:tcPr>
            <w:tcW w:w="14040" w:type="dxa"/>
            <w:gridSpan w:val="13"/>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2.其他资金包括与中央财政资金、地方财政资金共同投入到同一项目的自有资金、社会资金，以及以前年度的结转结余资金等。</w:t>
            </w:r>
          </w:p>
        </w:tc>
      </w:tr>
      <w:tr>
        <w:trPr>
          <w:trHeight w:val="182"/>
        </w:trPr>
        <w:tc>
          <w:tcPr>
            <w:tcW w:w="14040" w:type="dxa"/>
            <w:gridSpan w:val="13"/>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3.全年执行数是指按照国库集中支付制度要求所形成的实际支出。</w:t>
            </w:r>
          </w:p>
        </w:tc>
      </w:tr>
    </w:tbl>
    <w:p>
      <w:pPr>
        <w:pStyle w:val="15"/>
        <w:spacing w:beforeLines="0" w:before="93"/>
        <w:rPr>
          <w:color w:val="C00000"/>
        </w:rPr>
      </w:pPr>
    </w:p>
    <w:p>
      <w:pPr>
        <w:pStyle w:val="15"/>
        <w:spacing w:beforeLines="0" w:before="93"/>
        <w:rPr>
          <w:color w:val="C00000"/>
        </w:rPr>
      </w:pPr>
    </w:p>
    <w:p>
      <w:pPr>
        <w:pStyle w:val="15"/>
        <w:spacing w:beforeLines="0" w:before="93"/>
        <w:rPr>
          <w:color w:val="C00000"/>
        </w:rPr>
      </w:pPr>
    </w:p>
    <w:p>
      <w:pPr>
        <w:pStyle w:val="15"/>
        <w:spacing w:beforeLines="0" w:before="93"/>
      </w:pPr>
    </w:p>
    <w:p>
      <w:pPr>
        <w:pStyle w:val="15"/>
        <w:spacing w:beforeLines="0" w:before="93"/>
        <w:sectPr>
          <w:pgSz w:w="16838" w:h="11906" w:orient="landscape"/>
          <w:pgMar w:top="1587" w:right="2098" w:bottom="1474" w:left="1984" w:header="851" w:footer="992" w:gutter="0"/>
          <w:cols w:num="1" w:space="0"/>
          <w:titlePg/>
          <w:docGrid w:type="lines" w:linePitch="312" w:charSpace="0"/>
        </w:sectPr>
      </w:pPr>
    </w:p>
    <w:p>
      <w:pPr>
        <w:pStyle w:val="38"/>
        <w:spacing w:line="578" w:lineRule="exact"/>
        <w:jc w:val="center"/>
        <w:rPr>
          <w:rFonts w:ascii="方正小标宋简体" w:eastAsia="方正小标宋简体" w:cs="方正小标宋简体" w:hAnsi="方正小标宋简体"/>
          <w:color w:val="auto"/>
          <w:kern w:val="2"/>
          <w:sz w:val="44"/>
          <w:szCs w:val="44"/>
          <w:lang w:val="en-US"/>
        </w:rPr>
      </w:pPr>
      <w:r>
        <w:rPr>
          <w:rFonts w:ascii="方正小标宋简体" w:eastAsia="方正小标宋简体" w:cs="方正小标宋简体" w:hAnsi="方正小标宋简体" w:hint="eastAsia"/>
          <w:color w:val="auto"/>
          <w:kern w:val="2"/>
          <w:sz w:val="44"/>
          <w:szCs w:val="44"/>
          <w:lang w:val="en-US"/>
        </w:rPr>
        <w:t>广元市利州区应急管理局</w:t>
      </w:r>
    </w:p>
    <w:p>
      <w:pPr>
        <w:pStyle w:val="38"/>
        <w:spacing w:line="578" w:lineRule="exact"/>
        <w:jc w:val="center"/>
        <w:rPr>
          <w:rFonts w:ascii="方正小标宋简体" w:eastAsia="方正小标宋简体" w:cs="方正小标宋简体" w:hAnsi="方正小标宋简体"/>
          <w:color w:val="auto"/>
          <w:kern w:val="2"/>
          <w:sz w:val="44"/>
          <w:szCs w:val="44"/>
          <w:lang w:val="en-US"/>
        </w:rPr>
      </w:pPr>
      <w:r>
        <w:rPr>
          <w:rFonts w:ascii="方正小标宋简体" w:eastAsia="方正小标宋简体" w:cs="方正小标宋简体" w:hAnsi="方正小标宋简体" w:hint="eastAsia"/>
          <w:color w:val="auto"/>
          <w:kern w:val="2"/>
          <w:sz w:val="44"/>
          <w:szCs w:val="44"/>
          <w:lang w:val="en-US"/>
        </w:rPr>
        <w:t>关于2022年区级专项资金（洪涝灾害）预算项目支出绩效自评报告</w:t>
      </w:r>
    </w:p>
    <w:p>
      <w:pPr>
        <w:pStyle w:val="38"/>
        <w:spacing w:line="578" w:lineRule="exact"/>
        <w:ind w:firstLine="640"/>
        <w:jc w:val="center"/>
        <w:rPr>
          <w:rFonts w:ascii="宋体" w:hAnsi="宋体"/>
          <w:color w:val="auto"/>
          <w:kern w:val="2"/>
          <w:sz w:val="32"/>
          <w:szCs w:val="32"/>
        </w:rPr>
      </w:pPr>
    </w:p>
    <w:p>
      <w:pPr>
        <w:adjustRightInd w:val="0"/>
        <w:snapToGrid w:val="0"/>
        <w:spacing w:line="520" w:lineRule="exact"/>
        <w:ind w:firstLineChars="200" w:firstLine="64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520" w:lineRule="exact"/>
        <w:ind w:firstLineChars="200" w:firstLine="640"/>
        <w:rPr>
          <w:rFonts w:ascii="楷体_GB2312" w:eastAsia="楷体_GB2312" w:hAnsi="宋体"/>
          <w:sz w:val="32"/>
          <w:szCs w:val="32"/>
          <w:lang w:val="zh-CN"/>
        </w:rPr>
      </w:pPr>
      <w:r>
        <w:rPr>
          <w:rFonts w:ascii="楷体_GB2312" w:eastAsia="楷体_GB2312" w:hAnsi="宋体" w:hint="eastAsia"/>
          <w:sz w:val="32"/>
          <w:szCs w:val="32"/>
          <w:lang w:val="zh-CN"/>
        </w:rPr>
        <w:t>（一）项目基本情况。</w:t>
      </w:r>
    </w:p>
    <w:p>
      <w:pPr>
        <w:spacing w:line="520" w:lineRule="exact"/>
        <w:ind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根据广元市利州区财政局《关于下达上级财政专项补助资金的通知》（广利财建下〔2022〕20号）、（广利财建下〔2023〕5号）文件精神，分别下达了应急抢险资金10万元；洪涝灾害资金40万元；两批批共50万元。</w:t>
      </w:r>
    </w:p>
    <w:p>
      <w:pPr>
        <w:adjustRightInd w:val="0"/>
        <w:snapToGrid w:val="0"/>
        <w:spacing w:line="520" w:lineRule="exact"/>
        <w:ind w:firstLineChars="200" w:firstLine="640"/>
        <w:rPr>
          <w:rFonts w:ascii="楷体_GB2312" w:eastAsia="楷体_GB2312" w:hAnsi="宋体"/>
          <w:sz w:val="32"/>
          <w:szCs w:val="32"/>
          <w:lang w:val="zh-CN"/>
        </w:rPr>
      </w:pPr>
      <w:r>
        <w:rPr>
          <w:rFonts w:ascii="楷体_GB2312" w:eastAsia="楷体_GB2312" w:hAnsi="宋体" w:hint="eastAsia"/>
          <w:sz w:val="32"/>
          <w:szCs w:val="32"/>
          <w:lang w:val="zh-CN"/>
        </w:rPr>
        <w:t>（二）项目绩效目标。</w:t>
      </w:r>
    </w:p>
    <w:p>
      <w:pPr>
        <w:spacing w:line="520" w:lineRule="exact"/>
        <w:ind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资金下达后，我们严格按照《四川省自然灾害救灾资金管理暂行办法的通知》要求，经局党委会议研究报区政府领导同意，印发《关于2022年度中央自然灾害救灾资金（洪涝灾害）分配方案的请示》（广利应急〔2022〕97号）文件进行分配使用。总体目标是采购抢险应急、防汛抗旱物资及设备，全面提升防汛抗旱水平和抢险救援能力，确保人民群众生命财产安全；确保防汛物资设备安全存储、及时维修、为旱涝灾害地区提供经费支持和物资设备保障。</w:t>
      </w:r>
    </w:p>
    <w:p>
      <w:pPr>
        <w:adjustRightInd w:val="0"/>
        <w:snapToGrid w:val="0"/>
        <w:spacing w:line="520" w:lineRule="exact"/>
        <w:ind w:firstLineChars="200" w:firstLine="640"/>
        <w:rPr>
          <w:rFonts w:ascii="黑体" w:eastAsia="黑体" w:hAnsi="宋体"/>
          <w:sz w:val="32"/>
          <w:szCs w:val="32"/>
        </w:rPr>
      </w:pPr>
      <w:r>
        <w:rPr>
          <w:rFonts w:ascii="黑体" w:eastAsia="黑体" w:hAnsi="宋体" w:hint="eastAsia"/>
          <w:sz w:val="32"/>
          <w:szCs w:val="32"/>
        </w:rPr>
        <w:t>二、项目资金申报及使用情况</w:t>
      </w:r>
    </w:p>
    <w:p>
      <w:pPr>
        <w:spacing w:line="520" w:lineRule="exact"/>
        <w:ind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相关文件要求，结合受灾实际情况，2022年9月下达的10万元应急抢险资金，已按照分配方案4万元用于购置隐患排查的车辆燃油、6万元用于抗洪抢险的物资采购；目前对2023年上级下达的洪涝灾害40万，资金正在抓紧制定分配方案报区政府领导同意后尽快实施。截至绩效报告日我局对上级累计下达的中央自然灾害救灾资金（洪涝灾害）50万的使用情况是：1、2022年9月下达的10万元应急抢险资金已使用10万元，执行率100%；2、2023年3月下达的40万元救灾资金目前正在实施当中，综合上级下达的2022年全部自然灾害救灾资金（洪涝灾害）50万的使用情况，总的执行率为20%。</w:t>
      </w:r>
    </w:p>
    <w:p>
      <w:pPr>
        <w:spacing w:line="520" w:lineRule="exact"/>
        <w:ind w:firstLine="640"/>
        <w:rPr>
          <w:rFonts w:ascii="方正仿宋简体" w:eastAsia="方正黑体简体" w:cs="方正仿宋简体" w:hAnsi="方正仿宋简体"/>
          <w:sz w:val="32"/>
          <w:szCs w:val="32"/>
        </w:rPr>
      </w:pPr>
      <w:r>
        <w:rPr>
          <w:rFonts w:ascii="方正黑体简体" w:eastAsia="方正黑体简体" w:cs="方正黑体简体" w:hAnsi="方正黑体简体" w:hint="eastAsia"/>
          <w:sz w:val="32"/>
          <w:szCs w:val="32"/>
        </w:rPr>
        <w:t>三、项目实施及管理情况</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为加强自然灾害救灾资金的管理，区应急管理局在收到资金预算后，根据四川省应急管理厅《四川省自然灾害救灾资金管理办法》要求，严格按照自然灾害救灾资金的使用用途，结合各乡镇（街道）的受灾报告、投入情况等因素进行分配，及时制定救灾资金使用分配方案，并与区财政局会商经区政府领导同意后下达资金至各乡镇（街道）和按规定采购物资。</w:t>
      </w:r>
    </w:p>
    <w:p>
      <w:pPr>
        <w:adjustRightInd w:val="0"/>
        <w:snapToGrid w:val="0"/>
        <w:spacing w:line="520" w:lineRule="exact"/>
        <w:ind w:firstLineChars="200" w:firstLine="64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我局按照有关规定和要求，总体绩效目标均已按时完成，所有项目的日常管理工作均按照相关管理制度执行，建立了工作有计划、实施有方案、日常有监督的管理机制，工作取得了较好的成效，效能得到了提高、获得了社会公众的好评。</w:t>
      </w:r>
    </w:p>
    <w:p>
      <w:pPr>
        <w:adjustRightInd w:val="0"/>
        <w:snapToGrid w:val="0"/>
        <w:spacing w:line="520" w:lineRule="exact"/>
        <w:ind w:firstLineChars="200" w:firstLine="640"/>
        <w:rPr>
          <w:rFonts w:ascii="黑体" w:eastAsia="黑体" w:hAnsi="宋体"/>
          <w:sz w:val="32"/>
          <w:szCs w:val="32"/>
        </w:rPr>
      </w:pPr>
      <w:r>
        <w:rPr>
          <w:rFonts w:ascii="黑体" w:eastAsia="黑体" w:hAnsi="宋体" w:hint="eastAsia"/>
          <w:sz w:val="32"/>
          <w:szCs w:val="32"/>
        </w:rPr>
        <w:t>五、评价结论及建议</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按照2022年度中央对地方转移支付预算执行情况绩效通知及相关要求，结合实施绩效考评数据及考评情况，绩效评价自评分为99分。</w:t>
      </w:r>
    </w:p>
    <w:p>
      <w:pPr>
        <w:spacing w:line="520" w:lineRule="exact"/>
        <w:ind w:firstLineChars="1150" w:firstLine="368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广元市利州区应急管理局</w:t>
      </w:r>
    </w:p>
    <w:p>
      <w:pPr>
        <w:spacing w:line="520" w:lineRule="exact"/>
        <w:ind w:firstLine="645"/>
        <w:jc w:val="center"/>
        <w:rPr>
          <w:rFonts w:ascii="方正仿宋简体" w:eastAsia="方正仿宋简体" w:cs="方正仿宋简体" w:hAnsi="方正仿宋简体"/>
          <w:sz w:val="32"/>
          <w:szCs w:val="32"/>
        </w:rPr>
        <w:sectPr>
          <w:pgSz w:w="11906" w:h="16838"/>
          <w:pgMar w:top="2098" w:right="1474" w:bottom="1984" w:left="1587" w:header="851" w:footer="992" w:gutter="0"/>
          <w:cols w:num="1" w:space="0"/>
          <w:titlePg/>
          <w:docGrid w:type="lines" w:linePitch="312" w:charSpace="0"/>
        </w:sectPr>
      </w:pPr>
      <w:r>
        <w:rPr>
          <w:rFonts w:ascii="方正仿宋简体" w:eastAsia="方正仿宋简体" w:cs="方正仿宋简体" w:hAnsi="方正仿宋简体" w:hint="eastAsia"/>
          <w:sz w:val="32"/>
          <w:szCs w:val="32"/>
        </w:rPr>
        <w:t xml:space="preserve">       2</w:t>
      </w:r>
      <w:r>
        <w:rPr>
          <w:rFonts w:ascii="方正仿宋简体" w:eastAsia="方正仿宋简体" w:cs="方正仿宋简体" w:hAnsi="方正仿宋简体"/>
          <w:sz w:val="32"/>
          <w:szCs w:val="32"/>
        </w:rPr>
        <w:t>02</w:t>
      </w:r>
      <w:r>
        <w:rPr>
          <w:rFonts w:ascii="方正仿宋简体" w:eastAsia="方正仿宋简体" w:cs="方正仿宋简体" w:hAnsi="方正仿宋简体" w:hint="eastAsia"/>
          <w:sz w:val="32"/>
          <w:szCs w:val="32"/>
        </w:rPr>
        <w:t>3年4月4号</w:t>
      </w:r>
    </w:p>
    <w:tbl>
      <w:tblPr>
        <w:tblpPr w:leftFromText="180" w:rightFromText="180" w:vertAnchor="text" w:horzAnchor="page" w:tblpXSpec="center" w:tblpY="136"/>
        <w:tblOverlap w:val="never"/>
        <w:tblW w:w="1404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80"/>
        <w:gridCol w:w="680"/>
        <w:gridCol w:w="1360"/>
        <w:gridCol w:w="2939"/>
        <w:gridCol w:w="1919"/>
        <w:gridCol w:w="2088"/>
        <w:gridCol w:w="1579"/>
        <w:gridCol w:w="2795"/>
      </w:tblGrid>
      <w:tr>
        <w:trPr>
          <w:trHeight w:val="253"/>
        </w:trPr>
        <w:tc>
          <w:tcPr>
            <w:tcW w:w="14040" w:type="dxa"/>
            <w:gridSpan w:val="8"/>
            <w:tcBorders>
              <w:top w:val="nil"/>
              <w:left w:val="nil"/>
              <w:bottom w:val="nil"/>
              <w:right w:val="nil"/>
            </w:tcBorders>
            <w:shd w:val="clear" w:color="auto" w:fill="auto"/>
            <w:vAlign w:val="center"/>
          </w:tcPr>
          <w:p>
            <w:pPr>
              <w:widowControl/>
              <w:rPr>
                <w:rFonts w:ascii="方正小标宋简体" w:eastAsia="方正小标宋简体" w:cs="宋体" w:hAnsi="方正小标宋简体"/>
                <w:color w:val="000000"/>
                <w:kern w:val="0"/>
                <w:sz w:val="32"/>
                <w:szCs w:val="32"/>
              </w:rPr>
            </w:pPr>
            <w:r>
              <w:rPr>
                <w:rFonts w:ascii="方正小标宋简体" w:eastAsia="方正小标宋简体" w:cs="宋体" w:hAnsi="方正小标宋简体" w:hint="eastAsia"/>
                <w:color w:val="000000"/>
                <w:kern w:val="0"/>
                <w:sz w:val="32"/>
                <w:szCs w:val="32"/>
              </w:rPr>
              <w:t>利州区2022年度中央自然灾害救灾资金（洪涝灾害）绩效目标自评表</w:t>
            </w:r>
          </w:p>
        </w:tc>
      </w:tr>
      <w:tr>
        <w:trPr>
          <w:trHeight w:val="130"/>
        </w:trPr>
        <w:tc>
          <w:tcPr>
            <w:tcW w:w="14040" w:type="dxa"/>
            <w:gridSpan w:val="8"/>
            <w:tcBorders>
              <w:top w:val="nil"/>
              <w:left w:val="nil"/>
              <w:bottom w:val="single" w:sz="4" w:space="0" w:color="auto"/>
              <w:right w:val="nil"/>
            </w:tcBorders>
            <w:shd w:val="clear" w:color="auto" w:fill="auto"/>
          </w:tcPr>
          <w:p>
            <w:pPr>
              <w:widowControl/>
              <w:jc w:val="center"/>
              <w:rPr>
                <w:rFonts w:ascii="仿宋_GB2312" w:eastAsia="仿宋_GB2312" w:cs="宋体" w:hAnsi="宋体"/>
                <w:color w:val="000000"/>
                <w:kern w:val="0"/>
                <w:sz w:val="22"/>
                <w:szCs w:val="22"/>
              </w:rPr>
            </w:pPr>
            <w:r>
              <w:rPr>
                <w:rFonts w:ascii="仿宋_GB2312" w:eastAsia="仿宋_GB2312" w:cs="宋体" w:hAnsi="宋体" w:hint="eastAsia"/>
                <w:color w:val="000000"/>
                <w:kern w:val="0"/>
                <w:sz w:val="22"/>
                <w:szCs w:val="22"/>
              </w:rPr>
              <w:t>（2022年度）</w:t>
            </w:r>
          </w:p>
        </w:tc>
      </w:tr>
      <w:tr>
        <w:trPr>
          <w:trHeight w:val="228"/>
        </w:trPr>
        <w:tc>
          <w:tcPr>
            <w:tcW w:w="2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转移支付（项目）名称</w:t>
            </w:r>
          </w:p>
        </w:tc>
        <w:tc>
          <w:tcPr>
            <w:tcW w:w="11320" w:type="dxa"/>
            <w:gridSpan w:val="5"/>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中央自然灾害救灾资金（洪涝灾害)</w:t>
            </w:r>
          </w:p>
        </w:tc>
      </w:tr>
      <w:tr>
        <w:trPr>
          <w:trHeight w:val="135"/>
        </w:trPr>
        <w:tc>
          <w:tcPr>
            <w:tcW w:w="2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中央主管部门</w:t>
            </w:r>
          </w:p>
        </w:tc>
        <w:tc>
          <w:tcPr>
            <w:tcW w:w="11320" w:type="dxa"/>
            <w:gridSpan w:val="5"/>
            <w:tcBorders>
              <w:top w:val="single" w:sz="4" w:space="0" w:color="auto"/>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应急管理部</w:t>
            </w:r>
          </w:p>
        </w:tc>
      </w:tr>
      <w:tr>
        <w:trPr>
          <w:trHeight w:val="135"/>
        </w:trPr>
        <w:tc>
          <w:tcPr>
            <w:tcW w:w="2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地方主管部门</w:t>
            </w: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资金使用单位</w:t>
            </w:r>
          </w:p>
        </w:tc>
        <w:tc>
          <w:tcPr>
            <w:tcW w:w="4374"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7"/>
        </w:trPr>
        <w:tc>
          <w:tcPr>
            <w:tcW w:w="27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资金投入情况</w:t>
              <w:br/>
              <w:t>（万元）</w:t>
            </w: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191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全年预算数（A）</w:t>
            </w:r>
          </w:p>
        </w:tc>
        <w:tc>
          <w:tcPr>
            <w:tcW w:w="3667"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全年执行数（B）</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预算执行率（B/A×100%)</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年度资金总额：</w:t>
            </w:r>
          </w:p>
        </w:tc>
        <w:tc>
          <w:tcPr>
            <w:tcW w:w="191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w:t>
            </w:r>
          </w:p>
        </w:tc>
        <w:tc>
          <w:tcPr>
            <w:tcW w:w="3667"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w:t>
            </w:r>
          </w:p>
        </w:tc>
        <w:tc>
          <w:tcPr>
            <w:tcW w:w="2795"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20.00%</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其中：中央财政资金</w:t>
            </w:r>
          </w:p>
        </w:tc>
        <w:tc>
          <w:tcPr>
            <w:tcW w:w="191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w:t>
            </w:r>
          </w:p>
        </w:tc>
        <w:tc>
          <w:tcPr>
            <w:tcW w:w="3667"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w:t>
            </w:r>
          </w:p>
        </w:tc>
        <w:tc>
          <w:tcPr>
            <w:tcW w:w="2795"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20.00%</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地方资金</w:t>
            </w:r>
          </w:p>
        </w:tc>
        <w:tc>
          <w:tcPr>
            <w:tcW w:w="191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3667"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2795"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20"/>
                <w:szCs w:val="20"/>
              </w:rPr>
              <w:t xml:space="preserve">  其他资金</w:t>
            </w:r>
          </w:p>
        </w:tc>
        <w:tc>
          <w:tcPr>
            <w:tcW w:w="191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3667"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c>
          <w:tcPr>
            <w:tcW w:w="2795"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5"/>
        </w:trPr>
        <w:tc>
          <w:tcPr>
            <w:tcW w:w="272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资金管理情况</w:t>
            </w: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情况说明</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存在问题和改进措施</w:t>
            </w:r>
          </w:p>
        </w:tc>
      </w:tr>
      <w:tr>
        <w:trPr>
          <w:trHeight w:val="257"/>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分配科学性</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严格按照规定分配资金，报区政府政府领导同意制定资金使用分配方案。</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下达及时性</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严格按照规定的时限要求及时下达。</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拨付合规性</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严格按照有关规定支付资金。</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使用规范性</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严格按照预算的项目执行，使用规范。</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执行准确性</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按照预算安排的金额执行，执行准确。</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预算绩效管理情况</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纳入绩效管理开展绩效监控和绩效评价。</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5"/>
        </w:trPr>
        <w:tc>
          <w:tcPr>
            <w:tcW w:w="2720" w:type="dxa"/>
            <w:gridSpan w:val="3"/>
            <w:vMerge/>
            <w:tcBorders>
              <w:top w:val="single" w:sz="4" w:space="0" w:color="auto"/>
              <w:left w:val="single" w:sz="4" w:space="0" w:color="auto"/>
              <w:bottom w:val="single" w:sz="4" w:space="0" w:color="000000"/>
              <w:right w:val="single" w:sz="4" w:space="0" w:color="000000"/>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支出责任履行情况</w:t>
            </w:r>
          </w:p>
        </w:tc>
        <w:tc>
          <w:tcPr>
            <w:tcW w:w="5586"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足额安排资金履行本级支出责任。</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5"/>
        </w:trPr>
        <w:tc>
          <w:tcPr>
            <w:tcW w:w="680"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总体目标完成情况</w:t>
            </w:r>
          </w:p>
        </w:tc>
        <w:tc>
          <w:tcPr>
            <w:tcW w:w="6898" w:type="dxa"/>
            <w:gridSpan w:val="4"/>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总体目标</w:t>
            </w:r>
          </w:p>
        </w:tc>
        <w:tc>
          <w:tcPr>
            <w:tcW w:w="6462" w:type="dxa"/>
            <w:gridSpan w:val="3"/>
            <w:tcBorders>
              <w:top w:val="nil"/>
              <w:left w:val="nil"/>
              <w:bottom w:val="single" w:sz="4" w:space="0" w:color="auto"/>
              <w:right w:val="single" w:sz="4" w:space="0" w:color="000000"/>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全年实际完成情况</w:t>
            </w:r>
          </w:p>
        </w:tc>
      </w:tr>
      <w:tr>
        <w:trPr>
          <w:trHeight w:val="502"/>
        </w:trPr>
        <w:tc>
          <w:tcPr>
            <w:tcW w:w="680" w:type="dxa"/>
            <w:vMerge/>
            <w:tcBorders>
              <w:top w:val="nil"/>
              <w:left w:val="single" w:sz="4" w:space="0" w:color="auto"/>
              <w:bottom w:val="single" w:sz="4" w:space="0" w:color="000000"/>
              <w:right w:val="single" w:sz="4" w:space="0" w:color="auto"/>
            </w:tcBorders>
            <w:vAlign w:val="center"/>
          </w:tcPr>
          <w:p/>
        </w:tc>
        <w:tc>
          <w:tcPr>
            <w:tcW w:w="6898" w:type="dxa"/>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采购防汛干旱物资及设备，提升抢险救援能力，确保人民群众生命财产安全。</w:t>
            </w:r>
          </w:p>
        </w:tc>
        <w:tc>
          <w:tcPr>
            <w:tcW w:w="6462" w:type="dxa"/>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r>
      <w:tr>
        <w:trPr>
          <w:trHeight w:val="510"/>
        </w:trPr>
        <w:tc>
          <w:tcPr>
            <w:tcW w:w="68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绩效指标</w:t>
            </w:r>
          </w:p>
        </w:tc>
        <w:tc>
          <w:tcPr>
            <w:tcW w:w="6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一级</w:t>
              <w:br/>
              <w:t>指标</w:t>
            </w:r>
          </w:p>
        </w:tc>
        <w:tc>
          <w:tcPr>
            <w:tcW w:w="13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二级指标</w:t>
            </w: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三级指标</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指标值</w:t>
            </w:r>
          </w:p>
        </w:tc>
        <w:tc>
          <w:tcPr>
            <w:tcW w:w="15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全年实际完成值</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未完成原因和改进措施</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产</w:t>
              <w:br/>
              <w:t>出</w:t>
              <w:br/>
              <w:t>指</w:t>
              <w:br/>
              <w:t>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数量指标</w:t>
            </w: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1、出动抢险救援力量</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≥150（人次）</w:t>
            </w:r>
          </w:p>
        </w:tc>
        <w:tc>
          <w:tcPr>
            <w:tcW w:w="157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60（人次）</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tcBorders>
              <w:top w:val="nil"/>
              <w:left w:val="single" w:sz="4" w:space="0" w:color="auto"/>
              <w:bottom w:val="single" w:sz="4" w:space="0" w:color="auto"/>
              <w:right w:val="single" w:sz="4" w:space="0" w:color="auto"/>
            </w:tcBorders>
            <w:vAlign w:val="center"/>
          </w:tcPr>
          <w:p/>
        </w:tc>
        <w:tc>
          <w:tcPr>
            <w:tcW w:w="1360" w:type="dxa"/>
            <w:vMerge/>
            <w:tcBorders>
              <w:top w:val="nil"/>
              <w:left w:val="single" w:sz="4" w:space="0" w:color="auto"/>
              <w:bottom w:val="single" w:sz="4" w:space="0" w:color="000000"/>
              <w:right w:val="single" w:sz="4" w:space="0" w:color="auto"/>
            </w:tcBorders>
            <w:vAlign w:val="center"/>
          </w:tcP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2、投入防汛设备</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≥100（套、件）</w:t>
            </w:r>
          </w:p>
        </w:tc>
        <w:tc>
          <w:tcPr>
            <w:tcW w:w="157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30（人次）</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tcBorders>
              <w:top w:val="nil"/>
              <w:left w:val="single" w:sz="4" w:space="0" w:color="auto"/>
              <w:bottom w:val="single" w:sz="4" w:space="0" w:color="auto"/>
              <w:right w:val="single" w:sz="4" w:space="0" w:color="auto"/>
            </w:tcBorders>
            <w:vAlign w:val="center"/>
          </w:tcPr>
          <w:p/>
        </w:tc>
        <w:tc>
          <w:tcPr>
            <w:tcW w:w="1360" w:type="dxa"/>
            <w:vMerge/>
            <w:tcBorders>
              <w:top w:val="nil"/>
              <w:left w:val="single" w:sz="4" w:space="0" w:color="auto"/>
              <w:bottom w:val="single" w:sz="4" w:space="0" w:color="000000"/>
              <w:right w:val="single" w:sz="4" w:space="0" w:color="auto"/>
            </w:tcBorders>
            <w:vAlign w:val="center"/>
          </w:tcP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3、投入防汛物资消耗</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≥500（套、件）</w:t>
            </w:r>
          </w:p>
        </w:tc>
        <w:tc>
          <w:tcPr>
            <w:tcW w:w="157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300（人次）</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tcBorders>
              <w:top w:val="nil"/>
              <w:left w:val="single" w:sz="4" w:space="0" w:color="auto"/>
              <w:bottom w:val="single" w:sz="4" w:space="0" w:color="auto"/>
              <w:right w:val="single" w:sz="4" w:space="0" w:color="auto"/>
            </w:tcBorders>
            <w:vAlign w:val="center"/>
          </w:tcPr>
          <w:p/>
        </w:tc>
        <w:tc>
          <w:tcPr>
            <w:tcW w:w="1360" w:type="dxa"/>
            <w:vMerge/>
            <w:tcBorders>
              <w:top w:val="nil"/>
              <w:left w:val="single" w:sz="4" w:space="0" w:color="auto"/>
              <w:bottom w:val="single" w:sz="4" w:space="0" w:color="000000"/>
              <w:right w:val="single" w:sz="4" w:space="0" w:color="auto"/>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4、添置应急抢险设备</w:t>
            </w:r>
          </w:p>
        </w:tc>
        <w:tc>
          <w:tcPr>
            <w:tcW w:w="191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≥50（套、件）</w:t>
            </w:r>
          </w:p>
        </w:tc>
        <w:tc>
          <w:tcPr>
            <w:tcW w:w="157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20（人次）</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tcBorders>
              <w:top w:val="nil"/>
              <w:left w:val="single" w:sz="4" w:space="0" w:color="auto"/>
              <w:bottom w:val="single" w:sz="4" w:space="0" w:color="auto"/>
              <w:right w:val="single" w:sz="4" w:space="0" w:color="auto"/>
            </w:tcBorders>
            <w:vAlign w:val="center"/>
          </w:tcPr>
          <w:p/>
        </w:tc>
        <w:tc>
          <w:tcPr>
            <w:tcW w:w="1360" w:type="dxa"/>
            <w:vMerge/>
            <w:tcBorders>
              <w:top w:val="nil"/>
              <w:left w:val="single" w:sz="4" w:space="0" w:color="auto"/>
              <w:bottom w:val="single" w:sz="4" w:space="0" w:color="000000"/>
              <w:right w:val="single" w:sz="4" w:space="0" w:color="auto"/>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5、添置应急抢险物资</w:t>
            </w:r>
          </w:p>
        </w:tc>
        <w:tc>
          <w:tcPr>
            <w:tcW w:w="191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≥200（套、件）</w:t>
            </w:r>
          </w:p>
        </w:tc>
        <w:tc>
          <w:tcPr>
            <w:tcW w:w="157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180（人次）</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tcBorders>
              <w:top w:val="nil"/>
              <w:left w:val="single" w:sz="4" w:space="0" w:color="auto"/>
              <w:bottom w:val="single" w:sz="4" w:space="0" w:color="auto"/>
              <w:right w:val="single" w:sz="4" w:space="0" w:color="auto"/>
            </w:tcBorders>
            <w:vAlign w:val="center"/>
          </w:tcPr>
          <w:p/>
        </w:tc>
        <w:tc>
          <w:tcPr>
            <w:tcW w:w="1360" w:type="dxa"/>
            <w:vMerge/>
            <w:tcBorders>
              <w:top w:val="nil"/>
              <w:left w:val="single" w:sz="4" w:space="0" w:color="auto"/>
              <w:bottom w:val="single" w:sz="4" w:space="0" w:color="000000"/>
              <w:right w:val="single" w:sz="4" w:space="0" w:color="auto"/>
            </w:tcBorders>
            <w:vAlign w:val="center"/>
          </w:tcPr>
          <w:p/>
        </w:tc>
        <w:tc>
          <w:tcPr>
            <w:tcW w:w="293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6、紧急转移安置人口</w:t>
            </w:r>
          </w:p>
        </w:tc>
        <w:tc>
          <w:tcPr>
            <w:tcW w:w="191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≥500（人）</w:t>
            </w:r>
          </w:p>
        </w:tc>
        <w:tc>
          <w:tcPr>
            <w:tcW w:w="157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（人次）</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根据汛情适时上报</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tcBorders>
              <w:top w:val="nil"/>
              <w:left w:val="single" w:sz="4" w:space="0" w:color="auto"/>
              <w:bottom w:val="single" w:sz="4" w:space="0" w:color="auto"/>
              <w:right w:val="single" w:sz="4" w:space="0" w:color="auto"/>
            </w:tcBorders>
            <w:vAlign w:val="center"/>
          </w:tcP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质量指标</w:t>
            </w: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1、添置设备验收通过率</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5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tcBorders>
              <w:top w:val="nil"/>
              <w:left w:val="single" w:sz="4" w:space="0" w:color="auto"/>
              <w:bottom w:val="single" w:sz="4" w:space="0" w:color="auto"/>
              <w:right w:val="single" w:sz="4" w:space="0" w:color="auto"/>
            </w:tcBorders>
            <w:vAlign w:val="center"/>
          </w:tcPr>
          <w:p/>
        </w:tc>
        <w:tc>
          <w:tcPr>
            <w:tcW w:w="1360" w:type="dxa"/>
            <w:vMerge/>
            <w:tcBorders>
              <w:top w:val="nil"/>
              <w:left w:val="single" w:sz="4" w:space="0" w:color="auto"/>
              <w:bottom w:val="single" w:sz="4" w:space="0" w:color="auto"/>
              <w:right w:val="single" w:sz="4" w:space="0" w:color="auto"/>
            </w:tcBorders>
            <w:vAlign w:val="center"/>
          </w:tcP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2、添置物资验收通过率</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5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tcBorders>
              <w:top w:val="nil"/>
              <w:left w:val="single" w:sz="4" w:space="0" w:color="auto"/>
              <w:bottom w:val="single" w:sz="4" w:space="0" w:color="auto"/>
              <w:right w:val="single" w:sz="4" w:space="0" w:color="auto"/>
            </w:tcBorders>
            <w:vAlign w:val="center"/>
          </w:tcP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时效指标</w:t>
            </w: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1、30天内资金下达率</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1579"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≥100%</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131"/>
        </w:trPr>
        <w:tc>
          <w:tcPr>
            <w:tcW w:w="680" w:type="dxa"/>
            <w:vMerge/>
            <w:tcBorders>
              <w:top w:val="nil"/>
              <w:left w:val="single" w:sz="4" w:space="0" w:color="auto"/>
              <w:bottom w:val="single" w:sz="4" w:space="0" w:color="auto"/>
              <w:right w:val="single" w:sz="4" w:space="0" w:color="auto"/>
            </w:tcBorders>
            <w:vAlign w:val="center"/>
          </w:tcPr>
          <w:p/>
        </w:tc>
        <w:tc>
          <w:tcPr>
            <w:tcW w:w="680" w:type="dxa"/>
            <w:vMerge/>
            <w:tcBorders>
              <w:top w:val="nil"/>
              <w:left w:val="single" w:sz="4" w:space="0" w:color="auto"/>
              <w:bottom w:val="single" w:sz="4" w:space="0" w:color="auto"/>
              <w:right w:val="single" w:sz="4" w:space="0" w:color="auto"/>
            </w:tcBorders>
            <w:vAlign w:val="center"/>
          </w:tcPr>
          <w:p/>
        </w:tc>
        <w:tc>
          <w:tcPr>
            <w:tcW w:w="1360" w:type="dxa"/>
            <w:vMerge/>
            <w:tcBorders>
              <w:top w:val="nil"/>
              <w:left w:val="single" w:sz="4" w:space="0" w:color="auto"/>
              <w:bottom w:val="single" w:sz="4" w:space="0" w:color="auto"/>
              <w:right w:val="single" w:sz="4" w:space="0" w:color="auto"/>
            </w:tcBorders>
            <w:vAlign w:val="center"/>
          </w:tcP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2、添置设备物资完成时限</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2023年4月底</w:t>
            </w:r>
          </w:p>
        </w:tc>
        <w:tc>
          <w:tcPr>
            <w:tcW w:w="1579" w:type="dxa"/>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20"/>
                <w:szCs w:val="20"/>
              </w:rPr>
            </w:pPr>
            <w:r>
              <w:rPr>
                <w:rFonts w:ascii="宋体" w:cs="宋体" w:hAnsi="宋体" w:hint="eastAsia"/>
                <w:color w:val="000000"/>
                <w:kern w:val="0"/>
                <w:sz w:val="20"/>
                <w:szCs w:val="20"/>
              </w:rPr>
              <w:t>100.00%</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第二批资金正在实施</w:t>
            </w:r>
          </w:p>
        </w:tc>
      </w:tr>
      <w:tr>
        <w:trPr>
          <w:trHeight w:val="257"/>
        </w:trPr>
        <w:tc>
          <w:tcPr>
            <w:tcW w:w="680" w:type="dxa"/>
            <w:vMerge/>
            <w:tcBorders>
              <w:top w:val="nil"/>
              <w:left w:val="single" w:sz="4" w:space="0" w:color="auto"/>
              <w:bottom w:val="single" w:sz="4" w:space="0" w:color="auto"/>
              <w:right w:val="single" w:sz="4" w:space="0" w:color="auto"/>
            </w:tcBorders>
            <w:vAlign w:val="center"/>
          </w:tcPr>
          <w:p/>
        </w:tc>
        <w:tc>
          <w:tcPr>
            <w:tcW w:w="6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　</w:t>
            </w:r>
          </w:p>
        </w:tc>
        <w:tc>
          <w:tcPr>
            <w:tcW w:w="13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社会效益</w:t>
              <w:br/>
              <w:t>指标</w:t>
            </w: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灾区社会秩序</w:t>
            </w:r>
          </w:p>
        </w:tc>
        <w:tc>
          <w:tcPr>
            <w:tcW w:w="2088"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稳定有序</w:t>
            </w:r>
          </w:p>
        </w:tc>
        <w:tc>
          <w:tcPr>
            <w:tcW w:w="1579" w:type="dxa"/>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良好</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636"/>
        </w:trPr>
        <w:tc>
          <w:tcPr>
            <w:tcW w:w="680" w:type="dxa"/>
            <w:vMerge/>
            <w:tcBorders>
              <w:top w:val="nil"/>
              <w:left w:val="single" w:sz="4" w:space="0" w:color="auto"/>
              <w:bottom w:val="single" w:sz="4" w:space="0" w:color="auto"/>
              <w:right w:val="single" w:sz="4" w:space="0" w:color="auto"/>
            </w:tcBorders>
            <w:vAlign w:val="center"/>
          </w:tcPr>
          <w:p/>
        </w:tc>
        <w:tc>
          <w:tcPr>
            <w:tcW w:w="68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满意度指标</w:t>
            </w:r>
          </w:p>
        </w:tc>
        <w:tc>
          <w:tcPr>
            <w:tcW w:w="1360"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20"/>
                <w:szCs w:val="20"/>
              </w:rPr>
            </w:pPr>
            <w:r>
              <w:rPr>
                <w:rFonts w:ascii="宋体" w:cs="宋体" w:hAnsi="宋体" w:hint="eastAsia"/>
                <w:kern w:val="0"/>
                <w:sz w:val="20"/>
                <w:szCs w:val="20"/>
              </w:rPr>
              <w:t>服务对象</w:t>
              <w:br/>
              <w:t>满意度指标</w:t>
            </w:r>
          </w:p>
        </w:tc>
        <w:tc>
          <w:tcPr>
            <w:tcW w:w="4858" w:type="dxa"/>
            <w:gridSpan w:val="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受灾群众投诉度</w:t>
            </w:r>
          </w:p>
        </w:tc>
        <w:tc>
          <w:tcPr>
            <w:tcW w:w="2088" w:type="dxa"/>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20"/>
                <w:szCs w:val="20"/>
              </w:rPr>
            </w:pPr>
            <w:r>
              <w:rPr>
                <w:rFonts w:ascii="宋体" w:cs="宋体" w:hAnsi="宋体" w:hint="eastAsia"/>
                <w:color w:val="000000"/>
                <w:kern w:val="0"/>
                <w:sz w:val="20"/>
                <w:szCs w:val="20"/>
              </w:rPr>
              <w:t>5%</w:t>
            </w:r>
          </w:p>
        </w:tc>
        <w:tc>
          <w:tcPr>
            <w:tcW w:w="1579" w:type="dxa"/>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20"/>
                <w:szCs w:val="20"/>
              </w:rPr>
            </w:pPr>
            <w:r>
              <w:rPr>
                <w:rFonts w:ascii="宋体" w:cs="宋体" w:hAnsi="宋体" w:hint="eastAsia"/>
                <w:color w:val="000000"/>
                <w:kern w:val="0"/>
                <w:sz w:val="20"/>
                <w:szCs w:val="20"/>
              </w:rPr>
              <w:t>1%</w:t>
            </w:r>
          </w:p>
        </w:tc>
        <w:tc>
          <w:tcPr>
            <w:tcW w:w="2795" w:type="dxa"/>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　</w:t>
            </w:r>
          </w:p>
        </w:tc>
      </w:tr>
      <w:tr>
        <w:trPr>
          <w:trHeight w:val="257"/>
        </w:trPr>
        <w:tc>
          <w:tcPr>
            <w:tcW w:w="680"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20"/>
                <w:szCs w:val="20"/>
              </w:rPr>
            </w:pPr>
            <w:r>
              <w:rPr>
                <w:rFonts w:ascii="宋体" w:cs="宋体" w:hAnsi="宋体" w:hint="eastAsia"/>
                <w:color w:val="000000"/>
                <w:kern w:val="0"/>
                <w:sz w:val="20"/>
                <w:szCs w:val="20"/>
              </w:rPr>
              <w:t>说明</w:t>
            </w:r>
          </w:p>
        </w:tc>
        <w:tc>
          <w:tcPr>
            <w:tcW w:w="13360" w:type="dxa"/>
            <w:gridSpan w:val="7"/>
            <w:tcBorders>
              <w:top w:val="single" w:sz="4" w:space="0" w:color="auto"/>
              <w:left w:val="nil"/>
              <w:bottom w:val="single" w:sz="4" w:space="0" w:color="auto"/>
              <w:right w:val="single" w:sz="4" w:space="0" w:color="000000"/>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请在此处简要说明中央巡视、各级审计和财政监督中发现的问题及其所涉及的金额，如没有请填无。</w:t>
            </w:r>
          </w:p>
        </w:tc>
      </w:tr>
      <w:tr>
        <w:trPr>
          <w:trHeight w:val="131"/>
        </w:trPr>
        <w:tc>
          <w:tcPr>
            <w:tcW w:w="14040" w:type="dxa"/>
            <w:gridSpan w:val="8"/>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注：1.资金使用单位按项目绩效目标填报，主管部门汇总时按区域绩效目标填报。</w:t>
            </w:r>
          </w:p>
        </w:tc>
      </w:tr>
      <w:tr>
        <w:trPr>
          <w:trHeight w:val="212"/>
        </w:trPr>
        <w:tc>
          <w:tcPr>
            <w:tcW w:w="14040" w:type="dxa"/>
            <w:gridSpan w:val="8"/>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2.其他资金包括与中央财政资金、地方财政资金共同投入到同一项目的自有资金、社会资金，以及以前年度的结转结余资金等。</w:t>
            </w:r>
          </w:p>
        </w:tc>
      </w:tr>
      <w:tr>
        <w:trPr>
          <w:trHeight w:val="139"/>
        </w:trPr>
        <w:tc>
          <w:tcPr>
            <w:tcW w:w="14040" w:type="dxa"/>
            <w:gridSpan w:val="8"/>
            <w:tcBorders>
              <w:top w:val="nil"/>
              <w:left w:val="nil"/>
              <w:bottom w:val="nil"/>
              <w:right w:val="nil"/>
            </w:tcBorders>
            <w:shd w:val="clear" w:color="auto" w:fill="auto"/>
            <w:vAlign w:val="center"/>
          </w:tcPr>
          <w:p>
            <w:pPr>
              <w:widowControl/>
              <w:jc w:val="left"/>
              <w:rPr>
                <w:rFonts w:ascii="宋体" w:cs="宋体" w:hAnsi="宋体"/>
                <w:color w:val="000000"/>
                <w:kern w:val="0"/>
                <w:sz w:val="20"/>
                <w:szCs w:val="20"/>
              </w:rPr>
            </w:pPr>
            <w:r>
              <w:rPr>
                <w:rFonts w:ascii="宋体" w:cs="宋体" w:hAnsi="宋体" w:hint="eastAsia"/>
                <w:color w:val="000000"/>
                <w:kern w:val="0"/>
                <w:sz w:val="20"/>
                <w:szCs w:val="20"/>
              </w:rPr>
              <w:t xml:space="preserve">    3.全年执行数是指按照国库集中支付制度要求所形成的实际支出。</w:t>
            </w:r>
          </w:p>
        </w:tc>
      </w:tr>
    </w:tbl>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rPr>
          <w:lang w:val="zh-CN"/>
        </w:rPr>
        <w:sectPr>
          <w:pgSz w:w="16838" w:h="11906" w:orient="landscape"/>
          <w:pgMar w:top="1587" w:right="2098" w:bottom="1474" w:left="1984" w:header="851" w:footer="992" w:gutter="0"/>
          <w:cols w:num="1" w:space="0"/>
          <w:titlePg/>
          <w:docGrid w:type="lines" w:linePitch="312" w:charSpace="0"/>
        </w:sectPr>
      </w:pPr>
    </w:p>
    <w:p>
      <w:pPr>
        <w:pStyle w:val="38"/>
        <w:spacing w:line="600" w:lineRule="exact"/>
        <w:jc w:val="center"/>
        <w:rPr>
          <w:rFonts w:ascii="方正小标宋简体" w:eastAsia="方正小标宋简体" w:cs="方正小标宋简体" w:hAnsi="方正小标宋简体"/>
          <w:color w:val="auto"/>
          <w:kern w:val="2"/>
          <w:sz w:val="40"/>
          <w:szCs w:val="40"/>
          <w:lang w:val="en-US"/>
        </w:rPr>
      </w:pPr>
      <w:r>
        <w:rPr>
          <w:rFonts w:ascii="方正小标宋简体" w:eastAsia="方正小标宋简体" w:cs="方正小标宋简体" w:hAnsi="方正小标宋简体" w:hint="eastAsia"/>
          <w:color w:val="auto"/>
          <w:kern w:val="2"/>
          <w:sz w:val="40"/>
          <w:szCs w:val="40"/>
          <w:lang w:val="en-US"/>
        </w:rPr>
        <w:t>利州区应急管理局</w:t>
      </w:r>
    </w:p>
    <w:p>
      <w:pPr>
        <w:pStyle w:val="38"/>
        <w:spacing w:line="600" w:lineRule="exact"/>
        <w:jc w:val="center"/>
        <w:rPr>
          <w:rFonts w:ascii="方正小标宋简体" w:eastAsia="方正小标宋简体" w:cs="方正小标宋简体" w:hAnsi="方正小标宋简体"/>
          <w:color w:val="auto"/>
          <w:kern w:val="2"/>
          <w:sz w:val="40"/>
          <w:szCs w:val="40"/>
        </w:rPr>
      </w:pPr>
      <w:r>
        <w:rPr>
          <w:rFonts w:ascii="方正小标宋简体" w:eastAsia="方正小标宋简体" w:cs="方正小标宋简体" w:hAnsi="方正小标宋简体" w:hint="eastAsia"/>
          <w:color w:val="auto"/>
          <w:kern w:val="2"/>
          <w:sz w:val="40"/>
          <w:szCs w:val="40"/>
          <w:lang w:val="en-US"/>
        </w:rPr>
        <w:t>2022年</w:t>
      </w:r>
      <w:r>
        <w:rPr>
          <w:rFonts w:ascii="方正小标宋简体" w:eastAsia="方正小标宋简体" w:cs="方正小标宋简体" w:hAnsi="方正小标宋简体" w:hint="eastAsia"/>
          <w:color w:val="auto"/>
          <w:kern w:val="2"/>
          <w:sz w:val="40"/>
          <w:szCs w:val="40"/>
        </w:rPr>
        <w:t>安全专项及常态化经费项目支出</w:t>
      </w:r>
    </w:p>
    <w:p>
      <w:pPr>
        <w:pStyle w:val="38"/>
        <w:spacing w:line="600" w:lineRule="exact"/>
        <w:jc w:val="center"/>
        <w:rPr>
          <w:rFonts w:ascii="方正小标宋简体" w:eastAsia="方正小标宋简体" w:cs="方正小标宋简体" w:hAnsi="方正小标宋简体"/>
          <w:color w:val="auto"/>
          <w:kern w:val="2"/>
          <w:sz w:val="40"/>
          <w:szCs w:val="40"/>
        </w:rPr>
      </w:pPr>
      <w:r>
        <w:rPr>
          <w:rFonts w:ascii="方正小标宋简体" w:eastAsia="方正小标宋简体" w:cs="方正小标宋简体" w:hAnsi="方正小标宋简体" w:hint="eastAsia"/>
          <w:color w:val="auto"/>
          <w:kern w:val="2"/>
          <w:sz w:val="40"/>
          <w:szCs w:val="40"/>
        </w:rPr>
        <w:t>绩效自评报告</w:t>
      </w:r>
    </w:p>
    <w:p>
      <w:pPr>
        <w:pStyle w:val="38"/>
        <w:spacing w:line="600" w:lineRule="exact"/>
        <w:ind w:firstLine="640"/>
        <w:jc w:val="center"/>
        <w:rPr>
          <w:rFonts w:ascii="宋体" w:hAnsi="宋体"/>
          <w:color w:val="auto"/>
          <w:kern w:val="2"/>
          <w:sz w:val="32"/>
          <w:szCs w:val="32"/>
        </w:rPr>
      </w:pPr>
    </w:p>
    <w:p>
      <w:pPr>
        <w:adjustRightInd w:val="0"/>
        <w:snapToGrid w:val="0"/>
        <w:spacing w:line="600" w:lineRule="exact"/>
        <w:ind w:firstLine="720"/>
        <w:rPr>
          <w:rFonts w:ascii="黑体" w:eastAsia="黑体" w:hAnsi="宋体"/>
          <w:sz w:val="30"/>
          <w:szCs w:val="30"/>
          <w:lang w:val="zh-CN"/>
        </w:rPr>
      </w:pPr>
      <w:r>
        <w:rPr>
          <w:rFonts w:ascii="黑体" w:eastAsia="黑体" w:hAnsi="宋体" w:hint="eastAsia"/>
          <w:sz w:val="30"/>
          <w:szCs w:val="30"/>
        </w:rPr>
        <w:t>一、</w:t>
      </w:r>
      <w:r>
        <w:rPr>
          <w:rFonts w:ascii="黑体" w:eastAsia="黑体" w:hAnsi="宋体" w:hint="eastAsia"/>
          <w:sz w:val="30"/>
          <w:szCs w:val="30"/>
          <w:lang w:val="zh-CN"/>
        </w:rPr>
        <w:t>项目概况</w:t>
      </w:r>
    </w:p>
    <w:p>
      <w:pPr>
        <w:adjustRightInd w:val="0"/>
        <w:snapToGrid w:val="0"/>
        <w:spacing w:line="600" w:lineRule="exact"/>
        <w:ind w:firstLine="720"/>
        <w:rPr>
          <w:rFonts w:ascii="楷体_GB2312" w:eastAsia="楷体_GB2312" w:hAnsi="宋体"/>
          <w:b/>
          <w:sz w:val="30"/>
          <w:szCs w:val="30"/>
          <w:lang w:val="zh-CN"/>
        </w:rPr>
      </w:pPr>
      <w:r>
        <w:rPr>
          <w:rFonts w:ascii="楷体_GB2312" w:eastAsia="楷体_GB2312" w:hAnsi="宋体" w:hint="eastAsia"/>
          <w:b/>
          <w:sz w:val="30"/>
          <w:szCs w:val="30"/>
          <w:lang w:val="zh-CN"/>
        </w:rPr>
        <w:t>（一）项目基本情况。</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根据中共中央办公厅 国务院办公厅印发《地方党政领导干部安全生产责任制规定》 及中共四川省委办公厅、四川省人民政府办公厅关于党政领导干部安全生产责任制实施细则（川委办〔2018〕27号），设立安全生产专项资金并列入本级财政预算、与财政收入保持同步增长。安全生产是关系人民群众生命财产安全的大事,是经济社会协调健康发展的标志,是党和政府对人民利益高度负责的要求。</w:t>
      </w:r>
    </w:p>
    <w:p>
      <w:pPr>
        <w:adjustRightInd w:val="0"/>
        <w:snapToGrid w:val="0"/>
        <w:spacing w:line="600" w:lineRule="exact"/>
        <w:ind w:firstLine="720"/>
        <w:rPr>
          <w:rFonts w:ascii="楷体_GB2312" w:eastAsia="楷体_GB2312" w:hAnsi="宋体"/>
          <w:b/>
          <w:sz w:val="30"/>
          <w:szCs w:val="30"/>
          <w:lang w:val="zh-CN"/>
        </w:rPr>
      </w:pPr>
      <w:r>
        <w:rPr>
          <w:rFonts w:ascii="楷体_GB2312" w:eastAsia="楷体_GB2312" w:hAnsi="宋体" w:hint="eastAsia"/>
          <w:b/>
          <w:sz w:val="30"/>
          <w:szCs w:val="30"/>
          <w:lang w:val="zh-CN"/>
        </w:rPr>
        <w:t>（二）项目绩效目标。</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u w:color="FFFFFF"/>
        </w:rPr>
        <w:t>安全专项方面：为推动经济高质量发展，</w:t>
      </w:r>
      <w:r>
        <w:rPr>
          <w:rFonts w:ascii="方正仿宋简体" w:eastAsia="方正仿宋简体" w:cs="方正仿宋简体" w:hAnsi="方正仿宋简体" w:hint="eastAsia"/>
          <w:sz w:val="30"/>
          <w:szCs w:val="30"/>
          <w:u w:val="single" w:color="FFFFFF"/>
        </w:rPr>
        <w:t>保障3月安全生产警示月、百日安全无事故、6月安全生产月（启动仪式及咨询日）、安全生产法宣传周等活动，</w:t>
      </w:r>
      <w:r>
        <w:rPr>
          <w:rFonts w:ascii="方正仿宋简体" w:eastAsia="方正仿宋简体" w:cs="方正仿宋简体" w:hAnsi="方正仿宋简体" w:hint="eastAsia"/>
          <w:sz w:val="30"/>
          <w:szCs w:val="30"/>
          <w:u w:color="FFFFFF"/>
        </w:rPr>
        <w:t>开展全区安全生产督查安全生产巡查，迎接国家、省、市安全生产年终考核、</w:t>
      </w:r>
      <w:r>
        <w:rPr>
          <w:rFonts w:ascii="方正仿宋简体" w:eastAsia="方正仿宋简体" w:cs="方正仿宋简体" w:hAnsi="方正仿宋简体" w:hint="eastAsia"/>
          <w:sz w:val="30"/>
          <w:szCs w:val="30"/>
        </w:rPr>
        <w:t>年度巡查及专项督查，配合省应急管理厅开展矿山检查等工作的顺利推进，及时反应安全生产、民生状况发展趋势等，提供决策参考建议和科学准确的数据。</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安全常态化方面：顺利通过国家、省、市安全生产工作验收、督查、巡查及年度安全生党政同责考核工作，指导协调好重点行业领域安全生产综合监管工作，进一步提升安全生产水平，更好的开展安全生产工作。（通过常态化工作达到的目的）</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（三）项目自评步骤及方法。</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根据绩效管理的相关规定，成立了绩效评价工作领导小组，根据年初确定的绩效目标，对照检查设置指标产出数量、质量、成本，以及经济效益、社会效益、可持续影响、满意度等指标开展项目绩效评价。</w:t>
      </w:r>
    </w:p>
    <w:p>
      <w:pPr>
        <w:adjustRightInd w:val="0"/>
        <w:snapToGrid w:val="0"/>
        <w:spacing w:line="600" w:lineRule="exact"/>
        <w:ind w:firstLine="720"/>
        <w:rPr>
          <w:rFonts w:ascii="黑体" w:eastAsia="黑体" w:hAnsi="宋体"/>
          <w:sz w:val="30"/>
          <w:szCs w:val="30"/>
        </w:rPr>
      </w:pPr>
      <w:r>
        <w:rPr>
          <w:rFonts w:ascii="黑体" w:eastAsia="黑体" w:hAnsi="宋体" w:hint="eastAsia"/>
          <w:sz w:val="30"/>
          <w:szCs w:val="30"/>
        </w:rPr>
        <w:t>二、项目资金申报及使用情况</w:t>
      </w:r>
    </w:p>
    <w:p>
      <w:pPr>
        <w:adjustRightInd w:val="0"/>
        <w:snapToGrid w:val="0"/>
        <w:spacing w:line="600" w:lineRule="exact"/>
        <w:ind w:firstLine="720"/>
        <w:rPr>
          <w:rFonts w:ascii="楷体_GB2312" w:eastAsia="楷体_GB2312" w:hAnsi="宋体"/>
          <w:b/>
          <w:sz w:val="30"/>
          <w:szCs w:val="30"/>
          <w:lang w:val="zh-CN"/>
        </w:rPr>
      </w:pPr>
      <w:r>
        <w:rPr>
          <w:rFonts w:ascii="楷体_GB2312" w:eastAsia="楷体_GB2312" w:hAnsi="宋体" w:hint="eastAsia"/>
          <w:b/>
          <w:sz w:val="30"/>
          <w:szCs w:val="30"/>
          <w:lang w:val="zh-CN"/>
        </w:rPr>
        <w:t>（一）项目资金申报及批复情况。</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该项目2022年1月至12月底，共申请安全专项及常态化资金共计  670000元，资金管理合理规范、实施专款专用，资金使用与申报计划相符。</w:t>
      </w:r>
    </w:p>
    <w:p>
      <w:pPr>
        <w:adjustRightInd w:val="0"/>
        <w:snapToGrid w:val="0"/>
        <w:spacing w:line="600" w:lineRule="exact"/>
        <w:ind w:firstLine="720"/>
        <w:rPr>
          <w:rFonts w:ascii="仿宋_GB2312" w:hAnsi="宋体"/>
          <w:sz w:val="30"/>
          <w:szCs w:val="30"/>
          <w:lang w:val="zh-CN"/>
        </w:rPr>
      </w:pPr>
      <w:r>
        <w:rPr>
          <w:rFonts w:ascii="楷体_GB2312" w:eastAsia="楷体_GB2312" w:hAnsi="宋体" w:hint="eastAsia"/>
          <w:b/>
          <w:sz w:val="30"/>
          <w:szCs w:val="30"/>
          <w:lang w:val="zh-CN"/>
        </w:rPr>
        <w:t>（二）资金计划、到位及使用情况。</w:t>
      </w:r>
    </w:p>
    <w:p>
      <w:pPr>
        <w:spacing w:line="576" w:lineRule="exact"/>
        <w:ind w:firstLineChars="200" w:firstLine="600"/>
        <w:rPr>
          <w:rFonts w:ascii="方正仿宋简体" w:eastAsia="方正仿宋简体" w:cs="方正仿宋简体" w:hAnsi="方正仿宋简体"/>
          <w:color w:val="000000"/>
          <w:sz w:val="30"/>
          <w:szCs w:val="30"/>
          <w:u w:val="single" w:color="FFFFFF"/>
        </w:rPr>
      </w:pPr>
      <w:r>
        <w:rPr>
          <w:rFonts w:ascii="方正仿宋简体" w:eastAsia="方正仿宋简体" w:cs="方正仿宋简体" w:hAnsi="方正仿宋简体" w:hint="eastAsia"/>
          <w:sz w:val="30"/>
          <w:szCs w:val="30"/>
        </w:rPr>
        <w:t>截至2022年12月31日，已使用安全专项资金545466.22 元、未使用资金124533.78，使用率81.41%；</w:t>
      </w:r>
      <w:r>
        <w:rPr>
          <w:rFonts w:ascii="方正仿宋简体" w:eastAsia="方正仿宋简体" w:cs="方正仿宋简体" w:hAnsi="方正仿宋简体" w:hint="eastAsia"/>
          <w:color w:val="000000"/>
          <w:sz w:val="30"/>
          <w:szCs w:val="30"/>
        </w:rPr>
        <w:t>未使用原因是</w:t>
      </w:r>
      <w:r>
        <w:rPr>
          <w:rFonts w:ascii="方正仿宋简体" w:eastAsia="方正仿宋简体" w:cs="方正仿宋简体" w:hAnsi="方正仿宋简体" w:hint="eastAsia"/>
          <w:color w:val="000000"/>
          <w:sz w:val="30"/>
          <w:szCs w:val="30"/>
          <w:u w:color="FFFFFF"/>
        </w:rPr>
        <w:t>：2022年</w:t>
      </w:r>
      <w:r>
        <w:rPr>
          <w:rFonts w:ascii="方正仿宋简体" w:eastAsia="方正仿宋简体" w:cs="方正仿宋简体" w:hAnsi="方正仿宋简体" w:hint="eastAsia"/>
          <w:color w:val="000000"/>
          <w:sz w:val="30"/>
          <w:szCs w:val="30"/>
          <w:u w:val="single" w:color="FFFFFF"/>
        </w:rPr>
        <w:t>四季度申报的资金使用计划124533.78元，因国库未审核，导</w:t>
      </w:r>
      <w:r>
        <w:rPr>
          <w:rFonts w:ascii="方正仿宋简体" w:eastAsia="方正仿宋简体" w:cs="方正仿宋简体" w:hAnsi="方正仿宋简体" w:hint="eastAsia"/>
          <w:color w:val="000000"/>
          <w:sz w:val="30"/>
          <w:szCs w:val="30"/>
          <w:u w:color="FFFFFF"/>
        </w:rPr>
        <w:t>致各项经费未能及时支付、资金未及时使用；年终决算后，</w:t>
      </w:r>
      <w:r>
        <w:rPr>
          <w:rFonts w:ascii="方正仿宋简体" w:eastAsia="方正仿宋简体" w:cs="方正仿宋简体" w:hAnsi="方正仿宋简体" w:hint="eastAsia"/>
          <w:color w:val="000000"/>
          <w:sz w:val="30"/>
          <w:szCs w:val="30"/>
          <w:u w:val="single" w:color="FFFFFF"/>
        </w:rPr>
        <w:t>安全专项及安全常态化资金暂未收到进行结转的通知。</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u w:color="FFFFFF"/>
        </w:rPr>
        <w:t>使用情况：</w:t>
      </w:r>
      <w:r>
        <w:rPr>
          <w:rFonts w:ascii="方正仿宋简体" w:eastAsia="方正仿宋简体" w:cs="方正仿宋简体" w:hAnsi="方正仿宋简体" w:hint="eastAsia"/>
          <w:sz w:val="30"/>
          <w:szCs w:val="30"/>
          <w:u w:val="single" w:color="FFFFFF"/>
        </w:rPr>
        <w:t>3月安全生产警示月、百日安全无事故、6月安全生产月（启动仪式及咨询日）、安全生产法宣传周等宣传活动的资料印刷、现场布置及展板制作开支，</w:t>
      </w:r>
      <w:r>
        <w:rPr>
          <w:rFonts w:ascii="方正仿宋简体" w:eastAsia="方正仿宋简体" w:cs="方正仿宋简体" w:hAnsi="方正仿宋简体" w:hint="eastAsia"/>
          <w:sz w:val="30"/>
          <w:szCs w:val="30"/>
          <w:u w:color="FFFFFF"/>
        </w:rPr>
        <w:t>开展全区</w:t>
      </w:r>
      <w:r>
        <w:rPr>
          <w:rFonts w:ascii="方正仿宋简体" w:eastAsia="方正仿宋简体" w:cs="方正仿宋简体" w:hAnsi="方正仿宋简体" w:hint="eastAsia"/>
          <w:sz w:val="30"/>
          <w:szCs w:val="30"/>
        </w:rPr>
        <w:t>安全生产督查安全生产巡查，迎接国家、省、市安全生产年终考核、年度巡查及专项督查，配合省应急管理厅开展矿山检查等印刷开支；安全应急演练等开支，组织我区及参加省、市培训及差旅等开支。办公耗材、办公用品及其它开支。会议租金及业务开支。</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（三）项目财务管理情况。</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一是依照相关法律法规，根据项目实际情况，建立项目账务核算。在项目资金支付过程中，严格按照相关制度实施资金申报和拨付，严把项目资金支付审核关，提高资金使用社会效益。二是完善内控管理制度，形成长效监管机制。对专项资金使用情况进行全方位跟踪监督检查，主要是监督检查在专项资金使用过程中有无违规使用、挪用、截留等现象。</w:t>
      </w:r>
    </w:p>
    <w:p>
      <w:pPr>
        <w:adjustRightInd w:val="0"/>
        <w:snapToGrid w:val="0"/>
        <w:spacing w:line="600" w:lineRule="exact"/>
        <w:ind w:firstLine="720"/>
        <w:rPr>
          <w:rFonts w:ascii="楷体_GB2312" w:eastAsia="楷体_GB2312" w:hAnsi="宋体"/>
          <w:b/>
          <w:sz w:val="30"/>
          <w:szCs w:val="30"/>
          <w:lang w:val="zh-CN"/>
        </w:rPr>
      </w:pPr>
      <w:r>
        <w:rPr>
          <w:rFonts w:ascii="楷体_GB2312" w:eastAsia="楷体_GB2312" w:hAnsi="宋体" w:hint="eastAsia"/>
          <w:b/>
          <w:sz w:val="30"/>
          <w:szCs w:val="30"/>
          <w:lang w:val="zh-CN"/>
        </w:rPr>
        <w:t>三、项目实施及管理情况</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加强财务管理制度，规范支付流程，确保资金使用合规化，严格按财务审批制度审核。严禁挪作他用和资金截留。</w:t>
      </w:r>
    </w:p>
    <w:p>
      <w:pPr>
        <w:adjustRightInd w:val="0"/>
        <w:snapToGrid w:val="0"/>
        <w:spacing w:line="600" w:lineRule="exact"/>
        <w:ind w:firstLine="720"/>
        <w:rPr>
          <w:rFonts w:ascii="仿宋_GB2312" w:hAnsi="宋体"/>
          <w:sz w:val="30"/>
          <w:szCs w:val="30"/>
          <w:lang w:val="zh-CN"/>
        </w:rPr>
      </w:pPr>
      <w:r>
        <w:rPr>
          <w:rFonts w:ascii="黑体" w:eastAsia="黑体" w:hAnsi="宋体" w:hint="eastAsia"/>
          <w:sz w:val="30"/>
          <w:szCs w:val="30"/>
        </w:rPr>
        <w:t>四、项目绩效情况</w:t>
      </w:r>
      <w:r>
        <w:rPr>
          <w:rFonts w:ascii="仿宋_GB2312" w:hAnsi="宋体" w:hint="eastAsia"/>
          <w:sz w:val="30"/>
          <w:szCs w:val="30"/>
          <w:lang w:val="zh-CN"/>
        </w:rPr>
        <w:tab/>
      </w:r>
    </w:p>
    <w:p>
      <w:pPr>
        <w:adjustRightInd w:val="0"/>
        <w:snapToGrid w:val="0"/>
        <w:spacing w:line="600" w:lineRule="exact"/>
        <w:ind w:firstLine="720"/>
        <w:rPr>
          <w:rFonts w:ascii="楷体_GB2312" w:eastAsia="楷体_GB2312" w:hAnsi="宋体"/>
          <w:b/>
          <w:sz w:val="30"/>
          <w:szCs w:val="30"/>
          <w:lang w:val="zh-CN"/>
        </w:rPr>
      </w:pPr>
      <w:r>
        <w:rPr>
          <w:rFonts w:ascii="楷体_GB2312" w:eastAsia="楷体_GB2312" w:hAnsi="宋体" w:hint="eastAsia"/>
          <w:b/>
          <w:sz w:val="30"/>
          <w:szCs w:val="30"/>
          <w:lang w:val="zh-CN"/>
        </w:rPr>
        <w:t>（一）项目完成情况。</w:t>
      </w:r>
    </w:p>
    <w:p>
      <w:pPr>
        <w:spacing w:line="576" w:lineRule="exact"/>
        <w:ind w:firstLineChars="200" w:firstLine="600"/>
        <w:rPr>
          <w:rFonts w:ascii="方正仿宋简体" w:eastAsia="方正仿宋简体" w:cs="方正仿宋简体" w:hAnsi="方正仿宋简体"/>
          <w:color w:val="000000"/>
          <w:sz w:val="30"/>
          <w:szCs w:val="30"/>
          <w:u w:color="FFFFFF"/>
        </w:rPr>
      </w:pPr>
      <w:r>
        <w:rPr>
          <w:rFonts w:ascii="方正仿宋简体" w:eastAsia="方正仿宋简体" w:cs="方正仿宋简体" w:hAnsi="方正仿宋简体" w:hint="eastAsia"/>
          <w:color w:val="000000"/>
          <w:sz w:val="30"/>
          <w:szCs w:val="30"/>
        </w:rPr>
        <w:t>2022年各类宣传教育活动覆盖全区各行各业，宣传对象达10余万人次；各类巡查、督查延伸到乡镇街道及安委</w:t>
      </w:r>
      <w:r>
        <w:rPr>
          <w:rFonts w:ascii="方正仿宋简体" w:eastAsia="方正仿宋简体" w:cs="方正仿宋简体" w:hAnsi="方正仿宋简体" w:hint="eastAsia"/>
          <w:color w:val="000000"/>
          <w:sz w:val="30"/>
          <w:szCs w:val="30"/>
          <w:u w:color="FFFFFF"/>
        </w:rPr>
        <w:t>会重点成员单位，督导工作深入扎实；安全生产培训</w:t>
      </w:r>
      <w:r>
        <w:rPr>
          <w:rFonts w:ascii="方正仿宋简体" w:eastAsia="方正仿宋简体" w:cs="方正仿宋简体" w:hAnsi="方正仿宋简体" w:hint="eastAsia"/>
          <w:color w:val="000000"/>
          <w:sz w:val="30"/>
          <w:szCs w:val="30"/>
          <w:u w:val="single" w:color="FFFFFF"/>
        </w:rPr>
        <w:t>涉及各乡镇街道、区级重点部门分管负责人及工作人员，监管能力水平整体提高。全年发生生产安全事故4起、死亡4人，与2021年相比均下降60%，</w:t>
      </w:r>
      <w:r>
        <w:rPr>
          <w:rFonts w:ascii="方正仿宋简体" w:eastAsia="方正仿宋简体" w:cs="方正仿宋简体" w:hAnsi="方正仿宋简体" w:hint="eastAsia"/>
          <w:color w:val="000000"/>
          <w:sz w:val="30"/>
          <w:szCs w:val="30"/>
          <w:u w:color="FFFFFF"/>
        </w:rPr>
        <w:t>全区安全生产形势持续稳定向好。</w:t>
      </w:r>
    </w:p>
    <w:p>
      <w:pPr>
        <w:adjustRightInd w:val="0"/>
        <w:snapToGrid w:val="0"/>
        <w:spacing w:line="600" w:lineRule="exact"/>
        <w:ind w:firstLine="720"/>
        <w:rPr>
          <w:rFonts w:ascii="楷体_GB2312" w:eastAsia="楷体_GB2312" w:hAnsi="宋体"/>
          <w:b/>
          <w:sz w:val="30"/>
          <w:szCs w:val="30"/>
          <w:lang w:val="zh-CN"/>
        </w:rPr>
      </w:pPr>
      <w:r>
        <w:rPr>
          <w:rFonts w:ascii="楷体_GB2312" w:eastAsia="楷体_GB2312" w:hAnsi="宋体" w:hint="eastAsia"/>
          <w:b/>
          <w:sz w:val="30"/>
          <w:szCs w:val="30"/>
          <w:lang w:val="zh-CN"/>
        </w:rPr>
        <w:t>（二）项目效益情况。</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安全专项及安全常态化工作经费项目效益主要是社会效益，安全生产是关系人民群众生命财产安全的大事,是经济社会协调健康发展的标志,是党和政府对人民利益高度负责的要求</w:t>
      </w:r>
    </w:p>
    <w:p>
      <w:pPr>
        <w:adjustRightInd w:val="0"/>
        <w:snapToGrid w:val="0"/>
        <w:spacing w:line="600" w:lineRule="exact"/>
        <w:ind w:firstLine="720"/>
        <w:rPr>
          <w:rFonts w:ascii="黑体" w:eastAsia="黑体" w:hAnsi="宋体"/>
          <w:sz w:val="30"/>
          <w:szCs w:val="30"/>
        </w:rPr>
      </w:pPr>
      <w:r>
        <w:rPr>
          <w:rFonts w:ascii="黑体" w:eastAsia="黑体" w:hAnsi="宋体" w:hint="eastAsia"/>
          <w:sz w:val="30"/>
          <w:szCs w:val="30"/>
        </w:rPr>
        <w:t>五、评价结论及建议</w:t>
      </w:r>
    </w:p>
    <w:p>
      <w:pPr>
        <w:adjustRightInd w:val="0"/>
        <w:snapToGrid w:val="0"/>
        <w:spacing w:line="576" w:lineRule="exact"/>
        <w:ind w:firstLineChars="200" w:firstLine="600"/>
        <w:rPr>
          <w:rFonts w:ascii="楷体_GB2312" w:eastAsia="楷体_GB2312" w:hAnsi="宋体"/>
          <w:b/>
          <w:sz w:val="30"/>
          <w:szCs w:val="30"/>
          <w:lang w:val="zh-CN"/>
        </w:rPr>
      </w:pPr>
      <w:r>
        <w:rPr>
          <w:rFonts w:ascii="楷体_GB2312" w:eastAsia="楷体_GB2312" w:hAnsi="宋体" w:hint="eastAsia"/>
          <w:b/>
          <w:sz w:val="30"/>
          <w:szCs w:val="30"/>
          <w:lang w:val="zh-CN"/>
        </w:rPr>
        <w:t>（一）评价结论。</w:t>
      </w:r>
    </w:p>
    <w:p>
      <w:pPr>
        <w:spacing w:line="576" w:lineRule="exact"/>
        <w:ind w:firstLineChars="200" w:firstLine="600"/>
        <w:rPr>
          <w:rFonts w:ascii="方正仿宋简体" w:eastAsia="方正仿宋简体" w:cs="方正仿宋简体" w:hAnsi="方正仿宋简体"/>
          <w:sz w:val="30"/>
          <w:szCs w:val="30"/>
        </w:rPr>
      </w:pPr>
      <w:r>
        <w:rPr>
          <w:rFonts w:ascii="方正仿宋简体" w:eastAsia="方正仿宋简体" w:cs="方正仿宋简体" w:hAnsi="方正仿宋简体" w:hint="eastAsia"/>
          <w:sz w:val="30"/>
          <w:szCs w:val="30"/>
        </w:rPr>
        <w:t>项目支出绩效目标设置了数量、质量、成本、经济效益、社会效益、可持续影响、满意度等指标。通过绩效自评，年初设置的绩效目标已基本完成，自评分95。</w:t>
      </w:r>
    </w:p>
    <w:p>
      <w:pPr>
        <w:numPr>
          <w:ilvl w:val="0"/>
          <w:numId w:val="6"/>
        </w:numPr>
        <w:adjustRightInd w:val="0"/>
        <w:snapToGrid w:val="0"/>
        <w:spacing w:line="600" w:lineRule="exact"/>
        <w:ind w:left="0" w:firstLine="720"/>
        <w:rPr>
          <w:rFonts w:ascii="楷体_GB2312" w:eastAsia="楷体_GB2312" w:hAnsi="宋体"/>
          <w:b/>
          <w:sz w:val="30"/>
          <w:szCs w:val="30"/>
          <w:lang w:val="zh-CN"/>
        </w:rPr>
      </w:pPr>
      <w:r>
        <w:rPr>
          <w:rFonts w:ascii="楷体_GB2312" w:eastAsia="楷体_GB2312" w:hAnsi="宋体" w:hint="eastAsia"/>
          <w:b/>
          <w:sz w:val="30"/>
          <w:szCs w:val="30"/>
          <w:lang w:val="zh-CN"/>
        </w:rPr>
        <w:t>存在的问题。</w:t>
      </w:r>
    </w:p>
    <w:p>
      <w:pPr>
        <w:adjustRightInd w:val="0"/>
        <w:snapToGrid w:val="0"/>
        <w:spacing w:line="600" w:lineRule="exact"/>
        <w:ind w:firstLine="720"/>
        <w:rPr>
          <w:rFonts w:ascii="仿宋" w:eastAsia="仿宋" w:hAnsi="仿宋"/>
          <w:sz w:val="30"/>
          <w:szCs w:val="30"/>
        </w:rPr>
      </w:pPr>
      <w:r>
        <w:rPr>
          <w:rFonts w:ascii="仿宋" w:eastAsia="仿宋" w:hAnsi="仿宋" w:hint="eastAsia"/>
          <w:sz w:val="30"/>
          <w:szCs w:val="30"/>
        </w:rPr>
        <w:t>1、预算绩效目标编制还不够完善，科学性、合理性、严谨性和可控性有所缺乏。</w:t>
      </w:r>
    </w:p>
    <w:p>
      <w:pPr>
        <w:adjustRightInd w:val="0"/>
        <w:snapToGrid w:val="0"/>
        <w:spacing w:line="600" w:lineRule="exact"/>
        <w:ind w:firstLine="720"/>
        <w:rPr>
          <w:rFonts w:ascii="仿宋" w:eastAsia="仿宋" w:hAnsi="仿宋"/>
          <w:sz w:val="30"/>
          <w:szCs w:val="30"/>
        </w:rPr>
      </w:pPr>
      <w:r>
        <w:rPr>
          <w:rFonts w:ascii="仿宋" w:eastAsia="仿宋" w:hAnsi="仿宋" w:hint="eastAsia"/>
          <w:sz w:val="30"/>
          <w:szCs w:val="30"/>
        </w:rPr>
        <w:t>2、在资金安排和使用上，及时性和规范性还有待加强。</w:t>
      </w:r>
    </w:p>
    <w:p>
      <w:pPr>
        <w:numPr>
          <w:ilvl w:val="0"/>
          <w:numId w:val="6"/>
        </w:numPr>
        <w:ind w:left="0" w:firstLine="720"/>
        <w:rPr>
          <w:rFonts w:ascii="楷体_GB2312" w:eastAsia="楷体_GB2312" w:hAnsi="宋体"/>
          <w:b/>
          <w:sz w:val="30"/>
          <w:szCs w:val="30"/>
          <w:lang w:val="zh-CN"/>
        </w:rPr>
      </w:pPr>
      <w:r>
        <w:rPr>
          <w:rFonts w:ascii="楷体_GB2312" w:eastAsia="楷体_GB2312" w:hAnsi="宋体" w:hint="eastAsia"/>
          <w:b/>
          <w:sz w:val="30"/>
          <w:szCs w:val="30"/>
          <w:lang w:val="zh-CN"/>
        </w:rPr>
        <w:t>相关建议。</w:t>
      </w:r>
    </w:p>
    <w:p>
      <w:pPr>
        <w:adjustRightInd w:val="0"/>
        <w:snapToGrid w:val="0"/>
        <w:spacing w:line="600" w:lineRule="exact"/>
        <w:ind w:firstLine="720"/>
        <w:rPr>
          <w:rFonts w:ascii="仿宋" w:eastAsia="仿宋" w:hAnsi="仿宋"/>
          <w:sz w:val="30"/>
          <w:szCs w:val="30"/>
        </w:rPr>
      </w:pPr>
      <w:r>
        <w:rPr>
          <w:rFonts w:ascii="仿宋" w:eastAsia="仿宋" w:hAnsi="仿宋" w:hint="eastAsia"/>
          <w:sz w:val="30"/>
          <w:szCs w:val="30"/>
        </w:rPr>
        <w:t>1、加强新行政单位会计制度和预算绩效管理实施办法的学习。进一步优化预算编制，避免预算支出与实际执行出现较大偏差的现象。</w:t>
      </w:r>
    </w:p>
    <w:p>
      <w:pPr>
        <w:adjustRightInd w:val="0"/>
        <w:snapToGrid w:val="0"/>
        <w:spacing w:line="600" w:lineRule="exact"/>
        <w:ind w:firstLine="720"/>
        <w:rPr>
          <w:rFonts w:ascii="仿宋" w:eastAsia="仿宋" w:hAnsi="仿宋"/>
          <w:sz w:val="30"/>
          <w:szCs w:val="30"/>
        </w:rPr>
      </w:pPr>
      <w:r>
        <w:rPr>
          <w:rFonts w:ascii="仿宋" w:eastAsia="仿宋" w:hAnsi="仿宋" w:hint="eastAsia"/>
          <w:sz w:val="30"/>
          <w:szCs w:val="30"/>
        </w:rPr>
        <w:t>2、加强制度建设，进一步完善专项资金管理制度体系，严格资金审批程序，加大资金监管力度，严格落实资金使用用途，提高资金使用效益。</w:t>
      </w:r>
    </w:p>
    <w:p>
      <w:pPr>
        <w:pStyle w:val="27"/>
        <w:ind w:leftChars="0" w:left="0" w:firstLineChars="0" w:firstLine="0"/>
        <w:rPr>
          <w:sz w:val="30"/>
          <w:szCs w:val="30"/>
        </w:rPr>
      </w:pPr>
    </w:p>
    <w:p>
      <w:pPr>
        <w:widowControl/>
        <w:jc w:val="left"/>
        <w:rPr>
          <w:rFonts w:ascii="仿宋_GB2312" w:eastAsia="仿宋_GB2312"/>
          <w:b/>
          <w:sz w:val="32"/>
          <w:szCs w:val="32"/>
        </w:rPr>
        <w:sectPr>
          <w:pgSz w:w="11906" w:h="16838"/>
          <w:pgMar w:top="2098" w:right="1474" w:bottom="1984" w:left="1587" w:header="851" w:footer="992" w:gutter="0"/>
          <w:cols w:num="1" w:space="0"/>
          <w:titlePg/>
          <w:docGrid w:type="lines" w:linePitch="312" w:charSpace="0"/>
        </w:sectPr>
      </w:pPr>
    </w:p>
    <w:tbl>
      <w:tblPr>
        <w:tblpPr w:leftFromText="180" w:rightFromText="180" w:vertAnchor="text" w:horzAnchor="page" w:tblpXSpec="center" w:tblpY="298"/>
        <w:tblW w:w="5532"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904"/>
        <w:gridCol w:w="1240"/>
        <w:gridCol w:w="2032"/>
        <w:gridCol w:w="3229"/>
        <w:gridCol w:w="637"/>
        <w:gridCol w:w="1828"/>
        <w:gridCol w:w="442"/>
        <w:gridCol w:w="944"/>
        <w:gridCol w:w="537"/>
        <w:gridCol w:w="433"/>
        <w:gridCol w:w="2124"/>
      </w:tblGrid>
      <w:tr>
        <w:trPr>
          <w:trHeight w:val="171"/>
        </w:trPr>
        <w:tc>
          <w:tcPr>
            <w:tcW w:w="315" w:type="pct"/>
            <w:tcBorders>
              <w:top w:val="nil"/>
              <w:left w:val="nil"/>
              <w:bottom w:val="nil"/>
              <w:right w:val="nil"/>
            </w:tcBorders>
            <w:shd w:val="clear" w:color="auto" w:fill="auto"/>
            <w:noWrap/>
            <w:vAlign w:val="center"/>
          </w:tcPr>
          <w:p>
            <w:pPr>
              <w:widowControl/>
              <w:jc w:val="left"/>
              <w:rPr>
                <w:rFonts w:ascii="黑体" w:eastAsia="黑体" w:cs="宋体" w:hAnsi="宋体"/>
                <w:color w:val="000000"/>
                <w:kern w:val="0"/>
                <w:sz w:val="22"/>
                <w:szCs w:val="22"/>
              </w:rPr>
            </w:pPr>
            <w:r>
              <w:rPr>
                <w:rFonts w:ascii="黑体" w:eastAsia="黑体" w:cs="宋体" w:hAnsi="宋体" w:hint="eastAsia"/>
                <w:color w:val="000000"/>
                <w:kern w:val="0"/>
                <w:sz w:val="22"/>
                <w:szCs w:val="22"/>
              </w:rPr>
              <w:t>附件4</w:t>
            </w:r>
          </w:p>
        </w:tc>
        <w:tc>
          <w:tcPr>
            <w:tcW w:w="431" w:type="pct"/>
            <w:tcBorders>
              <w:top w:val="nil"/>
              <w:left w:val="nil"/>
              <w:bottom w:val="nil"/>
              <w:right w:val="nil"/>
            </w:tcBorders>
            <w:shd w:val="clear" w:color="auto" w:fill="auto"/>
            <w:noWrap/>
            <w:vAlign w:val="center"/>
          </w:tcPr>
          <w:p>
            <w:pPr>
              <w:widowControl/>
              <w:jc w:val="left"/>
              <w:rPr>
                <w:rFonts w:ascii="宋体" w:cs="宋体" w:hAnsi="宋体"/>
                <w:color w:val="FF0000"/>
                <w:kern w:val="0"/>
                <w:sz w:val="22"/>
                <w:szCs w:val="22"/>
              </w:rPr>
            </w:pPr>
          </w:p>
        </w:tc>
        <w:tc>
          <w:tcPr>
            <w:tcW w:w="70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125"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221"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637"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53"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32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87"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51"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73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341"/>
        </w:trPr>
        <w:tc>
          <w:tcPr>
            <w:tcW w:w="5000" w:type="pct"/>
            <w:gridSpan w:val="11"/>
            <w:tcBorders>
              <w:top w:val="nil"/>
              <w:left w:val="nil"/>
              <w:bottom w:val="nil"/>
              <w:right w:val="nil"/>
            </w:tcBorders>
            <w:shd w:val="clear" w:color="auto" w:fill="auto"/>
            <w:vAlign w:val="center"/>
          </w:tcPr>
          <w:p>
            <w:pPr>
              <w:widowControl/>
              <w:jc w:val="center"/>
              <w:rPr>
                <w:rFonts w:ascii="方正小标宋简体" w:eastAsia="方正小标宋简体" w:cs="宋体" w:hAnsi="宋体"/>
                <w:color w:val="000000"/>
                <w:kern w:val="0"/>
                <w:sz w:val="32"/>
                <w:szCs w:val="32"/>
              </w:rPr>
            </w:pPr>
            <w:r>
              <w:rPr>
                <w:rFonts w:ascii="方正小标宋简体" w:eastAsia="方正小标宋简体" w:cs="宋体" w:hAnsi="宋体" w:hint="eastAsia"/>
                <w:color w:val="000000"/>
                <w:kern w:val="0"/>
                <w:sz w:val="32"/>
                <w:szCs w:val="32"/>
              </w:rPr>
              <w:t>部门预算、专项资金预算项目支出绩效目标自评表（2022年度）</w:t>
            </w:r>
          </w:p>
        </w:tc>
      </w:tr>
      <w:tr>
        <w:trPr>
          <w:trHeight w:val="190"/>
        </w:trPr>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项目名称</w:t>
            </w:r>
          </w:p>
        </w:tc>
        <w:tc>
          <w:tcPr>
            <w:tcW w:w="4252" w:type="pct"/>
            <w:gridSpan w:val="9"/>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安全专项及常态化巡查经费</w:t>
            </w:r>
          </w:p>
        </w:tc>
      </w:tr>
      <w:tr>
        <w:trPr>
          <w:trHeight w:val="350"/>
        </w:trPr>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主管部门</w:t>
            </w:r>
          </w:p>
        </w:tc>
        <w:tc>
          <w:tcPr>
            <w:tcW w:w="2846" w:type="pct"/>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3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xml:space="preserve">实施单位 </w:t>
            </w:r>
          </w:p>
        </w:tc>
        <w:tc>
          <w:tcPr>
            <w:tcW w:w="1077"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区应急管理局</w:t>
            </w:r>
          </w:p>
        </w:tc>
      </w:tr>
      <w:tr>
        <w:trPr>
          <w:trHeight w:val="180"/>
        </w:trPr>
        <w:tc>
          <w:tcPr>
            <w:tcW w:w="315"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项目基本情况</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1.项目年度目标完成情况</w:t>
            </w:r>
          </w:p>
        </w:tc>
        <w:tc>
          <w:tcPr>
            <w:tcW w:w="2846" w:type="pct"/>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项目年度目标</w:t>
            </w:r>
          </w:p>
        </w:tc>
        <w:tc>
          <w:tcPr>
            <w:tcW w:w="1405" w:type="pct"/>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年度目标完成情况</w:t>
            </w:r>
          </w:p>
        </w:tc>
      </w:tr>
      <w:tr>
        <w:trPr>
          <w:trHeight w:val="2039"/>
        </w:trPr>
        <w:tc>
          <w:tcPr>
            <w:tcW w:w="315" w:type="pct"/>
            <w:vMerge/>
            <w:tcBorders>
              <w:top w:val="nil"/>
              <w:left w:val="single" w:sz="4" w:space="0" w:color="auto"/>
              <w:bottom w:val="single" w:sz="4" w:space="0" w:color="auto"/>
              <w:right w:val="single" w:sz="4" w:space="0" w:color="auto"/>
            </w:tcBorders>
            <w:vAlign w:val="center"/>
          </w:tcPr>
          <w:p/>
        </w:tc>
        <w:tc>
          <w:tcPr>
            <w:tcW w:w="431" w:type="pct"/>
            <w:vMerge/>
            <w:tcBorders>
              <w:top w:val="nil"/>
              <w:left w:val="single" w:sz="4" w:space="0" w:color="auto"/>
              <w:bottom w:val="single" w:sz="4" w:space="0" w:color="auto"/>
              <w:right w:val="single" w:sz="4" w:space="0" w:color="auto"/>
            </w:tcBorders>
            <w:vAlign w:val="center"/>
          </w:tcPr>
          <w:p/>
        </w:tc>
        <w:tc>
          <w:tcPr>
            <w:tcW w:w="2846"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安全专项方面：为推动经济高质量发展，保障3月安全生产警示月、百日安全无事故、6月安全生产月（启动仪式及咨询日）、安全生产法宣传周等活动，开展全区安全生产督查安全生产巡查，迎接国家、省、市安全生产年终考核、年度巡查及专项督查，配合省应急管理厅开展矿山检查等工作的顺利推进，及时反应安全生产、民生状况发展趋势等，提供决策参考建议和科学准确的数据。</w:t>
              <w:br/>
              <w:t>安全常态化方面：顺利通过国家、省、市安全生产工作验收、督查、巡查及年度安全生党政同责考核工作，指导协调好重点行业领域安全生产综合监管工作，进一步提升安全生产水平。</w:t>
            </w:r>
          </w:p>
        </w:tc>
        <w:tc>
          <w:tcPr>
            <w:tcW w:w="1405" w:type="pct"/>
            <w:gridSpan w:val="4"/>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安全专项方面：全年开展3月安全生产警示月、百日安全无事故、6月安全生产月（启动仪式及咨询日）、安全生产法宣传周等活动，宣传对象达10余万人次；开展覆盖全区的安全生产督查2次，迎接省、市安全生产督查8次；安全生产培训涉及各乡镇街道、区级重点部门分管负责人及工作人员，监管能力水平整体提高。</w:t>
              <w:br/>
              <w:t>安全常态化方面：顺利迎接省、市督查和安全生产党政同责考核工作；全年发生生产安全事故4起、死亡4人，与2021年相比均下降60%，全区安全生产形势持续稳定向好。</w:t>
            </w:r>
          </w:p>
        </w:tc>
      </w:tr>
      <w:tr>
        <w:trPr>
          <w:trHeight w:val="857"/>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2.项目实施内容及过程概述</w:t>
            </w:r>
          </w:p>
        </w:tc>
        <w:tc>
          <w:tcPr>
            <w:tcW w:w="4252" w:type="pct"/>
            <w:gridSpan w:val="9"/>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安全专项方面：全年开展3月安全生产警示月、百日安全无事故、6月安全生产月（启动仪式及咨询日）、安全生产法宣传周等活动，宣传对象达10余万人次；开展覆盖全区的安全生产督查2次，迎接省、市安全生产督查8次；安全生产培训涉及各乡镇街道、区级重点部门分管负责人及工作人员，监管能力水平整体提高。</w:t>
              <w:br/>
              <w:t>安全常态化方面：顺利迎接省、市督查和安全生产党政同责考核工作；全年发生生产安全事故4起、死亡4人，与2021年相比均下降60%，全区安全生产形势持续稳定向好。</w:t>
            </w:r>
          </w:p>
        </w:tc>
      </w:tr>
      <w:tr>
        <w:trPr>
          <w:trHeight w:val="519"/>
        </w:trPr>
        <w:tc>
          <w:tcPr>
            <w:tcW w:w="315"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预算执行情况</w:t>
              <w:br/>
              <w:t>（10分）</w:t>
            </w:r>
          </w:p>
        </w:tc>
        <w:tc>
          <w:tcPr>
            <w:tcW w:w="4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年度预算数</w:t>
              <w:br/>
              <w:t>（万元）</w:t>
            </w:r>
          </w:p>
        </w:tc>
        <w:tc>
          <w:tcPr>
            <w:tcW w:w="70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年初预算</w:t>
            </w:r>
          </w:p>
        </w:tc>
        <w:tc>
          <w:tcPr>
            <w:tcW w:w="112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调整后预算数</w:t>
            </w:r>
          </w:p>
        </w:tc>
        <w:tc>
          <w:tcPr>
            <w:tcW w:w="101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预算执行数</w:t>
            </w:r>
          </w:p>
        </w:tc>
        <w:tc>
          <w:tcPr>
            <w:tcW w:w="3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预算执行率</w:t>
            </w:r>
          </w:p>
        </w:tc>
        <w:tc>
          <w:tcPr>
            <w:tcW w:w="18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73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原因</w:t>
            </w:r>
          </w:p>
        </w:tc>
      </w:tr>
      <w:tr>
        <w:trPr>
          <w:trHeight w:val="18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总额</w:t>
            </w:r>
          </w:p>
        </w:tc>
        <w:tc>
          <w:tcPr>
            <w:tcW w:w="70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670,000.00</w:t>
            </w:r>
          </w:p>
        </w:tc>
        <w:tc>
          <w:tcPr>
            <w:tcW w:w="112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1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670,000.00</w:t>
            </w:r>
          </w:p>
        </w:tc>
        <w:tc>
          <w:tcPr>
            <w:tcW w:w="3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8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738"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5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其中：财政资金</w:t>
            </w:r>
          </w:p>
        </w:tc>
        <w:tc>
          <w:tcPr>
            <w:tcW w:w="70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670,000.00</w:t>
            </w:r>
          </w:p>
        </w:tc>
        <w:tc>
          <w:tcPr>
            <w:tcW w:w="112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1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670,000.00</w:t>
            </w:r>
          </w:p>
        </w:tc>
        <w:tc>
          <w:tcPr>
            <w:tcW w:w="3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8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38" w:type="pct"/>
            <w:vMerge/>
            <w:tcBorders>
              <w:top w:val="nil"/>
              <w:left w:val="single" w:sz="4" w:space="0" w:color="auto"/>
              <w:bottom w:val="single" w:sz="4" w:space="0" w:color="auto"/>
              <w:right w:val="single" w:sz="4" w:space="0" w:color="auto"/>
            </w:tcBorders>
            <w:vAlign w:val="center"/>
          </w:tcPr>
          <w:p/>
        </w:tc>
      </w:tr>
      <w:tr>
        <w:trPr>
          <w:trHeight w:val="35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财政专户管理资金</w:t>
            </w:r>
          </w:p>
        </w:tc>
        <w:tc>
          <w:tcPr>
            <w:tcW w:w="70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12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1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38" w:type="pct"/>
            <w:vMerge/>
            <w:tcBorders>
              <w:top w:val="nil"/>
              <w:left w:val="single" w:sz="4" w:space="0" w:color="auto"/>
              <w:bottom w:val="single" w:sz="4" w:space="0" w:color="auto"/>
              <w:right w:val="single" w:sz="4" w:space="0" w:color="auto"/>
            </w:tcBorders>
            <w:vAlign w:val="center"/>
          </w:tcPr>
          <w:p/>
        </w:tc>
      </w:tr>
      <w:tr>
        <w:trPr>
          <w:trHeight w:val="18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单位资金</w:t>
            </w:r>
          </w:p>
        </w:tc>
        <w:tc>
          <w:tcPr>
            <w:tcW w:w="70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12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1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38" w:type="pct"/>
            <w:vMerge/>
            <w:tcBorders>
              <w:top w:val="nil"/>
              <w:left w:val="single" w:sz="4" w:space="0" w:color="auto"/>
              <w:bottom w:val="single" w:sz="4" w:space="0" w:color="auto"/>
              <w:right w:val="single" w:sz="4" w:space="0" w:color="auto"/>
            </w:tcBorders>
            <w:vAlign w:val="center"/>
          </w:tcPr>
          <w:p/>
        </w:tc>
      </w:tr>
      <w:tr>
        <w:trPr>
          <w:trHeight w:val="18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其他资金</w:t>
            </w:r>
          </w:p>
        </w:tc>
        <w:tc>
          <w:tcPr>
            <w:tcW w:w="70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12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01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3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8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38" w:type="pct"/>
            <w:vMerge/>
            <w:tcBorders>
              <w:top w:val="nil"/>
              <w:left w:val="single" w:sz="4" w:space="0" w:color="auto"/>
              <w:bottom w:val="single" w:sz="4" w:space="0" w:color="auto"/>
              <w:right w:val="single" w:sz="4" w:space="0" w:color="auto"/>
            </w:tcBorders>
            <w:vAlign w:val="center"/>
          </w:tcPr>
          <w:p/>
        </w:tc>
      </w:tr>
      <w:tr>
        <w:trPr>
          <w:trHeight w:val="687"/>
        </w:trPr>
        <w:tc>
          <w:tcPr>
            <w:tcW w:w="315"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绩效指标（90分）</w:t>
            </w:r>
          </w:p>
        </w:tc>
        <w:tc>
          <w:tcPr>
            <w:tcW w:w="4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70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112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三级指标</w:t>
            </w:r>
          </w:p>
        </w:tc>
        <w:tc>
          <w:tcPr>
            <w:tcW w:w="22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指标性质</w:t>
            </w:r>
          </w:p>
        </w:tc>
        <w:tc>
          <w:tcPr>
            <w:tcW w:w="63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指标值</w:t>
            </w:r>
          </w:p>
        </w:tc>
        <w:tc>
          <w:tcPr>
            <w:tcW w:w="15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度量单位</w:t>
            </w:r>
          </w:p>
        </w:tc>
        <w:tc>
          <w:tcPr>
            <w:tcW w:w="3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完成值</w:t>
            </w:r>
          </w:p>
        </w:tc>
        <w:tc>
          <w:tcPr>
            <w:tcW w:w="18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73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未完成原因分析</w:t>
            </w:r>
          </w:p>
        </w:tc>
      </w:tr>
      <w:tr>
        <w:trPr>
          <w:trHeight w:val="18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70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12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年度安全宣传周、警示月活动</w:t>
            </w:r>
          </w:p>
        </w:tc>
        <w:tc>
          <w:tcPr>
            <w:tcW w:w="22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637"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4</w:t>
            </w:r>
          </w:p>
        </w:tc>
        <w:tc>
          <w:tcPr>
            <w:tcW w:w="15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3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8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73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82"/>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70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12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安全启动仪式、确保宣传及时到位</w:t>
            </w:r>
          </w:p>
        </w:tc>
        <w:tc>
          <w:tcPr>
            <w:tcW w:w="22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63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确保安全生产</w:t>
            </w:r>
          </w:p>
        </w:tc>
        <w:tc>
          <w:tcPr>
            <w:tcW w:w="15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87"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73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8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70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12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根据工作进度实施</w:t>
            </w:r>
          </w:p>
        </w:tc>
        <w:tc>
          <w:tcPr>
            <w:tcW w:w="22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637"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5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月</w:t>
            </w:r>
          </w:p>
        </w:tc>
        <w:tc>
          <w:tcPr>
            <w:tcW w:w="3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8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73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8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70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112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通过宣传、演练提升群众安全意识</w:t>
            </w:r>
          </w:p>
        </w:tc>
        <w:tc>
          <w:tcPr>
            <w:tcW w:w="22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63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5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8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73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8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70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112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通过宣传、减少群众经济损失</w:t>
            </w:r>
          </w:p>
        </w:tc>
        <w:tc>
          <w:tcPr>
            <w:tcW w:w="22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63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较大优化</w:t>
            </w:r>
          </w:p>
        </w:tc>
        <w:tc>
          <w:tcPr>
            <w:tcW w:w="15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87"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73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80"/>
        </w:trPr>
        <w:tc>
          <w:tcPr>
            <w:tcW w:w="315" w:type="pct"/>
            <w:vMerge/>
            <w:tcBorders>
              <w:top w:val="nil"/>
              <w:left w:val="single" w:sz="4" w:space="0" w:color="auto"/>
              <w:bottom w:val="single" w:sz="4" w:space="0" w:color="auto"/>
              <w:right w:val="single" w:sz="4" w:space="0" w:color="auto"/>
            </w:tcBorders>
            <w:vAlign w:val="center"/>
          </w:tcPr>
          <w:p/>
        </w:tc>
        <w:tc>
          <w:tcPr>
            <w:tcW w:w="4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70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12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我区事故隐患逐年降低</w:t>
            </w:r>
          </w:p>
        </w:tc>
        <w:tc>
          <w:tcPr>
            <w:tcW w:w="22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63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隐患排查深入推进</w:t>
            </w:r>
          </w:p>
        </w:tc>
        <w:tc>
          <w:tcPr>
            <w:tcW w:w="15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8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73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80"/>
        </w:trPr>
        <w:tc>
          <w:tcPr>
            <w:tcW w:w="315"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w:t>
            </w:r>
          </w:p>
        </w:tc>
        <w:tc>
          <w:tcPr>
            <w:tcW w:w="4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70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112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相关对象满意度</w:t>
            </w:r>
          </w:p>
        </w:tc>
        <w:tc>
          <w:tcPr>
            <w:tcW w:w="22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637"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5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3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8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5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73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80"/>
        </w:trPr>
        <w:tc>
          <w:tcPr>
            <w:tcW w:w="392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合计</w:t>
            </w:r>
          </w:p>
        </w:tc>
        <w:tc>
          <w:tcPr>
            <w:tcW w:w="187"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90</w:t>
            </w:r>
          </w:p>
        </w:tc>
        <w:tc>
          <w:tcPr>
            <w:tcW w:w="151" w:type="pct"/>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85</w:t>
            </w:r>
          </w:p>
        </w:tc>
        <w:tc>
          <w:tcPr>
            <w:tcW w:w="738"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50"/>
        </w:trPr>
        <w:tc>
          <w:tcPr>
            <w:tcW w:w="315"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自评结论</w:t>
            </w:r>
          </w:p>
        </w:tc>
        <w:tc>
          <w:tcPr>
            <w:tcW w:w="4684" w:type="pct"/>
            <w:gridSpan w:val="10"/>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 xml:space="preserve"> 项目支出绩效目标设置了数量、质量、经济效益、社会效益、可持续影响、服务满意度等指标。通过绩效自评，年初设置的绩效目标已基本完成，自评分95分。</w:t>
            </w:r>
          </w:p>
        </w:tc>
      </w:tr>
      <w:tr>
        <w:trPr>
          <w:trHeight w:val="350"/>
        </w:trPr>
        <w:tc>
          <w:tcPr>
            <w:tcW w:w="315"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自评存在问题</w:t>
            </w:r>
          </w:p>
        </w:tc>
        <w:tc>
          <w:tcPr>
            <w:tcW w:w="4684" w:type="pct"/>
            <w:gridSpan w:val="10"/>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1、预算绩效目标编制还不够完善，科学性、合理性、严谨性和可控性有所缺乏。</w:t>
              <w:br/>
              <w:t>2、在资金安排和使用上，及时性和规范性还有待加强。</w:t>
            </w:r>
          </w:p>
        </w:tc>
      </w:tr>
      <w:tr>
        <w:trPr>
          <w:trHeight w:val="350"/>
        </w:trPr>
        <w:tc>
          <w:tcPr>
            <w:tcW w:w="315"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自评改进措施</w:t>
            </w:r>
          </w:p>
        </w:tc>
        <w:tc>
          <w:tcPr>
            <w:tcW w:w="4684" w:type="pct"/>
            <w:gridSpan w:val="10"/>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1、加强新行政单位会计制度和预算绩效管理实施办法的学习。进一步优化预算编制，避免预算支出与实际执行出现较大偏差的现象。</w:t>
              <w:br/>
              <w:t>2、加强制度建设，进一步完善专项资金管理制度体系，严格资金审批程序，加大资金监管力度，严格落实资金使用用途，提高资金使用效益。</w:t>
            </w:r>
          </w:p>
        </w:tc>
      </w:tr>
      <w:tr>
        <w:trPr>
          <w:trHeight w:val="191"/>
        </w:trPr>
        <w:tc>
          <w:tcPr>
            <w:tcW w:w="280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项目负责人：</w:t>
            </w:r>
          </w:p>
        </w:tc>
        <w:tc>
          <w:tcPr>
            <w:tcW w:w="2197" w:type="pct"/>
            <w:gridSpan w:val="6"/>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财务负责人：</w:t>
            </w:r>
          </w:p>
        </w:tc>
      </w:tr>
    </w:tbl>
    <w:p>
      <w:pPr>
        <w:pStyle w:val="15"/>
        <w:spacing w:beforeLines="0" w:before="30" w:line="400" w:lineRule="exact"/>
      </w:pPr>
    </w:p>
    <w:p>
      <w:pPr>
        <w:pStyle w:val="15"/>
        <w:spacing w:beforeLines="0" w:before="30" w:line="400" w:lineRule="exact"/>
      </w:pPr>
    </w:p>
    <w:p>
      <w:pPr>
        <w:pStyle w:val="15"/>
        <w:spacing w:beforeLines="0" w:before="30" w:line="400" w:lineRule="exact"/>
        <w:sectPr>
          <w:pgSz w:w="16838" w:h="11906" w:orient="landscape"/>
          <w:pgMar w:top="1587" w:right="2098" w:bottom="1474" w:left="1984" w:header="851" w:footer="992" w:gutter="0"/>
          <w:cols w:num="1" w:space="0"/>
          <w:titlePg/>
          <w:docGrid w:type="lines" w:linePitch="312" w:charSpace="0"/>
        </w:sectPr>
      </w:pP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2022年森林防火及生物病虫害经费项目支出绩效自评报告</w:t>
      </w:r>
    </w:p>
    <w:p>
      <w:pPr>
        <w:spacing w:line="576" w:lineRule="exact"/>
        <w:ind w:firstLineChars="200" w:firstLine="640"/>
        <w:rPr>
          <w:rFonts w:ascii="方正仿宋简体" w:eastAsia="方正仿宋简体" w:cs="方正仿宋简体" w:hAnsi="方正仿宋简体"/>
          <w:sz w:val="32"/>
          <w:szCs w:val="32"/>
        </w:rPr>
      </w:pPr>
    </w:p>
    <w:p>
      <w:pPr>
        <w:spacing w:line="55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一、项目概况</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区森林防灭火指挥部办公室主要承担指挥部日常沟通、联络、协调工作。承办相关会议、文件起草、议定事项跟踪督办。研究提出区指挥部年度工作要点和任务分工方案的建议,督促工作落实，开展挂牌督办、通报和约谈；传达贯彻落实国家、省、市和区领导指示批示精神以及国家、省、市和区指挥部的决策部署,调度火灾扑救情况，向成员单位、专家组通报灾情信息。指导、督促各地组织开展火灾预防、分析和研判灾情发展动态,落实应急处置措施。协调有关方面做好受灾群众的救助工作；按授权组织开展或指导督促乡镇（街道）依法开展灾后调查评估、查处火灾案件和追责问责；统计、整理森林火灾情况并归档。</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（一）项目资金申报及批复情况。</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该森林防火抢险救灾是指区级财政年初预算安排，主要用于加强农林资源保护，强化自然生态意识，力争森林防火防治预防无重大火灾发生。</w:t>
      </w:r>
    </w:p>
    <w:p>
      <w:pPr>
        <w:spacing w:line="55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二、专项资金使用及管理情况</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2022年底申请到森林防火抢险救灾专项资金 1万元，资金管理规范专款专用，资金使用与申报计划完全相符，合理、合法、合规。</w:t>
      </w:r>
    </w:p>
    <w:p>
      <w:pPr>
        <w:spacing w:line="55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三、项目绩效情况</w:t>
        <w:tab/>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（一）项目完成情况。</w:t>
      </w:r>
    </w:p>
    <w:p>
      <w:pPr>
        <w:overflowPunct w:val="0"/>
        <w:spacing w:line="550" w:lineRule="exact"/>
        <w:ind w:firstLineChars="200" w:firstLine="640"/>
        <w:rPr>
          <w:rFonts w:ascii="宋体" w:cs="仿宋_GB2312" w:hAnsi="宋体"/>
          <w:kern w:val="0"/>
          <w:sz w:val="32"/>
          <w:szCs w:val="32"/>
        </w:rPr>
      </w:pPr>
      <w:r>
        <w:rPr>
          <w:rFonts w:ascii="宋体" w:eastAsia="方正仿宋简体" w:cs="仿宋_GB2312" w:hAnsi="宋体" w:hint="eastAsia"/>
          <w:kern w:val="0"/>
          <w:sz w:val="32"/>
          <w:szCs w:val="32"/>
        </w:rPr>
        <w:t>2022年召开区委常委会会议4次</w:t>
      </w:r>
      <w:r>
        <w:rPr>
          <w:rFonts w:ascii="宋体" w:cs="仿宋_GB2312" w:hAnsi="宋体" w:hint="eastAsia"/>
          <w:kern w:val="0"/>
          <w:sz w:val="32"/>
          <w:szCs w:val="32"/>
        </w:rPr>
        <w:t>、</w:t>
      </w:r>
      <w:r>
        <w:rPr>
          <w:rFonts w:ascii="宋体" w:eastAsia="方正仿宋简体" w:cs="仿宋_GB2312" w:hAnsi="宋体" w:hint="eastAsia"/>
          <w:kern w:val="0"/>
          <w:sz w:val="32"/>
          <w:szCs w:val="32"/>
        </w:rPr>
        <w:t>区政府常务会议5次</w:t>
      </w:r>
      <w:r>
        <w:rPr>
          <w:rFonts w:ascii="宋体" w:cs="仿宋_GB2312" w:hAnsi="宋体" w:hint="eastAsia"/>
          <w:kern w:val="0"/>
          <w:sz w:val="32"/>
          <w:szCs w:val="32"/>
        </w:rPr>
        <w:t>、</w:t>
      </w:r>
      <w:r>
        <w:rPr>
          <w:rFonts w:ascii="宋体" w:eastAsia="方正仿宋简体" w:cs="仿宋_GB2312" w:hAnsi="宋体" w:hint="eastAsia"/>
          <w:kern w:val="0"/>
          <w:sz w:val="32"/>
          <w:szCs w:val="32"/>
        </w:rPr>
        <w:t>区森防指全体会议7次</w:t>
      </w:r>
      <w:r>
        <w:rPr>
          <w:rFonts w:ascii="宋体" w:cs="仿宋_GB2312" w:hAnsi="宋体" w:hint="eastAsia"/>
          <w:kern w:val="0"/>
          <w:sz w:val="32"/>
          <w:szCs w:val="32"/>
        </w:rPr>
        <w:t>、</w:t>
      </w:r>
      <w:r>
        <w:rPr>
          <w:rFonts w:ascii="宋体" w:eastAsia="方正仿宋简体" w:cs="仿宋_GB2312" w:hAnsi="宋体" w:hint="eastAsia"/>
          <w:kern w:val="0"/>
          <w:sz w:val="32"/>
          <w:szCs w:val="32"/>
        </w:rPr>
        <w:t>区森防指周调度会议15次</w:t>
      </w:r>
      <w:r>
        <w:rPr>
          <w:rFonts w:ascii="宋体" w:cs="仿宋_GB2312" w:hAnsi="宋体" w:hint="eastAsia"/>
          <w:kern w:val="0"/>
          <w:sz w:val="32"/>
          <w:szCs w:val="32"/>
        </w:rPr>
        <w:t>，</w:t>
      </w:r>
      <w:r>
        <w:rPr>
          <w:rFonts w:ascii="宋体" w:eastAsia="方正仿宋简体" w:cs="仿宋_GB2312" w:hAnsi="宋体" w:hint="eastAsia"/>
          <w:kern w:val="0"/>
          <w:sz w:val="32"/>
          <w:szCs w:val="32"/>
        </w:rPr>
        <w:t>全面学习贯彻习近平总书记关于森林草原防灭火工作重要指示批示精神和党</w:t>
      </w:r>
      <w:r>
        <w:rPr>
          <w:rFonts w:ascii="宋体" w:eastAsia="方正仿宋简体" w:cs="方正仿宋简体" w:hAnsi="宋体" w:hint="eastAsia"/>
          <w:sz w:val="32"/>
          <w:szCs w:val="32"/>
        </w:rPr>
        <w:t>中央国务院</w:t>
      </w:r>
      <w:r>
        <w:rPr>
          <w:rFonts w:ascii="宋体" w:cs="方正仿宋简体" w:hAnsi="宋体" w:hint="eastAsia"/>
          <w:sz w:val="32"/>
          <w:szCs w:val="32"/>
        </w:rPr>
        <w:t>、</w:t>
      </w:r>
      <w:r>
        <w:rPr>
          <w:rFonts w:ascii="宋体" w:eastAsia="方正仿宋简体" w:cs="方正仿宋简体" w:hAnsi="宋体" w:hint="eastAsia"/>
          <w:sz w:val="32"/>
          <w:szCs w:val="32"/>
        </w:rPr>
        <w:t>省委省政府</w:t>
      </w:r>
      <w:r>
        <w:rPr>
          <w:rFonts w:ascii="宋体" w:cs="方正仿宋简体" w:hAnsi="宋体" w:hint="eastAsia"/>
          <w:sz w:val="32"/>
          <w:szCs w:val="32"/>
        </w:rPr>
        <w:t>、</w:t>
      </w:r>
      <w:r>
        <w:rPr>
          <w:rFonts w:ascii="宋体" w:eastAsia="方正仿宋简体" w:cs="方正仿宋简体" w:hAnsi="宋体" w:hint="eastAsia"/>
          <w:sz w:val="32"/>
          <w:szCs w:val="32"/>
        </w:rPr>
        <w:t>市委市政府关于森林草原防灭火工作决策部署</w:t>
      </w:r>
      <w:r>
        <w:rPr>
          <w:rFonts w:ascii="宋体" w:cs="仿宋_GB2312" w:hAnsi="宋体" w:hint="eastAsia"/>
          <w:kern w:val="0"/>
          <w:sz w:val="32"/>
          <w:szCs w:val="32"/>
        </w:rPr>
        <w:t>。</w:t>
      </w:r>
      <w:r>
        <w:rPr>
          <w:rFonts w:ascii="宋体" w:eastAsia="方正仿宋简体" w:cs="仿宋_GB2312" w:hAnsi="宋体" w:hint="eastAsia"/>
          <w:kern w:val="0"/>
          <w:sz w:val="32"/>
          <w:szCs w:val="32"/>
        </w:rPr>
        <w:t>深刻吸取甘孜州九龙县</w:t>
      </w:r>
      <w:r>
        <w:rPr>
          <w:rFonts w:ascii="宋体" w:cs="仿宋_GB2312" w:hAnsi="宋体" w:hint="eastAsia"/>
          <w:kern w:val="0"/>
          <w:sz w:val="32"/>
          <w:szCs w:val="32"/>
        </w:rPr>
        <w:t>、</w:t>
      </w:r>
      <w:r>
        <w:rPr>
          <w:rFonts w:ascii="宋体" w:eastAsia="方正仿宋简体" w:cs="仿宋_GB2312" w:hAnsi="宋体" w:hint="eastAsia"/>
          <w:kern w:val="0"/>
          <w:sz w:val="32"/>
          <w:szCs w:val="32"/>
        </w:rPr>
        <w:t>凉山州冕宁县</w:t>
      </w:r>
      <w:r>
        <w:rPr>
          <w:rFonts w:ascii="宋体" w:cs="仿宋_GB2312" w:hAnsi="宋体" w:hint="eastAsia"/>
          <w:kern w:val="0"/>
          <w:sz w:val="32"/>
          <w:szCs w:val="32"/>
        </w:rPr>
        <w:t>、</w:t>
      </w:r>
      <w:r>
        <w:rPr>
          <w:rFonts w:ascii="宋体" w:eastAsia="方正仿宋简体" w:cs="仿宋_GB2312" w:hAnsi="宋体" w:hint="eastAsia"/>
          <w:kern w:val="0"/>
          <w:sz w:val="32"/>
          <w:szCs w:val="32"/>
        </w:rPr>
        <w:t>广安市前锋区森林火灾教训</w:t>
      </w:r>
      <w:r>
        <w:rPr>
          <w:rFonts w:ascii="宋体" w:cs="仿宋_GB2312" w:hAnsi="宋体" w:hint="eastAsia"/>
          <w:kern w:val="0"/>
          <w:sz w:val="32"/>
          <w:szCs w:val="32"/>
        </w:rPr>
        <w:t>，</w:t>
      </w:r>
      <w:r>
        <w:rPr>
          <w:rFonts w:ascii="宋体" w:eastAsia="方正仿宋简体" w:cs="仿宋_GB2312" w:hAnsi="宋体" w:hint="eastAsia"/>
          <w:kern w:val="0"/>
          <w:sz w:val="32"/>
          <w:szCs w:val="32"/>
        </w:rPr>
        <w:t>及时研究我区贯彻落实森林防灭火各项任务</w:t>
      </w:r>
      <w:r>
        <w:rPr>
          <w:rFonts w:ascii="宋体" w:cs="仿宋_GB2312" w:hAnsi="宋体" w:hint="eastAsia"/>
          <w:kern w:val="0"/>
          <w:sz w:val="32"/>
          <w:szCs w:val="32"/>
        </w:rPr>
        <w:t>。</w:t>
      </w:r>
      <w:r>
        <w:rPr>
          <w:rFonts w:ascii="宋体" w:eastAsia="方正仿宋简体" w:cs="仿宋_GB2312" w:hAnsi="宋体" w:hint="eastAsia"/>
          <w:kern w:val="0"/>
          <w:sz w:val="32"/>
          <w:szCs w:val="32"/>
        </w:rPr>
        <w:t>2022年</w:t>
      </w:r>
      <w:r>
        <w:rPr>
          <w:rFonts w:ascii="宋体" w:cs="仿宋_GB2312" w:hAnsi="宋体" w:hint="eastAsia"/>
          <w:kern w:val="0"/>
          <w:sz w:val="32"/>
          <w:szCs w:val="32"/>
        </w:rPr>
        <w:t>，</w:t>
      </w:r>
      <w:r>
        <w:rPr>
          <w:rFonts w:ascii="宋体" w:eastAsia="方正仿宋简体" w:cs="仿宋_GB2312" w:hAnsi="宋体" w:hint="eastAsia"/>
          <w:kern w:val="0"/>
          <w:sz w:val="32"/>
          <w:szCs w:val="32"/>
        </w:rPr>
        <w:t>区委</w:t>
      </w:r>
      <w:r>
        <w:rPr>
          <w:rFonts w:ascii="宋体" w:cs="仿宋_GB2312" w:hAnsi="宋体" w:hint="eastAsia"/>
          <w:kern w:val="0"/>
          <w:sz w:val="32"/>
          <w:szCs w:val="32"/>
        </w:rPr>
        <w:t>、</w:t>
      </w:r>
      <w:r>
        <w:rPr>
          <w:rFonts w:ascii="宋体" w:eastAsia="方正仿宋简体" w:cs="仿宋_GB2312" w:hAnsi="宋体" w:hint="eastAsia"/>
          <w:kern w:val="0"/>
          <w:sz w:val="32"/>
          <w:szCs w:val="32"/>
        </w:rPr>
        <w:t>区政府主要负责同志分别调研检查森林防灭火工作4次</w:t>
      </w:r>
      <w:r>
        <w:rPr>
          <w:rFonts w:ascii="宋体" w:cs="仿宋_GB2312" w:hAnsi="宋体" w:hint="eastAsia"/>
          <w:kern w:val="0"/>
          <w:sz w:val="32"/>
          <w:szCs w:val="32"/>
        </w:rPr>
        <w:t>、</w:t>
      </w:r>
      <w:r>
        <w:rPr>
          <w:rFonts w:ascii="宋体" w:eastAsia="方正仿宋简体" w:cs="仿宋_GB2312" w:hAnsi="宋体" w:hint="eastAsia"/>
          <w:kern w:val="0"/>
          <w:sz w:val="32"/>
          <w:szCs w:val="32"/>
        </w:rPr>
        <w:t>3次</w:t>
      </w:r>
      <w:r>
        <w:rPr>
          <w:rFonts w:ascii="宋体" w:cs="仿宋_GB2312" w:hAnsi="宋体" w:hint="eastAsia"/>
          <w:kern w:val="0"/>
          <w:sz w:val="32"/>
          <w:szCs w:val="32"/>
        </w:rPr>
        <w:t>，</w:t>
      </w:r>
      <w:r>
        <w:rPr>
          <w:rFonts w:ascii="宋体" w:eastAsia="方正仿宋简体" w:cs="仿宋_GB2312" w:hAnsi="宋体" w:hint="eastAsia"/>
          <w:kern w:val="0"/>
          <w:sz w:val="32"/>
          <w:szCs w:val="32"/>
        </w:rPr>
        <w:t>区委</w:t>
      </w:r>
      <w:r>
        <w:rPr>
          <w:rFonts w:ascii="宋体" w:cs="仿宋_GB2312" w:hAnsi="宋体" w:hint="eastAsia"/>
          <w:kern w:val="0"/>
          <w:sz w:val="32"/>
          <w:szCs w:val="32"/>
        </w:rPr>
        <w:t>、</w:t>
      </w:r>
      <w:r>
        <w:rPr>
          <w:rFonts w:ascii="宋体" w:eastAsia="方正仿宋简体" w:cs="仿宋_GB2312" w:hAnsi="宋体" w:hint="eastAsia"/>
          <w:kern w:val="0"/>
          <w:sz w:val="32"/>
          <w:szCs w:val="32"/>
        </w:rPr>
        <w:t>区政府分管负责同志分别调研检查森林防灭火工作14次</w:t>
      </w:r>
      <w:r>
        <w:rPr>
          <w:rFonts w:ascii="宋体" w:cs="仿宋_GB2312" w:hAnsi="宋体" w:hint="eastAsia"/>
          <w:kern w:val="0"/>
          <w:sz w:val="32"/>
          <w:szCs w:val="32"/>
        </w:rPr>
        <w:t>、</w:t>
      </w:r>
      <w:r>
        <w:rPr>
          <w:rFonts w:ascii="宋体" w:eastAsia="方正仿宋简体" w:cs="仿宋_GB2312" w:hAnsi="宋体" w:hint="eastAsia"/>
          <w:kern w:val="0"/>
          <w:sz w:val="32"/>
          <w:szCs w:val="32"/>
        </w:rPr>
        <w:t>17次</w:t>
      </w:r>
      <w:r>
        <w:rPr>
          <w:rFonts w:ascii="宋体" w:cs="仿宋_GB2312" w:hAnsi="宋体" w:hint="eastAsia"/>
          <w:kern w:val="0"/>
          <w:sz w:val="32"/>
          <w:szCs w:val="32"/>
        </w:rPr>
        <w:t>，</w:t>
      </w:r>
      <w:r>
        <w:rPr>
          <w:rFonts w:ascii="宋体" w:eastAsia="方正仿宋简体" w:cs="仿宋_GB2312" w:hAnsi="宋体" w:hint="eastAsia"/>
          <w:kern w:val="0"/>
          <w:sz w:val="32"/>
          <w:szCs w:val="32"/>
        </w:rPr>
        <w:t>有职责分工的领导班子成员调研检查70次</w:t>
      </w:r>
      <w:r>
        <w:rPr>
          <w:rFonts w:ascii="宋体" w:cs="仿宋_GB2312" w:hAnsi="宋体" w:hint="eastAsia"/>
          <w:kern w:val="0"/>
          <w:sz w:val="32"/>
          <w:szCs w:val="32"/>
        </w:rPr>
        <w:t>，</w:t>
      </w:r>
      <w:r>
        <w:rPr>
          <w:rFonts w:ascii="宋体" w:eastAsia="方正仿宋简体" w:cs="仿宋_GB2312" w:hAnsi="宋体" w:hint="eastAsia"/>
          <w:kern w:val="0"/>
          <w:sz w:val="32"/>
          <w:szCs w:val="32"/>
        </w:rPr>
        <w:t>全面落实森林防灭火职责</w:t>
      </w:r>
      <w:r>
        <w:rPr>
          <w:rFonts w:ascii="宋体" w:cs="仿宋_GB2312" w:hAnsi="宋体" w:hint="eastAsia"/>
          <w:kern w:val="0"/>
          <w:sz w:val="32"/>
          <w:szCs w:val="32"/>
        </w:rPr>
        <w:t>。</w:t>
      </w:r>
    </w:p>
    <w:p>
      <w:pPr>
        <w:overflowPunct w:val="0"/>
        <w:spacing w:line="550" w:lineRule="exact"/>
        <w:ind w:firstLineChars="200" w:firstLine="640"/>
        <w:rPr>
          <w:rFonts w:ascii="宋体" w:eastAsia="方正仿宋简体" w:cs="仿宋_GB2312" w:hAnsi="宋体"/>
          <w:kern w:val="0"/>
          <w:sz w:val="32"/>
          <w:szCs w:val="32"/>
        </w:rPr>
      </w:pPr>
      <w:r>
        <w:rPr>
          <w:rFonts w:ascii="宋体" w:eastAsia="方正仿宋简体" w:cs="仿宋_GB2312" w:hAnsi="宋体" w:hint="eastAsia"/>
          <w:kern w:val="0"/>
          <w:sz w:val="32"/>
          <w:szCs w:val="32"/>
        </w:rPr>
        <w:t>以</w:t>
      </w:r>
      <w:r>
        <w:rPr>
          <w:rFonts w:ascii="宋体" w:cs="仿宋_GB2312" w:hAnsi="宋体" w:hint="eastAsia"/>
          <w:kern w:val="0"/>
          <w:sz w:val="32"/>
          <w:szCs w:val="32"/>
        </w:rPr>
        <w:t>“</w:t>
      </w:r>
      <w:r>
        <w:rPr>
          <w:rFonts w:ascii="宋体" w:eastAsia="方正仿宋简体" w:cs="仿宋_GB2312" w:hAnsi="宋体" w:hint="eastAsia"/>
          <w:kern w:val="0"/>
          <w:sz w:val="32"/>
          <w:szCs w:val="32"/>
        </w:rPr>
        <w:t>三单一书</w:t>
      </w:r>
      <w:r>
        <w:rPr>
          <w:rFonts w:ascii="宋体" w:cs="仿宋_GB2312" w:hAnsi="宋体" w:hint="eastAsia"/>
          <w:kern w:val="0"/>
          <w:sz w:val="32"/>
          <w:szCs w:val="32"/>
        </w:rPr>
        <w:t>”</w:t>
      </w:r>
      <w:r>
        <w:rPr>
          <w:rFonts w:ascii="宋体" w:eastAsia="方正仿宋简体" w:cs="仿宋_GB2312" w:hAnsi="宋体" w:hint="eastAsia"/>
          <w:kern w:val="0"/>
          <w:sz w:val="32"/>
          <w:szCs w:val="32"/>
        </w:rPr>
        <w:t>为抓手</w:t>
      </w:r>
      <w:r>
        <w:rPr>
          <w:rFonts w:ascii="宋体" w:cs="仿宋_GB2312" w:hAnsi="宋体" w:hint="eastAsia"/>
          <w:kern w:val="0"/>
          <w:sz w:val="32"/>
          <w:szCs w:val="32"/>
        </w:rPr>
        <w:t>，</w:t>
      </w:r>
      <w:r>
        <w:rPr>
          <w:rFonts w:ascii="宋体" w:eastAsia="方正仿宋简体" w:cs="仿宋_GB2312" w:hAnsi="宋体" w:hint="eastAsia"/>
          <w:kern w:val="0"/>
          <w:sz w:val="32"/>
          <w:szCs w:val="32"/>
        </w:rPr>
        <w:t>针对重点时段</w:t>
      </w:r>
      <w:r>
        <w:rPr>
          <w:rFonts w:ascii="宋体" w:cs="仿宋_GB2312" w:hAnsi="宋体" w:hint="eastAsia"/>
          <w:kern w:val="0"/>
          <w:sz w:val="32"/>
          <w:szCs w:val="32"/>
        </w:rPr>
        <w:t>、</w:t>
      </w:r>
      <w:r>
        <w:rPr>
          <w:rFonts w:ascii="宋体" w:eastAsia="方正仿宋简体" w:cs="仿宋_GB2312" w:hAnsi="宋体" w:hint="eastAsia"/>
          <w:kern w:val="0"/>
          <w:sz w:val="32"/>
          <w:szCs w:val="32"/>
        </w:rPr>
        <w:t>重点区域常态化开展森林防火隐患排查整治</w:t>
      </w:r>
      <w:r>
        <w:rPr>
          <w:rFonts w:ascii="宋体" w:cs="仿宋_GB2312" w:hAnsi="宋体" w:hint="eastAsia"/>
          <w:kern w:val="0"/>
          <w:sz w:val="32"/>
          <w:szCs w:val="32"/>
        </w:rPr>
        <w:t>，</w:t>
      </w:r>
      <w:r>
        <w:rPr>
          <w:rFonts w:ascii="宋体" w:eastAsia="方正仿宋简体" w:cs="仿宋_GB2312" w:hAnsi="宋体" w:hint="eastAsia"/>
          <w:kern w:val="0"/>
          <w:sz w:val="32"/>
          <w:szCs w:val="32"/>
        </w:rPr>
        <w:t>对排查出的火险隐患</w:t>
      </w:r>
      <w:r>
        <w:rPr>
          <w:rFonts w:ascii="宋体" w:cs="仿宋_GB2312" w:hAnsi="宋体" w:hint="eastAsia"/>
          <w:kern w:val="0"/>
          <w:sz w:val="32"/>
          <w:szCs w:val="32"/>
        </w:rPr>
        <w:t>，</w:t>
      </w:r>
      <w:r>
        <w:rPr>
          <w:rFonts w:ascii="宋体" w:eastAsia="方正仿宋简体" w:cs="仿宋_GB2312" w:hAnsi="宋体" w:hint="eastAsia"/>
          <w:kern w:val="0"/>
          <w:sz w:val="32"/>
          <w:szCs w:val="32"/>
        </w:rPr>
        <w:t>及时发放</w:t>
      </w:r>
      <w:r>
        <w:rPr>
          <w:rFonts w:ascii="宋体" w:cs="仿宋_GB2312" w:hAnsi="宋体" w:hint="eastAsia"/>
          <w:kern w:val="0"/>
          <w:sz w:val="32"/>
          <w:szCs w:val="32"/>
        </w:rPr>
        <w:t>《</w:t>
      </w:r>
      <w:r>
        <w:rPr>
          <w:rFonts w:ascii="宋体" w:eastAsia="方正仿宋简体" w:cs="仿宋_GB2312" w:hAnsi="宋体" w:hint="eastAsia"/>
          <w:kern w:val="0"/>
          <w:sz w:val="32"/>
          <w:szCs w:val="32"/>
        </w:rPr>
        <w:t>整改通知书</w:t>
      </w:r>
      <w:r>
        <w:rPr>
          <w:rFonts w:ascii="宋体" w:cs="仿宋_GB2312" w:hAnsi="宋体" w:hint="eastAsia"/>
          <w:kern w:val="0"/>
          <w:sz w:val="32"/>
          <w:szCs w:val="32"/>
        </w:rPr>
        <w:t>》，</w:t>
      </w:r>
      <w:r>
        <w:rPr>
          <w:rFonts w:ascii="宋体" w:eastAsia="方正仿宋简体" w:cs="仿宋_GB2312" w:hAnsi="宋体" w:hint="eastAsia"/>
          <w:kern w:val="0"/>
          <w:sz w:val="32"/>
          <w:szCs w:val="32"/>
        </w:rPr>
        <w:t>要求限期完成整改</w:t>
      </w:r>
      <w:r>
        <w:rPr>
          <w:rFonts w:ascii="宋体" w:cs="仿宋_GB2312" w:hAnsi="宋体" w:hint="eastAsia"/>
          <w:kern w:val="0"/>
          <w:sz w:val="32"/>
          <w:szCs w:val="32"/>
        </w:rPr>
        <w:t>。</w:t>
      </w:r>
      <w:r>
        <w:rPr>
          <w:rFonts w:ascii="宋体" w:eastAsia="方正仿宋简体" w:cs="仿宋_GB2312" w:hAnsi="宋体" w:hint="eastAsia"/>
          <w:sz w:val="32"/>
          <w:szCs w:val="32"/>
        </w:rPr>
        <w:t>印发</w:t>
      </w:r>
      <w:r>
        <w:rPr>
          <w:rFonts w:ascii="宋体" w:cs="仿宋_GB2312" w:hAnsi="宋体" w:hint="eastAsia"/>
          <w:sz w:val="32"/>
          <w:szCs w:val="32"/>
        </w:rPr>
        <w:t>《</w:t>
      </w:r>
      <w:r>
        <w:rPr>
          <w:rFonts w:ascii="宋体" w:eastAsia="方正仿宋简体" w:cs="仿宋_GB2312" w:hAnsi="宋体" w:hint="eastAsia"/>
          <w:sz w:val="32"/>
          <w:szCs w:val="32"/>
        </w:rPr>
        <w:t>广元市利州区赋予乡镇</w:t>
      </w:r>
      <w:r>
        <w:rPr>
          <w:rFonts w:ascii="宋体" w:cs="仿宋_GB2312" w:hAnsi="宋体" w:hint="eastAsia"/>
          <w:sz w:val="32"/>
          <w:szCs w:val="32"/>
        </w:rPr>
        <w:t>（</w:t>
      </w:r>
      <w:r>
        <w:rPr>
          <w:rFonts w:ascii="宋体" w:eastAsia="方正仿宋简体" w:cs="仿宋_GB2312" w:hAnsi="宋体" w:hint="eastAsia"/>
          <w:sz w:val="32"/>
          <w:szCs w:val="32"/>
        </w:rPr>
        <w:t>街道</w:t>
      </w:r>
      <w:r>
        <w:rPr>
          <w:rFonts w:ascii="宋体" w:cs="仿宋_GB2312" w:hAnsi="宋体" w:hint="eastAsia"/>
          <w:sz w:val="32"/>
          <w:szCs w:val="32"/>
        </w:rPr>
        <w:t>）</w:t>
      </w:r>
      <w:r>
        <w:rPr>
          <w:rFonts w:ascii="宋体" w:eastAsia="方正仿宋简体" w:cs="仿宋_GB2312" w:hAnsi="宋体" w:hint="eastAsia"/>
          <w:sz w:val="32"/>
          <w:szCs w:val="32"/>
        </w:rPr>
        <w:t>区级行政权力事项清单</w:t>
      </w:r>
      <w:r>
        <w:rPr>
          <w:rFonts w:ascii="宋体" w:cs="仿宋_GB2312" w:hAnsi="宋体" w:hint="eastAsia"/>
          <w:sz w:val="32"/>
          <w:szCs w:val="32"/>
        </w:rPr>
        <w:t>（</w:t>
      </w:r>
      <w:r>
        <w:rPr>
          <w:rFonts w:ascii="宋体" w:eastAsia="方正仿宋简体" w:cs="仿宋_GB2312" w:hAnsi="宋体" w:hint="eastAsia"/>
          <w:sz w:val="32"/>
          <w:szCs w:val="32"/>
        </w:rPr>
        <w:t>第二批</w:t>
      </w:r>
      <w:r>
        <w:rPr>
          <w:rFonts w:ascii="宋体" w:cs="仿宋_GB2312" w:hAnsi="宋体" w:hint="eastAsia"/>
          <w:sz w:val="32"/>
          <w:szCs w:val="32"/>
        </w:rPr>
        <w:t>）》，</w:t>
      </w:r>
      <w:r>
        <w:rPr>
          <w:rFonts w:ascii="宋体" w:eastAsia="方正仿宋简体" w:cs="仿宋_GB2312" w:hAnsi="宋体" w:hint="eastAsia"/>
          <w:sz w:val="32"/>
          <w:szCs w:val="32"/>
        </w:rPr>
        <w:t>明确将区级森林防灭火行政处罚权全部赋权到乡镇</w:t>
      </w:r>
      <w:r>
        <w:rPr>
          <w:rFonts w:ascii="宋体" w:cs="仿宋_GB2312" w:hAnsi="宋体" w:hint="eastAsia"/>
          <w:sz w:val="32"/>
          <w:szCs w:val="32"/>
        </w:rPr>
        <w:t>（</w:t>
      </w:r>
      <w:r>
        <w:rPr>
          <w:rFonts w:ascii="宋体" w:eastAsia="方正仿宋简体" w:cs="仿宋_GB2312" w:hAnsi="宋体" w:hint="eastAsia"/>
          <w:sz w:val="32"/>
          <w:szCs w:val="32"/>
        </w:rPr>
        <w:t>街道</w:t>
      </w:r>
      <w:r>
        <w:rPr>
          <w:rFonts w:ascii="宋体" w:cs="仿宋_GB2312" w:hAnsi="宋体" w:hint="eastAsia"/>
          <w:sz w:val="32"/>
          <w:szCs w:val="32"/>
        </w:rPr>
        <w:t>），</w:t>
      </w:r>
      <w:r>
        <w:rPr>
          <w:rFonts w:ascii="宋体" w:eastAsia="方正仿宋简体" w:cs="仿宋_GB2312" w:hAnsi="宋体" w:hint="eastAsia"/>
          <w:sz w:val="32"/>
          <w:szCs w:val="32"/>
        </w:rPr>
        <w:t>进一步健全工作制度</w:t>
      </w:r>
      <w:r>
        <w:rPr>
          <w:rFonts w:ascii="宋体" w:cs="仿宋_GB2312" w:hAnsi="宋体" w:hint="eastAsia"/>
          <w:sz w:val="32"/>
          <w:szCs w:val="32"/>
        </w:rPr>
        <w:t>、</w:t>
      </w:r>
      <w:r>
        <w:rPr>
          <w:rFonts w:ascii="宋体" w:eastAsia="方正仿宋简体" w:cs="仿宋_GB2312" w:hAnsi="宋体" w:hint="eastAsia"/>
          <w:sz w:val="32"/>
          <w:szCs w:val="32"/>
        </w:rPr>
        <w:t>规范执法程序</w:t>
      </w:r>
      <w:r>
        <w:rPr>
          <w:rFonts w:ascii="宋体" w:cs="仿宋_GB2312" w:hAnsi="宋体" w:hint="eastAsia"/>
          <w:sz w:val="32"/>
          <w:szCs w:val="32"/>
        </w:rPr>
        <w:t>。</w:t>
      </w:r>
      <w:r>
        <w:rPr>
          <w:rFonts w:ascii="宋体" w:eastAsia="方正仿宋简体" w:cs="仿宋_GB2312" w:hAnsi="宋体" w:hint="eastAsia"/>
          <w:bCs/>
          <w:kern w:val="0"/>
          <w:sz w:val="32"/>
          <w:szCs w:val="32"/>
        </w:rPr>
        <w:t>全面完成2021</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2022年度护林员选聘工作</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将470名生态护林员录入四川省森林草原火情监测即报系统</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督促其每日上线开展巡护工作</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严格落实野外火源管控</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全区共设立森林防火检查站卡口9个</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依法开展防火宣传</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检查</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教育</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劝导工作</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扎实开展2022年违规野外用火专项行动</w:t>
      </w:r>
      <w:r>
        <w:rPr>
          <w:rFonts w:ascii="宋体" w:cs="仿宋_GB2312" w:hAnsi="宋体" w:hint="eastAsia"/>
          <w:bCs/>
          <w:kern w:val="0"/>
          <w:sz w:val="32"/>
          <w:szCs w:val="32"/>
        </w:rPr>
        <w:t>，</w:t>
      </w:r>
      <w:r>
        <w:rPr>
          <w:rFonts w:ascii="宋体" w:eastAsia="方正仿宋简体" w:cs="仿宋_GB2312" w:hAnsi="宋体" w:hint="eastAsia"/>
          <w:bCs/>
          <w:kern w:val="0"/>
          <w:sz w:val="32"/>
          <w:szCs w:val="32"/>
        </w:rPr>
        <w:t>查处</w:t>
      </w:r>
      <w:r>
        <w:rPr>
          <w:rFonts w:ascii="宋体" w:eastAsia="方正仿宋简体" w:cs="仿宋_GB2312" w:hAnsi="宋体" w:hint="eastAsia"/>
          <w:kern w:val="0"/>
          <w:sz w:val="32"/>
          <w:szCs w:val="32"/>
        </w:rPr>
        <w:t>违规野外用火行政案件4起</w:t>
      </w:r>
      <w:r>
        <w:rPr>
          <w:rFonts w:ascii="宋体" w:cs="仿宋_GB2312" w:hAnsi="宋体" w:hint="eastAsia"/>
          <w:kern w:val="0"/>
          <w:sz w:val="32"/>
          <w:szCs w:val="32"/>
        </w:rPr>
        <w:t>，</w:t>
      </w:r>
      <w:r>
        <w:rPr>
          <w:rFonts w:ascii="宋体" w:eastAsia="方正仿宋简体" w:cs="仿宋_GB2312" w:hAnsi="宋体" w:hint="eastAsia"/>
          <w:kern w:val="0"/>
          <w:sz w:val="32"/>
          <w:szCs w:val="32"/>
        </w:rPr>
        <w:t>行政处罚4人</w:t>
      </w:r>
      <w:r>
        <w:rPr>
          <w:rFonts w:ascii="宋体" w:cs="仿宋_GB2312" w:hAnsi="宋体" w:hint="eastAsia"/>
          <w:kern w:val="0"/>
          <w:sz w:val="32"/>
          <w:szCs w:val="32"/>
        </w:rPr>
        <w:t>，</w:t>
      </w:r>
      <w:r>
        <w:rPr>
          <w:rFonts w:ascii="宋体" w:eastAsia="方正仿宋简体" w:cs="仿宋_GB2312" w:hAnsi="宋体" w:hint="eastAsia"/>
          <w:kern w:val="0"/>
          <w:sz w:val="32"/>
          <w:szCs w:val="32"/>
        </w:rPr>
        <w:t>共</w:t>
      </w:r>
      <w:r>
        <w:rPr>
          <w:rFonts w:ascii="宋体" w:eastAsia="方正仿宋简体" w:cs="仿宋_GB2312" w:hAnsi="宋体" w:hint="eastAsia"/>
          <w:bCs/>
          <w:kern w:val="0"/>
          <w:sz w:val="32"/>
          <w:szCs w:val="32"/>
        </w:rPr>
        <w:t>处罚款2000元</w:t>
      </w:r>
      <w:r>
        <w:rPr>
          <w:rFonts w:ascii="宋体" w:cs="仿宋_GB2312" w:hAnsi="宋体" w:hint="eastAsia"/>
          <w:bCs/>
          <w:kern w:val="0"/>
          <w:sz w:val="32"/>
          <w:szCs w:val="32"/>
        </w:rPr>
        <w:t>。</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（二）项目效益情况。</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森林防火及生物病虫害工作经费项目效益主要是社会效益，森林防火是关系人民群众生命财产安全的大事,是经济社会协调健康发展的标志,是党和政府对人民利益高度负责的要求</w:t>
      </w:r>
    </w:p>
    <w:p>
      <w:pPr>
        <w:spacing w:line="55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四、资金使用情况</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资金情况：森林防火抢险救灾工作经费10000元；主要用于1、用于森林防火办公费；2、森林防火宣传；3、森林防火检查开支。</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到位情况：截至2022年12月31日，该资金未使用，未使用原因是：2022年四季度申报的资金使用计划10000元，因国库未审核，导致该经费未能及时支付、资金未及时使用；年终决算后，次年1月已使用该资金，使用金额10000元，使用率100%。</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（二）项目财务管理情况</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区级专项资金到位后，我局严格按照专款专用的原则，实行单独建账，独立核算，专人专账，专项管理，严格按财务审批手续制度审核。严禁挪作他用和资金截留。</w:t>
      </w:r>
    </w:p>
    <w:p>
      <w:pPr>
        <w:spacing w:line="55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五、问题及建议</w:t>
      </w:r>
    </w:p>
    <w:p>
      <w:pPr>
        <w:spacing w:line="55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（一）存在的问题。</w:t>
      </w:r>
    </w:p>
    <w:p>
      <w:pPr>
        <w:spacing w:line="550" w:lineRule="exact"/>
        <w:ind w:firstLineChars="200" w:firstLine="640"/>
        <w:rPr>
          <w:rFonts w:ascii="方正仿宋简体" w:eastAsia="方正仿宋简体" w:cs="方正仿宋简体" w:hAnsi="方正仿宋简体"/>
          <w:sz w:val="32"/>
          <w:szCs w:val="32"/>
        </w:rPr>
        <w:sectPr>
          <w:pgSz w:w="11906" w:h="16838"/>
          <w:pgMar w:top="2098" w:right="1474" w:bottom="1984" w:left="1587" w:header="851" w:footer="992" w:gutter="0"/>
          <w:cols w:num="1" w:space="0"/>
          <w:titlePg/>
          <w:docGrid w:type="lines" w:linePitch="312" w:charSpace="0"/>
        </w:sectPr>
      </w:pPr>
      <w:r>
        <w:rPr>
          <w:rFonts w:ascii="方正仿宋简体" w:eastAsia="方正仿宋简体" w:cs="方正仿宋简体" w:hAnsi="方正仿宋简体" w:hint="eastAsia"/>
          <w:sz w:val="32"/>
          <w:szCs w:val="32"/>
        </w:rPr>
        <w:t>我区森林防火期长，高火险天气多，森林防火手段落后，防火基础设施不够健全，信息化水平严重不足，在对大型森林大火和应对紧急突发事件时，指挥高度方面能力不强，建议增加森林防火抢险救灾资金50000元</w:t>
      </w:r>
    </w:p>
    <w:p>
      <w:pPr>
        <w:pStyle w:val="15"/>
        <w:spacing w:beforeLines="0" w:before="93"/>
        <w:sectPr>
          <w:pgSz w:w="11906" w:h="16838"/>
          <w:pgMar w:top="2098" w:right="1474" w:bottom="1984" w:left="1587" w:header="851" w:footer="992" w:gutter="0"/>
          <w:cols w:num="1" w:space="0"/>
          <w:titlePg/>
          <w:docGrid w:type="lines" w:linePitch="312" w:charSpace="0"/>
        </w:sectPr>
      </w:pPr>
      <w:r>
        <w:rPr>
          <w:color w:val="FF0000"/>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16.05pt;margin-top:-12.75pt;width:501.99997pt;height:623.6pt;z-index:43;mso-position-horizontal:absolute;mso-position-vertical:absolute;mso-wrap-distance-left:8.999863pt;mso-wrap-distance-right:8.999863pt;" o:ole="">
            <v:stroke color="#000000"/>
            <v:imagedata r:id="rId14" o:title="image1"/>
            <o:lock aspectratio="t"/>
            <w10:wrap type="square"/>
          </v:shape>
          <o:OLEObject Type="Embed" ProgID="Package" ShapeID="_x0000_i1" DrawAspect="Content" ObjectID="_1393063351" r:id="rId15"/>
        </w:object>
      </w:r>
    </w:p>
    <w:p>
      <w:pPr>
        <w:pStyle w:val="38"/>
        <w:spacing w:line="576" w:lineRule="exact"/>
        <w:rPr>
          <w:rFonts w:ascii="方正小标宋简体" w:eastAsia="方正小标宋简体" w:cs="方正小标宋简体" w:hAnsi="方正小标宋简体"/>
          <w:color w:val="auto"/>
          <w:kern w:val="2"/>
          <w:sz w:val="44"/>
          <w:szCs w:val="44"/>
          <w:lang w:val="en-US"/>
        </w:rPr>
        <w:sectPr>
          <w:pgSz w:w="16838" w:h="11906" w:orient="landscape"/>
          <w:pgMar w:top="1587" w:right="2098" w:bottom="1474" w:left="1984" w:header="851" w:footer="992" w:gutter="0"/>
          <w:cols w:num="1" w:space="0"/>
          <w:titlePg/>
          <w:docGrid w:type="lines" w:linePitch="312" w:charSpace="0"/>
        </w:sectPr>
      </w:pPr>
    </w:p>
    <w:p>
      <w:pPr>
        <w:pStyle w:val="38"/>
        <w:spacing w:line="576" w:lineRule="exact"/>
        <w:jc w:val="center"/>
        <w:rPr>
          <w:rFonts w:ascii="方正小标宋简体" w:eastAsia="方正小标宋简体" w:cs="方正小标宋简体" w:hAnsi="方正小标宋简体"/>
          <w:color w:val="auto"/>
          <w:kern w:val="2"/>
          <w:sz w:val="44"/>
          <w:szCs w:val="44"/>
        </w:rPr>
      </w:pPr>
      <w:r>
        <w:rPr>
          <w:rFonts w:ascii="方正小标宋简体" w:eastAsia="方正小标宋简体" w:cs="方正小标宋简体" w:hAnsi="方正小标宋简体"/>
          <w:color w:val="auto"/>
          <w:kern w:val="2"/>
          <w:sz w:val="44"/>
          <w:szCs w:val="44"/>
          <w:lang w:val="en-US"/>
        </w:rPr>
        <w:t>202</w:t>
      </w:r>
      <w:r>
        <w:rPr>
          <w:rFonts w:ascii="方正小标宋简体" w:eastAsia="方正小标宋简体" w:cs="方正小标宋简体" w:hAnsi="方正小标宋简体" w:hint="eastAsia"/>
          <w:color w:val="auto"/>
          <w:kern w:val="2"/>
          <w:sz w:val="44"/>
          <w:szCs w:val="44"/>
          <w:lang w:val="en-US"/>
        </w:rPr>
        <w:t>2年</w:t>
      </w:r>
      <w:r>
        <w:rPr>
          <w:rFonts w:ascii="方正小标宋简体" w:eastAsia="方正小标宋简体" w:cs="方正小标宋简体" w:hAnsi="方正小标宋简体" w:hint="eastAsia"/>
          <w:color w:val="auto"/>
          <w:kern w:val="2"/>
          <w:sz w:val="44"/>
          <w:szCs w:val="44"/>
        </w:rPr>
        <w:t>专项预算项目支出绩效自评报告</w:t>
      </w:r>
    </w:p>
    <w:p>
      <w:pPr>
        <w:pStyle w:val="38"/>
        <w:spacing w:line="576" w:lineRule="exact"/>
        <w:jc w:val="center"/>
        <w:rPr>
          <w:rFonts w:ascii="方正小标宋简体" w:eastAsia="方正小标宋简体" w:cs="方正小标宋简体" w:hAnsi="方正小标宋简体"/>
          <w:color w:val="auto"/>
          <w:kern w:val="2"/>
          <w:sz w:val="44"/>
          <w:szCs w:val="44"/>
        </w:rPr>
      </w:pPr>
      <w:r>
        <w:rPr>
          <w:rFonts w:ascii="方正小标宋简体" w:eastAsia="方正小标宋简体" w:cs="方正小标宋简体" w:hAnsi="方正小标宋简体" w:hint="eastAsia"/>
          <w:color w:val="auto"/>
          <w:kern w:val="2"/>
          <w:sz w:val="44"/>
          <w:szCs w:val="44"/>
        </w:rPr>
        <w:t>（自然灾害救助工作经费）</w:t>
      </w:r>
    </w:p>
    <w:p>
      <w:pPr>
        <w:pStyle w:val="38"/>
        <w:spacing w:line="576" w:lineRule="exact"/>
        <w:ind w:firstLine="640"/>
        <w:jc w:val="center"/>
        <w:rPr>
          <w:rFonts w:ascii="宋体"/>
          <w:color w:val="auto"/>
          <w:kern w:val="2"/>
          <w:sz w:val="32"/>
          <w:szCs w:val="32"/>
        </w:rPr>
      </w:pPr>
    </w:p>
    <w:p>
      <w:pPr>
        <w:adjustRightInd w:val="0"/>
        <w:snapToGrid w:val="0"/>
        <w:spacing w:line="500" w:lineRule="exact"/>
        <w:ind w:firstLine="720"/>
        <w:rPr>
          <w:rFonts w:ascii="方正黑体简体" w:eastAsia="方正黑体简体" w:hAnsi="宋体"/>
          <w:sz w:val="32"/>
          <w:szCs w:val="32"/>
          <w:lang w:val="zh-CN"/>
        </w:rPr>
      </w:pPr>
      <w:r>
        <w:rPr>
          <w:rFonts w:ascii="方正黑体简体" w:eastAsia="方正黑体简体" w:hAnsi="宋体" w:hint="eastAsia"/>
          <w:sz w:val="32"/>
          <w:szCs w:val="32"/>
          <w:lang w:val="zh-CN"/>
        </w:rPr>
        <w:t>一、项目概况</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我局自然灾害救助工作经费主要用于自然防灾减灾宣传、灾害灾情核查等相关工作。</w:t>
      </w:r>
    </w:p>
    <w:p>
      <w:pPr>
        <w:pStyle w:val="16"/>
        <w:spacing w:line="500" w:lineRule="exact"/>
        <w:ind w:firstLineChars="200" w:firstLine="640"/>
        <w:rPr>
          <w:rFonts w:ascii="方正仿宋简体" w:eastAsia="方正仿宋简体" w:hAnsi="宋体"/>
          <w:color w:val="000000"/>
          <w:spacing w:val="0"/>
          <w:szCs w:val="32"/>
        </w:rPr>
      </w:pPr>
      <w:r>
        <w:rPr>
          <w:rFonts w:ascii="方正仿宋简体" w:eastAsia="方正仿宋简体" w:hAnsi="宋体" w:hint="eastAsia"/>
          <w:color w:val="000000"/>
          <w:spacing w:val="0"/>
          <w:szCs w:val="32"/>
        </w:rPr>
        <w:t>（一）项目绩效目标</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通过防灾减灾宣传，提高公众应急避险意识和自救互救技能，最大可能减少人员伤亡、财产损失。加强灾情核查，为灾后救援提供灾情依据，保持灾后社会稳定。</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（二）项目自评步骤及方法。</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根据绩效管理的相关规定，成立了绩效评价工作领导小组，根据年初确定的绩效目标，对照检查设置指标产出数量、质量、成本，以及经济效益、社会效益、可持续影响、满意度等指标开展绩效评价。</w:t>
      </w:r>
    </w:p>
    <w:p>
      <w:pPr>
        <w:adjustRightInd w:val="0"/>
        <w:snapToGrid w:val="0"/>
        <w:spacing w:line="500" w:lineRule="exact"/>
        <w:ind w:firstLine="720"/>
        <w:rPr>
          <w:rFonts w:ascii="方正黑体简体" w:eastAsia="方正黑体简体" w:hAnsi="宋体"/>
          <w:sz w:val="32"/>
          <w:szCs w:val="32"/>
          <w:lang w:val="zh-CN"/>
        </w:rPr>
      </w:pPr>
      <w:r>
        <w:rPr>
          <w:rFonts w:ascii="方正黑体简体" w:eastAsia="方正黑体简体" w:hAnsi="宋体" w:hint="eastAsia"/>
          <w:sz w:val="32"/>
          <w:szCs w:val="32"/>
          <w:lang w:val="zh-CN"/>
        </w:rPr>
        <w:t>二、项目资金申报及使用情况</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（一）项目资金申报及批复情况。</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该项目2022年1月至12月底，共申请自然灾害救助工作资金共 30000元，资金管理规范、实施专款专用，资金使用与申报计划完全相符，合理、合法、合规。</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（二）资金计划、到位及使用情况。</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2022年12月底到位资金29452.14元，余547.86元，使用率占98.17%，未使用原因是：2022年四季度申报的资金使用计划547.86元，因国库未审核，导致经费未能及时支付、资金未及时使用；年终决算后，自然灾害救助工作经费资金暂未收到进行结转的通知。</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（三）项目财务管理情况。</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一是依照相关法律法规，根据项目实际情况，建立项目账务核算。在项目资金支付过程中，严格按照相关制度实施资金申报和拨付，严把项目资金支付审核关，提高资金使用社会效益。二是完善内控管理制度，形成长效监管机制。对专项资金使用情况进行全方位跟踪监督检查，主要是监督检查在专项资金使用过程中有无违规使用、挪用、截留等现象。</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（四）项目实施及管理情况</w:t>
      </w:r>
    </w:p>
    <w:p>
      <w:pPr>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加强财务管理制度，规范支付流程，确保资金使用合规化，严格按财务审批制度审核。严禁挪作他用和资金截留。</w:t>
      </w:r>
    </w:p>
    <w:p>
      <w:pPr>
        <w:adjustRightInd w:val="0"/>
        <w:snapToGrid w:val="0"/>
        <w:spacing w:line="500" w:lineRule="exact"/>
        <w:ind w:firstLine="720"/>
        <w:rPr>
          <w:rFonts w:ascii="方正黑体简体" w:eastAsia="方正黑体简体" w:hAnsi="宋体"/>
          <w:sz w:val="32"/>
          <w:szCs w:val="32"/>
          <w:lang w:val="zh-CN"/>
        </w:rPr>
      </w:pPr>
      <w:r>
        <w:rPr>
          <w:rFonts w:ascii="方正黑体简体" w:eastAsia="方正黑体简体" w:hAnsi="宋体" w:hint="eastAsia"/>
          <w:sz w:val="32"/>
          <w:szCs w:val="32"/>
          <w:lang w:val="zh-CN"/>
        </w:rPr>
        <w:t>三、评价结论及建议</w:t>
      </w:r>
    </w:p>
    <w:p>
      <w:pPr>
        <w:adjustRightInd w:val="0"/>
        <w:snapToGrid w:val="0"/>
        <w:spacing w:line="50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（一）评价结论</w:t>
      </w:r>
    </w:p>
    <w:p>
      <w:pPr>
        <w:tabs>
          <w:tab w:val="left" w:pos="0"/>
        </w:tabs>
        <w:adjustRightInd w:val="0"/>
        <w:snapToGrid w:val="0"/>
        <w:spacing w:line="500" w:lineRule="exact"/>
        <w:ind w:firstLineChars="200" w:firstLine="640"/>
        <w:rPr>
          <w:rFonts w:ascii="仿宋_GB2312" w:eastAsia="仿宋_GB2312" w:hAnsi="宋体"/>
          <w:sz w:val="32"/>
          <w:szCs w:val="32"/>
        </w:rPr>
      </w:pPr>
      <w:r>
        <w:rPr>
          <w:rFonts w:ascii="方正仿宋简体" w:eastAsia="方正仿宋简体" w:hAnsi="宋体" w:hint="eastAsia"/>
          <w:color w:val="000000"/>
          <w:sz w:val="32"/>
          <w:szCs w:val="32"/>
        </w:rPr>
        <w:t>该项目能够确保自然救助工作的正常开展，有效提升我局灾害救助能力和水平，自评得分97分</w:t>
      </w:r>
      <w:r>
        <w:rPr>
          <w:rFonts w:ascii="仿宋_GB2312" w:eastAsia="仿宋_GB2312" w:hAnsi="宋体" w:hint="eastAsia"/>
          <w:sz w:val="32"/>
          <w:szCs w:val="32"/>
        </w:rPr>
        <w:t>。</w:t>
      </w:r>
    </w:p>
    <w:p>
      <w:pPr>
        <w:adjustRightInd w:val="0"/>
        <w:snapToGrid w:val="0"/>
        <w:spacing w:line="50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（二）存在的问题</w:t>
      </w:r>
    </w:p>
    <w:p>
      <w:pPr>
        <w:tabs>
          <w:tab w:val="left" w:pos="0"/>
        </w:tabs>
        <w:adjustRightInd w:val="0"/>
        <w:snapToGrid w:val="0"/>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1、预算绩效目标编制还不够完善，科学性、合理性、严谨性和可控性有所缺乏。</w:t>
      </w:r>
    </w:p>
    <w:p>
      <w:pPr>
        <w:tabs>
          <w:tab w:val="left" w:pos="0"/>
        </w:tabs>
        <w:adjustRightInd w:val="0"/>
        <w:snapToGrid w:val="0"/>
        <w:spacing w:line="500" w:lineRule="exact"/>
        <w:ind w:firstLineChars="200" w:firstLine="640"/>
        <w:rPr>
          <w:rFonts w:ascii="方正仿宋简体" w:eastAsia="方正仿宋简体" w:hAnsi="宋体"/>
          <w:color w:val="000000"/>
          <w:sz w:val="32"/>
          <w:szCs w:val="32"/>
        </w:rPr>
      </w:pPr>
      <w:r>
        <w:rPr>
          <w:rFonts w:ascii="方正仿宋简体" w:eastAsia="方正仿宋简体" w:hAnsi="宋体" w:hint="eastAsia"/>
          <w:color w:val="000000"/>
          <w:sz w:val="32"/>
          <w:szCs w:val="32"/>
        </w:rPr>
        <w:t>2、在资金安排和使用上，及时性和规范性还有待加强。</w:t>
      </w:r>
    </w:p>
    <w:p>
      <w:pPr>
        <w:adjustRightInd w:val="0"/>
        <w:snapToGrid w:val="0"/>
        <w:spacing w:line="50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（三）相关建议</w:t>
      </w:r>
    </w:p>
    <w:p>
      <w:pPr>
        <w:tabs>
          <w:tab w:val="left" w:pos="0"/>
        </w:tabs>
        <w:adjustRightInd w:val="0"/>
        <w:snapToGrid w:val="0"/>
        <w:spacing w:line="500" w:lineRule="exact"/>
        <w:ind w:firstLineChars="200" w:firstLine="640"/>
        <w:rPr>
          <w:rFonts w:ascii="方正仿宋简体" w:eastAsia="方正仿宋简体" w:hAnsi="宋体"/>
          <w:color w:val="000000"/>
          <w:sz w:val="32"/>
          <w:szCs w:val="32"/>
        </w:rPr>
        <w:sectPr>
          <w:pgSz w:w="11906" w:h="16838"/>
          <w:pgMar w:top="2098" w:right="1474" w:bottom="1984" w:left="1587" w:header="851" w:footer="992" w:gutter="0"/>
          <w:cols w:num="1" w:space="0"/>
          <w:titlePg/>
          <w:docGrid w:type="lines" w:linePitch="312" w:charSpace="0"/>
        </w:sectPr>
      </w:pPr>
      <w:r>
        <w:rPr>
          <w:rFonts w:ascii="方正仿宋简体" w:eastAsia="方正仿宋简体" w:hAnsi="宋体" w:hint="eastAsia"/>
          <w:color w:val="000000"/>
          <w:sz w:val="32"/>
          <w:szCs w:val="32"/>
        </w:rPr>
        <w:t>建议上级部门加大资金的保障力度，确保我局有效开展自然灾害救助相关工作。</w:t>
      </w:r>
    </w:p>
    <w:tbl>
      <w:tblPr>
        <w:tblpPr w:leftFromText="180" w:rightFromText="180" w:vertAnchor="text" w:horzAnchor="page" w:tblpXSpec="center" w:tblpY="474"/>
        <w:tblOverlap w:val="never"/>
        <w:tblW w:w="5918"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08"/>
        <w:gridCol w:w="1720"/>
        <w:gridCol w:w="236"/>
        <w:gridCol w:w="1265"/>
        <w:gridCol w:w="525"/>
        <w:gridCol w:w="2325"/>
        <w:gridCol w:w="525"/>
        <w:gridCol w:w="43"/>
        <w:gridCol w:w="519"/>
        <w:gridCol w:w="1096"/>
        <w:gridCol w:w="393"/>
        <w:gridCol w:w="126"/>
        <w:gridCol w:w="387"/>
        <w:gridCol w:w="430"/>
        <w:gridCol w:w="519"/>
        <w:gridCol w:w="365"/>
        <w:gridCol w:w="307"/>
        <w:gridCol w:w="80"/>
        <w:gridCol w:w="2460"/>
        <w:gridCol w:w="522"/>
      </w:tblGrid>
      <w:tr>
        <w:trPr>
          <w:trHeight w:val="627"/>
          <w:gridAfter w:val="1"/>
          <w:wAfter w:w="522" w:type="dxa"/>
        </w:trPr>
        <w:tc>
          <w:tcPr>
            <w:tcW w:w="491" w:type="pct"/>
            <w:tcBorders>
              <w:top w:val="nil"/>
              <w:left w:val="nil"/>
              <w:bottom w:val="nil"/>
              <w:right w:val="nil"/>
            </w:tcBorders>
            <w:shd w:val="clear" w:color="auto" w:fill="auto"/>
            <w:noWrap/>
            <w:vAlign w:val="center"/>
          </w:tcPr>
          <w:p>
            <w:pPr>
              <w:widowControl/>
              <w:jc w:val="left"/>
              <w:rPr>
                <w:rFonts w:ascii="黑体" w:eastAsia="黑体" w:cs="宋体" w:hAnsi="宋体"/>
                <w:color w:val="000000"/>
                <w:kern w:val="0"/>
                <w:sz w:val="32"/>
                <w:szCs w:val="32"/>
              </w:rPr>
            </w:pPr>
            <w:r>
              <w:rPr>
                <w:rFonts w:ascii="黑体" w:eastAsia="黑体" w:cs="宋体" w:hAnsi="宋体" w:hint="eastAsia"/>
                <w:color w:val="000000"/>
                <w:kern w:val="0"/>
                <w:sz w:val="32"/>
                <w:szCs w:val="32"/>
              </w:rPr>
              <w:t>附件4</w:t>
            </w:r>
          </w:p>
        </w:tc>
        <w:tc>
          <w:tcPr>
            <w:tcW w:w="55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487"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928"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85"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526"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27"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306" w:type="pct"/>
            <w:gridSpan w:val="3"/>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6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21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826"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41"/>
          <w:gridAfter w:val="1"/>
          <w:wAfter w:w="522" w:type="dxa"/>
        </w:trPr>
        <w:tc>
          <w:tcPr>
            <w:tcW w:w="4827" w:type="pct"/>
            <w:gridSpan w:val="19"/>
            <w:tcBorders>
              <w:top w:val="nil"/>
              <w:left w:val="nil"/>
              <w:bottom w:val="nil"/>
              <w:right w:val="nil"/>
            </w:tcBorders>
            <w:shd w:val="clear" w:color="auto" w:fill="auto"/>
            <w:vAlign w:val="center"/>
          </w:tcPr>
          <w:p>
            <w:pPr>
              <w:widowControl/>
              <w:jc w:val="center"/>
              <w:rPr>
                <w:rFonts w:ascii="方正小标宋简体" w:eastAsia="方正小标宋简体" w:cs="宋体" w:hAnsi="宋体"/>
                <w:color w:val="000000"/>
                <w:kern w:val="0"/>
                <w:sz w:val="44"/>
                <w:szCs w:val="44"/>
              </w:rPr>
            </w:pPr>
            <w:r>
              <w:rPr>
                <w:rFonts w:ascii="方正小标宋简体" w:eastAsia="方正小标宋简体" w:cs="宋体" w:hAnsi="宋体" w:hint="eastAsia"/>
                <w:color w:val="000000"/>
                <w:kern w:val="0"/>
                <w:sz w:val="44"/>
                <w:szCs w:val="44"/>
              </w:rPr>
              <w:t>部门预算、专项资金预算项目支出绩效目标自评表（2022年度）</w:t>
            </w:r>
          </w:p>
        </w:tc>
      </w:tr>
      <w:tr>
        <w:trPr>
          <w:trHeight w:val="323"/>
          <w:gridAfter w:val="1"/>
          <w:wAfter w:w="522" w:type="dxa"/>
        </w:trPr>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项目名称</w:t>
            </w:r>
          </w:p>
        </w:tc>
        <w:tc>
          <w:tcPr>
            <w:tcW w:w="3775" w:type="pct"/>
            <w:gridSpan w:val="17"/>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自然灾害工作经费</w:t>
            </w:r>
          </w:p>
        </w:tc>
      </w:tr>
      <w:tr>
        <w:trPr>
          <w:trHeight w:val="637"/>
          <w:gridAfter w:val="1"/>
          <w:wAfter w:w="522" w:type="dxa"/>
        </w:trPr>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主管部门</w:t>
            </w:r>
          </w:p>
        </w:tc>
        <w:tc>
          <w:tcPr>
            <w:tcW w:w="2254" w:type="pct"/>
            <w:gridSpan w:val="9"/>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306" w:type="pct"/>
            <w:gridSpan w:val="3"/>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xml:space="preserve">实施单位 </w:t>
            </w:r>
          </w:p>
        </w:tc>
        <w:tc>
          <w:tcPr>
            <w:tcW w:w="1214" w:type="pct"/>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区应急管理局</w:t>
            </w:r>
          </w:p>
        </w:tc>
      </w:tr>
      <w:tr>
        <w:trPr>
          <w:trHeight w:val="391"/>
          <w:gridAfter w:val="1"/>
          <w:wAfter w:w="522" w:type="dxa"/>
        </w:trPr>
        <w:tc>
          <w:tcPr>
            <w:tcW w:w="491" w:type="pct"/>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项目基本情况</w:t>
            </w:r>
          </w:p>
        </w:tc>
        <w:tc>
          <w:tcPr>
            <w:tcW w:w="559" w:type="pct"/>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1.项目年度目标完成情况</w:t>
            </w:r>
          </w:p>
        </w:tc>
        <w:tc>
          <w:tcPr>
            <w:tcW w:w="2254" w:type="pct"/>
            <w:gridSpan w:val="9"/>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项目年度目标</w:t>
            </w:r>
          </w:p>
        </w:tc>
        <w:tc>
          <w:tcPr>
            <w:tcW w:w="1521" w:type="pct"/>
            <w:gridSpan w:val="8"/>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年度目标完成情况</w:t>
            </w:r>
          </w:p>
        </w:tc>
      </w:tr>
      <w:tr>
        <w:trPr>
          <w:trHeight w:val="1056"/>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vMerge/>
            <w:tcBorders>
              <w:top w:val="nil"/>
              <w:left w:val="single" w:sz="4" w:space="0" w:color="auto"/>
              <w:bottom w:val="single" w:sz="4" w:space="0" w:color="auto"/>
              <w:right w:val="single" w:sz="4" w:space="0" w:color="auto"/>
            </w:tcBorders>
            <w:vAlign w:val="center"/>
          </w:tcPr>
          <w:p/>
        </w:tc>
        <w:tc>
          <w:tcPr>
            <w:tcW w:w="2254" w:type="pct"/>
            <w:gridSpan w:val="9"/>
            <w:tcBorders>
              <w:top w:val="single" w:sz="4" w:space="0" w:color="auto"/>
              <w:left w:val="nil"/>
              <w:bottom w:val="single" w:sz="4" w:space="0" w:color="auto"/>
              <w:right w:val="single" w:sz="4" w:space="0" w:color="auto"/>
            </w:tcBorders>
            <w:shd w:val="clear" w:color="000000" w:fill="FFFFFF"/>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我局自然灾害救助工作经费主要用于自然防灾减灾宣传、灾害灾情核查等相关工作。</w:t>
            </w:r>
          </w:p>
        </w:tc>
        <w:tc>
          <w:tcPr>
            <w:tcW w:w="1521" w:type="pct"/>
            <w:gridSpan w:val="8"/>
            <w:tcBorders>
              <w:top w:val="single" w:sz="4" w:space="0" w:color="auto"/>
              <w:left w:val="nil"/>
              <w:bottom w:val="single" w:sz="4" w:space="0" w:color="auto"/>
              <w:right w:val="single" w:sz="4" w:space="0" w:color="auto"/>
            </w:tcBorders>
            <w:shd w:val="clear" w:color="000000" w:fill="FFFFFF"/>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通过防灾减灾宣传，提高公众应急避险意识和自救互救技能，最大可能减少人员伤亡、财产损失。加强灾情核查，为灾后救援提供灾情依据，保持灾后社会稳定</w:t>
            </w:r>
          </w:p>
        </w:tc>
      </w:tr>
      <w:tr>
        <w:trPr>
          <w:trHeight w:val="734"/>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2.项目实施内容及过程概述</w:t>
            </w:r>
          </w:p>
        </w:tc>
        <w:tc>
          <w:tcPr>
            <w:tcW w:w="3775" w:type="pct"/>
            <w:gridSpan w:val="17"/>
            <w:tcBorders>
              <w:top w:val="single" w:sz="4" w:space="0" w:color="auto"/>
              <w:left w:val="nil"/>
              <w:bottom w:val="single" w:sz="4" w:space="0" w:color="auto"/>
              <w:right w:val="single" w:sz="4" w:space="0" w:color="auto"/>
            </w:tcBorders>
            <w:shd w:val="clear" w:color="000000" w:fill="FFFFFF"/>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1.防灾减灾宣传；2.灾情核查；3、维护社会稳定</w:t>
            </w:r>
          </w:p>
        </w:tc>
      </w:tr>
      <w:tr>
        <w:trPr>
          <w:trHeight w:val="553"/>
          <w:gridAfter w:val="1"/>
          <w:wAfter w:w="522" w:type="dxa"/>
        </w:trPr>
        <w:tc>
          <w:tcPr>
            <w:tcW w:w="491" w:type="pct"/>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预算执行情况</w:t>
              <w:br/>
              <w:t>（10分）</w:t>
            </w:r>
          </w:p>
        </w:tc>
        <w:tc>
          <w:tcPr>
            <w:tcW w:w="559"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年度预算数</w:t>
              <w:br/>
              <w:t>（万元）</w:t>
            </w:r>
          </w:p>
        </w:tc>
        <w:tc>
          <w:tcPr>
            <w:tcW w:w="487"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年初预算</w:t>
            </w:r>
          </w:p>
        </w:tc>
        <w:tc>
          <w:tcPr>
            <w:tcW w:w="928"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调整后预算数</w:t>
            </w:r>
          </w:p>
        </w:tc>
        <w:tc>
          <w:tcPr>
            <w:tcW w:w="83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预算执行数</w:t>
            </w:r>
          </w:p>
        </w:tc>
        <w:tc>
          <w:tcPr>
            <w:tcW w:w="306"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预算执行率</w:t>
            </w:r>
          </w:p>
        </w:tc>
        <w:tc>
          <w:tcPr>
            <w:tcW w:w="169"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219"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826"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原因</w:t>
            </w:r>
          </w:p>
        </w:tc>
      </w:tr>
      <w:tr>
        <w:trPr>
          <w:trHeight w:val="331"/>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总额</w:t>
            </w:r>
          </w:p>
        </w:tc>
        <w:tc>
          <w:tcPr>
            <w:tcW w:w="487"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3.00</w:t>
            </w:r>
          </w:p>
        </w:tc>
        <w:tc>
          <w:tcPr>
            <w:tcW w:w="928"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3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3.00</w:t>
            </w:r>
          </w:p>
        </w:tc>
        <w:tc>
          <w:tcPr>
            <w:tcW w:w="306"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9"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219"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26" w:type="pct"/>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11"/>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其中：财政资金</w:t>
            </w:r>
          </w:p>
        </w:tc>
        <w:tc>
          <w:tcPr>
            <w:tcW w:w="487"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3.00</w:t>
            </w:r>
          </w:p>
        </w:tc>
        <w:tc>
          <w:tcPr>
            <w:tcW w:w="928"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3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3.00</w:t>
            </w:r>
          </w:p>
        </w:tc>
        <w:tc>
          <w:tcPr>
            <w:tcW w:w="306"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9"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19"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26" w:type="pct"/>
            <w:gridSpan w:val="2"/>
            <w:vMerge/>
            <w:tcBorders>
              <w:top w:val="nil"/>
              <w:left w:val="single" w:sz="4" w:space="0" w:color="auto"/>
              <w:bottom w:val="single" w:sz="4" w:space="0" w:color="auto"/>
              <w:right w:val="single" w:sz="4" w:space="0" w:color="auto"/>
            </w:tcBorders>
            <w:vAlign w:val="center"/>
          </w:tcPr>
          <w:p/>
        </w:tc>
      </w:tr>
      <w:tr>
        <w:trPr>
          <w:trHeight w:val="533"/>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财政专户管理资金</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26" w:type="pct"/>
            <w:gridSpan w:val="2"/>
            <w:vMerge/>
            <w:tcBorders>
              <w:top w:val="single" w:sz="4" w:space="0" w:color="auto"/>
              <w:left w:val="single" w:sz="4" w:space="0" w:color="auto"/>
              <w:bottom w:val="single" w:sz="4" w:space="0" w:color="auto"/>
              <w:right w:val="single" w:sz="4" w:space="0" w:color="auto"/>
            </w:tcBorders>
            <w:vAlign w:val="center"/>
          </w:tcPr>
          <w:p/>
        </w:tc>
      </w:tr>
      <w:tr>
        <w:trPr>
          <w:trHeight w:val="311"/>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单位资金</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26" w:type="pct"/>
            <w:gridSpan w:val="2"/>
            <w:vMerge/>
            <w:tcBorders>
              <w:top w:val="single" w:sz="4" w:space="0" w:color="auto"/>
              <w:left w:val="single" w:sz="4" w:space="0" w:color="auto"/>
              <w:bottom w:val="single" w:sz="4" w:space="0" w:color="auto"/>
              <w:right w:val="single" w:sz="4" w:space="0" w:color="auto"/>
            </w:tcBorders>
            <w:vAlign w:val="center"/>
          </w:tcPr>
          <w:p/>
        </w:tc>
      </w:tr>
      <w:tr>
        <w:trPr>
          <w:trHeight w:val="354"/>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其他资金</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26" w:type="pct"/>
            <w:gridSpan w:val="2"/>
            <w:vMerge/>
            <w:tcBorders>
              <w:top w:val="single" w:sz="4" w:space="0" w:color="auto"/>
              <w:left w:val="single" w:sz="4" w:space="0" w:color="auto"/>
              <w:bottom w:val="single" w:sz="4" w:space="0" w:color="auto"/>
              <w:right w:val="single" w:sz="4" w:space="0" w:color="auto"/>
            </w:tcBorders>
            <w:vAlign w:val="center"/>
          </w:tcPr>
          <w:p/>
        </w:tc>
      </w:tr>
      <w:tr>
        <w:trPr>
          <w:trHeight w:val="1056"/>
          <w:gridAfter w:val="1"/>
          <w:wAfter w:w="522" w:type="dxa"/>
        </w:trPr>
        <w:tc>
          <w:tcPr>
            <w:tcW w:w="491" w:type="pct"/>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绩效指标（90分）</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三级指标</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指标性质</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指标值</w:t>
            </w:r>
          </w:p>
        </w:tc>
        <w:tc>
          <w:tcPr>
            <w:tcW w:w="12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度量单位</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完成值</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未完成原因分析</w:t>
            </w:r>
          </w:p>
        </w:tc>
      </w:tr>
      <w:tr>
        <w:trPr>
          <w:trHeight w:val="281"/>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自然灾害隐患排查次</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月</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17</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26"/>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排查中发生的问题</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0</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81"/>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每月推进次数</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kern w:val="0"/>
                <w:sz w:val="18"/>
                <w:szCs w:val="18"/>
              </w:rPr>
            </w:pPr>
            <w:r>
              <w:rPr>
                <w:rFonts w:ascii="宋体" w:cs="宋体" w:hAnsi="宋体" w:hint="eastAsia"/>
                <w:kern w:val="0"/>
                <w:sz w:val="18"/>
                <w:szCs w:val="18"/>
              </w:rPr>
              <w:t>≥</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533"/>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经济效益指标</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减少事故发生、保障人民生命财产</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营造良好发展环境</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533"/>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灾害防范意识不断提高</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533"/>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安全宣传持续推进</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不断推进</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533"/>
          <w:gridAfter w:val="1"/>
          <w:wAfter w:w="522" w:type="dxa"/>
        </w:trPr>
        <w:tc>
          <w:tcPr>
            <w:tcW w:w="491" w:type="pct"/>
            <w:vMerge/>
            <w:tcBorders>
              <w:top w:val="nil"/>
              <w:left w:val="single" w:sz="4" w:space="0" w:color="auto"/>
              <w:bottom w:val="single" w:sz="4" w:space="0" w:color="auto"/>
              <w:right w:val="single" w:sz="4" w:space="0" w:color="auto"/>
            </w:tcBorders>
            <w:vAlign w:val="center"/>
          </w:tcP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确保人民安全形势稳定</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533"/>
          <w:gridAfter w:val="1"/>
          <w:wAfter w:w="522" w:type="dxa"/>
        </w:trPr>
        <w:tc>
          <w:tcPr>
            <w:tcW w:w="491" w:type="pc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48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相关对象满意度</w:t>
            </w: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kern w:val="0"/>
                <w:sz w:val="18"/>
                <w:szCs w:val="18"/>
              </w:rPr>
            </w:pPr>
            <w:r>
              <w:rPr>
                <w:rFonts w:ascii="宋体" w:cs="宋体" w:hAnsi="宋体" w:hint="eastAsia"/>
                <w:kern w:val="0"/>
                <w:sz w:val="18"/>
                <w:szCs w:val="18"/>
              </w:rPr>
              <w:t>≥</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2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306"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81"/>
          <w:gridAfter w:val="1"/>
          <w:wAfter w:w="522" w:type="dxa"/>
        </w:trPr>
        <w:tc>
          <w:tcPr>
            <w:tcW w:w="3612"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合计</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90</w:t>
            </w:r>
          </w:p>
        </w:tc>
        <w:tc>
          <w:tcPr>
            <w:tcW w:w="2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87</w:t>
            </w:r>
          </w:p>
        </w:tc>
        <w:tc>
          <w:tcPr>
            <w:tcW w:w="8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71"/>
          <w:gridAfter w:val="1"/>
          <w:wAfter w:w="522" w:type="dxa"/>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自评结论</w:t>
            </w:r>
          </w:p>
        </w:tc>
        <w:tc>
          <w:tcPr>
            <w:tcW w:w="4335" w:type="pct"/>
            <w:gridSpan w:val="18"/>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6"/>
                <w:szCs w:val="16"/>
              </w:rPr>
            </w:pPr>
            <w:r>
              <w:rPr>
                <w:rFonts w:ascii="宋体" w:cs="宋体" w:hAnsi="宋体" w:hint="eastAsia"/>
                <w:color w:val="000000"/>
                <w:kern w:val="0"/>
                <w:sz w:val="16"/>
                <w:szCs w:val="16"/>
              </w:rPr>
              <w:t xml:space="preserve"> 项目支出绩效目标设置了数量、质量、经济效益、社会效益、可持续影响、服务满意度等指标。通过绩效自评，年初设置的绩效目标已基本完成，自评分97分。</w:t>
            </w:r>
          </w:p>
        </w:tc>
      </w:tr>
      <w:tr>
        <w:trPr>
          <w:trHeight w:val="774"/>
          <w:gridAfter w:val="1"/>
          <w:wAfter w:w="522" w:type="dxa"/>
        </w:trPr>
        <w:tc>
          <w:tcPr>
            <w:tcW w:w="491" w:type="pc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自评存在问题</w:t>
            </w:r>
          </w:p>
        </w:tc>
        <w:tc>
          <w:tcPr>
            <w:tcW w:w="4335" w:type="pct"/>
            <w:gridSpan w:val="18"/>
            <w:tcBorders>
              <w:top w:val="single" w:sz="4" w:space="0" w:color="auto"/>
              <w:left w:val="nil"/>
              <w:bottom w:val="single" w:sz="4" w:space="0" w:color="auto"/>
              <w:right w:val="single" w:sz="4" w:space="0" w:color="auto"/>
            </w:tcBorders>
            <w:shd w:val="clear" w:color="auto" w:fill="auto"/>
            <w:vAlign w:val="center"/>
          </w:tcPr>
          <w:p>
            <w:pPr>
              <w:widowControl/>
              <w:spacing w:after="240" w:line="260" w:lineRule="exact"/>
              <w:jc w:val="left"/>
              <w:rPr>
                <w:rFonts w:ascii="宋体" w:cs="宋体" w:hAnsi="宋体"/>
                <w:color w:val="000000"/>
                <w:kern w:val="0"/>
                <w:sz w:val="16"/>
                <w:szCs w:val="16"/>
              </w:rPr>
            </w:pPr>
            <w:r>
              <w:rPr>
                <w:rFonts w:ascii="宋体" w:cs="宋体" w:hAnsi="宋体" w:hint="eastAsia"/>
                <w:color w:val="000000"/>
                <w:kern w:val="0"/>
                <w:sz w:val="16"/>
                <w:szCs w:val="16"/>
              </w:rPr>
              <w:t>1.预算绩效目标编制还不够完善，科学性、合理性、严谨性和可控性有所缺乏。</w:t>
              <w:br/>
              <w:t>2.在资金安排和使用上，及时性和规范性还有待加强。</w:t>
            </w:r>
          </w:p>
        </w:tc>
      </w:tr>
      <w:tr>
        <w:trPr>
          <w:trHeight w:val="1297"/>
          <w:gridAfter w:val="1"/>
          <w:wAfter w:w="522" w:type="dxa"/>
        </w:trPr>
        <w:tc>
          <w:tcPr>
            <w:tcW w:w="1051" w:type="pct"/>
            <w:gridSpan w:val="2"/>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自评改进措施</w:t>
            </w:r>
          </w:p>
        </w:tc>
        <w:tc>
          <w:tcPr>
            <w:tcW w:w="3775" w:type="pct"/>
            <w:gridSpan w:val="17"/>
            <w:tcBorders>
              <w:top w:val="single" w:sz="4" w:space="0" w:color="auto"/>
              <w:left w:val="nil"/>
              <w:bottom w:val="single" w:sz="4" w:space="0" w:color="auto"/>
              <w:right w:val="single" w:sz="4" w:space="0" w:color="auto"/>
            </w:tcBorders>
            <w:shd w:val="clear" w:color="auto" w:fill="auto"/>
            <w:vAlign w:val="center"/>
          </w:tcPr>
          <w:p>
            <w:pPr>
              <w:widowControl/>
              <w:spacing w:after="240" w:line="260" w:lineRule="exact"/>
              <w:jc w:val="left"/>
              <w:rPr>
                <w:rFonts w:ascii="宋体" w:cs="宋体" w:hAnsi="宋体"/>
                <w:color w:val="000000"/>
                <w:kern w:val="0"/>
                <w:sz w:val="16"/>
                <w:szCs w:val="16"/>
              </w:rPr>
            </w:pPr>
            <w:r>
              <w:rPr>
                <w:rFonts w:ascii="宋体" w:cs="宋体" w:hAnsi="宋体" w:hint="eastAsia"/>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br/>
              <w:t>2.按照预算规定的项目和用途严格财务审核，经费支出严格按预算规定项目的财务支出内容进行财务核算，在预算金额内严格控制费用的支出；</w:t>
              <w:br/>
              <w:t>3.预算财务分析常态化，定期做好预算支出财务分析，做好单位整体支出预算评价工作。</w:t>
            </w:r>
          </w:p>
        </w:tc>
      </w:tr>
      <w:tr>
        <w:trPr>
          <w:trHeight w:val="281"/>
          <w:gridAfter w:val="1"/>
          <w:wAfter w:w="522" w:type="dxa"/>
        </w:trPr>
        <w:tc>
          <w:tcPr>
            <w:tcW w:w="265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项目负责人：</w:t>
            </w:r>
          </w:p>
        </w:tc>
        <w:tc>
          <w:tcPr>
            <w:tcW w:w="2175" w:type="pct"/>
            <w:gridSpan w:val="11"/>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财务负责人：</w:t>
            </w:r>
          </w:p>
        </w:tc>
      </w:tr>
      <w:tr>
        <w:trPr>
          <w:trHeight w:val="323"/>
        </w:trPr>
        <w:tc>
          <w:tcPr>
            <w:tcW w:w="1051" w:type="pct"/>
            <w:gridSpan w:val="2"/>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75"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583" w:type="pct"/>
            <w:gridSpan w:val="2"/>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928" w:type="pct"/>
            <w:gridSpan w:val="2"/>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83" w:type="pct"/>
            <w:gridSpan w:val="2"/>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526" w:type="pct"/>
            <w:gridSpan w:val="3"/>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26"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306" w:type="pct"/>
            <w:gridSpan w:val="2"/>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19"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26" w:type="pct"/>
            <w:gridSpan w:val="2"/>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971" w:type="pct"/>
            <w:gridSpan w:val="2"/>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r>
    </w:tbl>
    <w:p>
      <w:pPr>
        <w:pStyle w:val="15"/>
        <w:spacing w:beforeLines="0" w:before="93"/>
      </w:pPr>
    </w:p>
    <w:p>
      <w:pPr>
        <w:pStyle w:val="15"/>
        <w:spacing w:beforeLines="0" w:before="93"/>
      </w:pPr>
    </w:p>
    <w:p>
      <w:pPr>
        <w:pStyle w:val="15"/>
        <w:spacing w:beforeLines="0" w:before="93"/>
        <w:sectPr>
          <w:pgSz w:w="16838" w:h="11906" w:orient="landscape"/>
          <w:pgMar w:top="1587" w:right="2098" w:bottom="1474" w:left="1984" w:header="851" w:footer="992" w:gutter="0"/>
          <w:cols w:num="1" w:space="0"/>
          <w:titlePg/>
          <w:docGrid w:type="lines" w:linePitch="312" w:charSpace="0"/>
        </w:sectPr>
      </w:pP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广元市利州区应急管理局</w:t>
      </w: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2022年防震减灾工作经费项目支出绩效</w:t>
      </w: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自评报告</w:t>
      </w:r>
    </w:p>
    <w:p>
      <w:pPr>
        <w:spacing w:line="576" w:lineRule="exact"/>
        <w:ind w:firstLineChars="200" w:firstLine="640"/>
        <w:rPr>
          <w:rFonts w:ascii="方正仿宋简体" w:eastAsia="方正仿宋简体" w:cs="方正仿宋简体" w:hAnsi="方正仿宋简体"/>
          <w:sz w:val="32"/>
          <w:szCs w:val="32"/>
        </w:rPr>
      </w:pPr>
    </w:p>
    <w:p>
      <w:pPr>
        <w:spacing w:line="54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一、项目概况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区财政历年安排防震减灾工作专项经费用于推进我区防震减灾事业发展。此项目是利州区应急管理局经常性项目，主要用于利州区防震减灾监测预报、震害防御、地震应急处置的相关保障工作，包括科技、后勤、档案、宣传、法规等相关工作，确保地震工作正常运行</w:t>
      </w:r>
    </w:p>
    <w:p>
      <w:pPr>
        <w:spacing w:line="54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二、项目绩效情况</w:t>
        <w:tab/>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（一）项目完成情况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加强预案的修订和演练工作。一是修订和完善了《地震应急预案》，增强了预案的实用性和可操作性。防震减灾指挥部各成员单位、各乡镇（街道）制订了年度防震减灾工作计划并进行年终总结，逐步积累工作经验，形成工作机制。二是积极推动学校、医院和重点单位完善地震应急预案的编制工作，提高遇到突发事件时迅速转换、有效快速处置的组织和协调能力。三是推进地震应急预案的演练，不断提高地震预案的科学性和可操作性。</w:t>
      </w:r>
    </w:p>
    <w:p>
      <w:pPr>
        <w:spacing w:line="540"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2、加强防震减灾宣传工作。以科技周活动、防震减灾日、科普日、科技下乡活动为抓手，通过召开工作会、张贴标语、发放资料等形式，深入开展防震减灾知识的宣传教育。今年来，开展宣传活动10余次，参加宣传100人次，发放宣传材料5000余份，张贴防震减灾宣传海报80余份，悬挂横幅200余付，接受群众咨询500余人次，通过各项宣传，做到家喻户晓，人人皆知。</w:t>
      </w:r>
    </w:p>
    <w:p>
      <w:pPr>
        <w:spacing w:line="54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三、专项资金使用及管理情况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2022年底申请到防震减灾工作专项资金20000元。资金管理规范，专款专用，资金使用与申报计划完全相符，合理、合法、</w:t>
      </w:r>
    </w:p>
    <w:p>
      <w:pPr>
        <w:spacing w:line="540" w:lineRule="exact"/>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合规。</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（一）使用情况：截至2022年12月底，防震减灾经费共计20000元。</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到位情况：2022年12月底，到位经费共计20000元，到位率100%。</w:t>
      </w:r>
    </w:p>
    <w:p>
      <w:pPr>
        <w:spacing w:line="54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四、资金管理情况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（一）项目财务管理情况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区级专项资金到位后，我局严格按照专款专用的原则，实行单独建账，独立核算，专项管理，严格按财务审批手续制度审核。严禁挪作他用和资金截留。</w:t>
      </w:r>
    </w:p>
    <w:p>
      <w:pPr>
        <w:spacing w:line="540" w:lineRule="exact"/>
        <w:ind w:firstLineChars="200" w:firstLine="640"/>
        <w:rPr>
          <w:rFonts w:ascii="方正仿宋简体" w:eastAsia="方正仿宋简体" w:cs="方正仿宋简体" w:hAnsi="方正仿宋简体"/>
          <w:sz w:val="32"/>
          <w:szCs w:val="32"/>
          <w:lang w:val="zh-CN"/>
        </w:rPr>
      </w:pPr>
      <w:r>
        <w:rPr>
          <w:rFonts w:ascii="方正仿宋简体" w:eastAsia="方正仿宋简体" w:cs="方正仿宋简体" w:hAnsi="方正仿宋简体" w:hint="eastAsia"/>
          <w:sz w:val="32"/>
          <w:szCs w:val="32"/>
          <w:lang w:val="zh-CN"/>
        </w:rPr>
        <w:t>（二）项目组织实施情况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通过绩效评价工作，对资金使用情况、日常组织管理情况、绩效目标及完成情况的自我衡量，了解资金使用达到预期目标、资金使用支出达到预期的效率和效果，及时总结经验，完善管理，有效提高资金管理水平和使用效益。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（三）项目自评步骤及方法。</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根据绩效管理的相关规定，成立了绩效评价工作领导小组，根据年初确定的绩效目标，对照检查设置指标产出数量、质量、成本，以及经济效益、社会效益、可持续影响、满意度等指标开展项目绩效评价。</w:t>
      </w:r>
    </w:p>
    <w:p>
      <w:pPr>
        <w:spacing w:line="54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五、问题及建议</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一、进一步完善各项工作制度，整体提升全区防震减灾水平，把防震工作做得更好。</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二、进一步做好防震减灾宣传工作，采取多种措施和形式开展地震法律法规宣传，地震科学知识宣传、防震避震知识宣传，使干部群众更加熟练基本的防震减灾逃生知识。</w:t>
      </w:r>
    </w:p>
    <w:p>
      <w:pPr>
        <w:spacing w:line="54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六、存在的问题及原因分析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绩效管理体系需要进一步健全。绩效管理是一个完整系统，由绩效计划、绩效实施、绩效考核、绩效反馈四部分组成，四者紧密相连，缺一不可，但从目前管理现状看，绩效管理的整体性上还有差距，管理体系需要进一步健全。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对现行的预算绩效管理不适应。随着财政改革步伐的推进，预算绩效管理在财政改革中的地位与角色更加凸显，而当前绩效管理没有成熟模式，绩效管理人员缺乏专业知识和相应的工作经验，容易在绩效管理工作中产生各种错误，导致绩效管理结果出现偏差。 </w:t>
      </w:r>
    </w:p>
    <w:p>
      <w:pPr>
        <w:spacing w:line="540" w:lineRule="exact"/>
        <w:ind w:firstLineChars="200" w:firstLine="640"/>
        <w:rPr>
          <w:rFonts w:ascii="方正仿宋简体" w:eastAsia="方正仿宋简体" w:cs="方正仿宋简体" w:hAnsi="方正仿宋简体"/>
          <w:sz w:val="32"/>
          <w:szCs w:val="32"/>
        </w:rPr>
      </w:pPr>
      <w:r>
        <w:rPr>
          <w:rFonts w:ascii="方正黑体简体" w:eastAsia="方正黑体简体" w:cs="方正黑体简体" w:hAnsi="方正黑体简体" w:hint="eastAsia"/>
          <w:sz w:val="32"/>
          <w:szCs w:val="32"/>
        </w:rPr>
        <w:t>七、存在的问题及建议</w:t>
      </w:r>
      <w:r>
        <w:rPr>
          <w:rFonts w:ascii="方正仿宋简体" w:eastAsia="方正仿宋简体" w:cs="方正仿宋简体" w:hAnsi="方正仿宋简体" w:hint="eastAsia"/>
          <w:sz w:val="32"/>
          <w:szCs w:val="32"/>
        </w:rPr>
        <w:t>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建议区财政局多安排绩效管理业务指导和培训工作。 </w:t>
      </w:r>
    </w:p>
    <w:p>
      <w:pPr>
        <w:spacing w:line="54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八、其他需要说明的问题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无。 </w:t>
      </w:r>
    </w:p>
    <w:p>
      <w:pPr>
        <w:spacing w:line="540" w:lineRule="exact"/>
        <w:ind w:firstLineChars="200" w:firstLine="640"/>
        <w:rPr>
          <w:rFonts w:ascii="方正仿宋简体" w:eastAsia="方正仿宋简体" w:cs="方正仿宋简体" w:hAnsi="方正仿宋简体"/>
          <w:sz w:val="32"/>
          <w:szCs w:val="32"/>
        </w:rPr>
        <w:sectPr>
          <w:pgSz w:w="11906" w:h="16838"/>
          <w:pgMar w:top="2098" w:right="1474" w:bottom="1984" w:left="1587" w:header="851" w:footer="992" w:gutter="0"/>
          <w:cols w:num="1" w:space="0"/>
          <w:titlePg/>
          <w:docGrid w:type="lines" w:linePitch="312" w:charSpace="0"/>
        </w:sectPr>
      </w:pPr>
    </w:p>
    <w:tbl>
      <w:tblPr>
        <w:tblpPr w:leftFromText="180" w:rightFromText="180" w:vertAnchor="text" w:horzAnchor="page" w:tblpXSpec="center" w:tblpY="-3"/>
        <w:tblOverlap w:val="never"/>
        <w:tblW w:w="5868"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096"/>
        <w:gridCol w:w="1117"/>
        <w:gridCol w:w="1836"/>
        <w:gridCol w:w="2917"/>
        <w:gridCol w:w="576"/>
        <w:gridCol w:w="1656"/>
        <w:gridCol w:w="397"/>
        <w:gridCol w:w="846"/>
        <w:gridCol w:w="487"/>
        <w:gridCol w:w="397"/>
        <w:gridCol w:w="3900"/>
      </w:tblGrid>
      <w:tr>
        <w:trPr>
          <w:trHeight w:val="405"/>
        </w:trPr>
        <w:tc>
          <w:tcPr>
            <w:tcW w:w="360" w:type="pct"/>
            <w:tcBorders>
              <w:top w:val="nil"/>
              <w:left w:val="nil"/>
              <w:bottom w:val="nil"/>
              <w:right w:val="nil"/>
            </w:tcBorders>
            <w:shd w:val="clear" w:color="auto" w:fill="auto"/>
            <w:noWrap/>
            <w:vAlign w:val="center"/>
          </w:tcPr>
          <w:p>
            <w:pPr>
              <w:widowControl/>
              <w:jc w:val="left"/>
              <w:rPr>
                <w:rFonts w:ascii="黑体" w:eastAsia="黑体" w:cs="宋体" w:hAnsi="宋体"/>
                <w:color w:val="000000"/>
                <w:kern w:val="0"/>
                <w:sz w:val="32"/>
                <w:szCs w:val="32"/>
              </w:rPr>
            </w:pPr>
            <w:r>
              <w:rPr>
                <w:rFonts w:ascii="黑体" w:eastAsia="黑体" w:cs="宋体" w:hAnsi="宋体" w:hint="eastAsia"/>
                <w:color w:val="000000"/>
                <w:kern w:val="0"/>
                <w:sz w:val="32"/>
                <w:szCs w:val="32"/>
              </w:rPr>
              <w:t>附件4</w:t>
            </w:r>
          </w:p>
        </w:tc>
        <w:tc>
          <w:tcPr>
            <w:tcW w:w="367"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603"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95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8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54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30"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27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60"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30"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281"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722"/>
        </w:trPr>
        <w:tc>
          <w:tcPr>
            <w:tcW w:w="5000" w:type="pct"/>
            <w:gridSpan w:val="11"/>
            <w:tcBorders>
              <w:top w:val="nil"/>
              <w:left w:val="nil"/>
              <w:bottom w:val="nil"/>
              <w:right w:val="nil"/>
            </w:tcBorders>
            <w:shd w:val="clear" w:color="auto" w:fill="auto"/>
            <w:vAlign w:val="center"/>
          </w:tcPr>
          <w:p>
            <w:pPr>
              <w:widowControl/>
              <w:jc w:val="center"/>
              <w:rPr>
                <w:rFonts w:ascii="方正小标宋简体" w:eastAsia="方正小标宋简体" w:cs="宋体" w:hAnsi="宋体"/>
                <w:color w:val="000000"/>
                <w:kern w:val="0"/>
                <w:sz w:val="44"/>
                <w:szCs w:val="44"/>
              </w:rPr>
            </w:pPr>
            <w:r>
              <w:rPr>
                <w:rFonts w:ascii="方正小标宋简体" w:eastAsia="方正小标宋简体" w:cs="宋体" w:hAnsi="宋体" w:hint="eastAsia"/>
                <w:color w:val="000000"/>
                <w:kern w:val="0"/>
                <w:sz w:val="44"/>
                <w:szCs w:val="44"/>
              </w:rPr>
              <w:t>部门预算、专项资金预算项目支出绩效目标自评表（2022年度）</w:t>
            </w:r>
          </w:p>
        </w:tc>
      </w:tr>
      <w:tr>
        <w:trPr>
          <w:trHeight w:val="379"/>
        </w:trPr>
        <w:tc>
          <w:tcPr>
            <w:tcW w:w="7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项目名称</w:t>
            </w:r>
          </w:p>
        </w:tc>
        <w:tc>
          <w:tcPr>
            <w:tcW w:w="4274" w:type="pct"/>
            <w:gridSpan w:val="9"/>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防震减灾工作经费</w:t>
            </w:r>
          </w:p>
        </w:tc>
      </w:tr>
      <w:tr>
        <w:trPr>
          <w:trHeight w:val="282"/>
        </w:trPr>
        <w:tc>
          <w:tcPr>
            <w:tcW w:w="7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主管部门</w:t>
            </w:r>
          </w:p>
        </w:tc>
        <w:tc>
          <w:tcPr>
            <w:tcW w:w="2424" w:type="pct"/>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27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xml:space="preserve">实施单位 </w:t>
            </w:r>
          </w:p>
        </w:tc>
        <w:tc>
          <w:tcPr>
            <w:tcW w:w="1572"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区应急管理局</w:t>
            </w:r>
          </w:p>
        </w:tc>
      </w:tr>
      <w:tr>
        <w:trPr>
          <w:trHeight w:val="379"/>
        </w:trPr>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项目基本情况</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1.项目年度目标完成情况</w:t>
            </w:r>
          </w:p>
        </w:tc>
        <w:tc>
          <w:tcPr>
            <w:tcW w:w="24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项目年度目标</w:t>
            </w:r>
          </w:p>
        </w:tc>
        <w:tc>
          <w:tcPr>
            <w:tcW w:w="184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年度目标完成情况</w:t>
            </w:r>
          </w:p>
        </w:tc>
      </w:tr>
      <w:tr>
        <w:trPr>
          <w:trHeight w:val="1680"/>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vMerge/>
            <w:tcBorders>
              <w:top w:val="single" w:sz="4" w:space="0" w:color="auto"/>
              <w:left w:val="single" w:sz="4" w:space="0" w:color="auto"/>
              <w:bottom w:val="single" w:sz="4" w:space="0" w:color="auto"/>
              <w:right w:val="single" w:sz="4" w:space="0" w:color="auto"/>
            </w:tcBorders>
            <w:vAlign w:val="center"/>
          </w:tcPr>
          <w:p/>
        </w:tc>
        <w:tc>
          <w:tcPr>
            <w:tcW w:w="2424"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财政历年安排防震减灾工作专项经费用于推进我区防震减灾事业发展。此项目是利州区应急管理局经常性项目，主要用于利州区防震减灾监测预报、震害防御、地震应急处置的相关保障工作，包括科技、后勤、档案、宣传、法规等相关工作，确保地震工作正常运行</w:t>
            </w:r>
          </w:p>
        </w:tc>
        <w:tc>
          <w:tcPr>
            <w:tcW w:w="1849"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全年顺利完成了区政府和市应急管理局的任务。具体如下：1.制定了《广元市利州区地震预案（2022年版）》，并督促指导乡镇（街道）完成修订地震预案；2.积极协助市局对学校、医院、水库等重点单位开展的抗震设防行政执法工作；3.积极协助省地震局开展地震台站建设和改造，完成任务100%；4.台站运行率在98%以上，超过国家运行标准；5.积极开展地震观测设施和观测环境保护，设施和观测环境均良好；6.积极开展重点时段的地震科普宣传工作，全年共6次，受宣人员超4000人次；7.加强对天通一号卫星电话的查询工作，确保紧急时刻畅通。</w:t>
            </w:r>
          </w:p>
        </w:tc>
      </w:tr>
      <w:tr>
        <w:trPr>
          <w:trHeight w:val="1159"/>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2.项目实施内容及过程概述</w:t>
            </w:r>
          </w:p>
        </w:tc>
        <w:tc>
          <w:tcPr>
            <w:tcW w:w="4274" w:type="pct"/>
            <w:gridSpan w:val="9"/>
            <w:tcBorders>
              <w:top w:val="single" w:sz="4" w:space="0" w:color="auto"/>
              <w:left w:val="single" w:sz="4" w:space="0" w:color="auto"/>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制定了《广元市利州区地震预案（2022年版）》，并督促指导14个乡镇（街道）修订地震预案；2.积极协助市局对学校、医院、水库等重点单位开展的抗震设防行政执法工作5次；3.积极协助省地震局开展区内地震台站建设和改造，完成任务的100%；4.加强地震台站运行管理，确保地震台站有效运行；5.开展每月一次的地震观测设施和观测环境保护的巡查工作，设施和观测环境均未受破坏；6.积极开展重点时段的地震科普宣传工作，全年共6次，受宣人员超4000人次；7.每月开展一次对天通一号卫星电话的查询工作。</w:t>
            </w:r>
          </w:p>
        </w:tc>
      </w:tr>
      <w:tr>
        <w:trPr>
          <w:trHeight w:val="540"/>
        </w:trPr>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预算执行情况</w:t>
              <w:br/>
              <w:t>（10分）</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年度预算数</w:t>
              <w:br/>
              <w:t>（万元）</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年初预算</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调整后预算数</w:t>
            </w:r>
          </w:p>
        </w:tc>
        <w:tc>
          <w:tcPr>
            <w:tcW w:w="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预算执行数</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预算执行率</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原因</w:t>
            </w:r>
          </w:p>
        </w:tc>
      </w:tr>
      <w:tr>
        <w:trPr>
          <w:trHeight w:val="319"/>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总额</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2.00</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00"/>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其中：财政资金</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2.00</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281" w:type="pct"/>
            <w:vMerge/>
            <w:tcBorders>
              <w:top w:val="single" w:sz="4" w:space="0" w:color="auto"/>
              <w:left w:val="single" w:sz="4" w:space="0" w:color="auto"/>
              <w:bottom w:val="single" w:sz="4" w:space="0" w:color="auto"/>
              <w:right w:val="single" w:sz="4" w:space="0" w:color="auto"/>
            </w:tcBorders>
            <w:vAlign w:val="center"/>
          </w:tcPr>
          <w:p/>
        </w:tc>
      </w:tr>
      <w:tr>
        <w:trPr>
          <w:trHeight w:val="342"/>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财政专户管理资金</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281" w:type="pct"/>
            <w:vMerge/>
            <w:tcBorders>
              <w:top w:val="single" w:sz="4" w:space="0" w:color="auto"/>
              <w:left w:val="single" w:sz="4" w:space="0" w:color="auto"/>
              <w:bottom w:val="single" w:sz="4" w:space="0" w:color="auto"/>
              <w:right w:val="single" w:sz="4" w:space="0" w:color="auto"/>
            </w:tcBorders>
            <w:vAlign w:val="center"/>
          </w:tcPr>
          <w:p/>
        </w:tc>
      </w:tr>
      <w:tr>
        <w:trPr>
          <w:trHeight w:val="300"/>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单位资金</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281" w:type="pct"/>
            <w:vMerge/>
            <w:tcBorders>
              <w:top w:val="single" w:sz="4" w:space="0" w:color="auto"/>
              <w:left w:val="single" w:sz="4" w:space="0" w:color="auto"/>
              <w:bottom w:val="single" w:sz="4" w:space="0" w:color="auto"/>
              <w:right w:val="single" w:sz="4" w:space="0" w:color="auto"/>
            </w:tcBorders>
            <w:vAlign w:val="center"/>
          </w:tcPr>
          <w:p/>
        </w:tc>
      </w:tr>
      <w:tr>
        <w:trPr>
          <w:trHeight w:val="342"/>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其他资金</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281" w:type="pct"/>
            <w:vMerge/>
            <w:tcBorders>
              <w:top w:val="single" w:sz="4" w:space="0" w:color="auto"/>
              <w:left w:val="single" w:sz="4" w:space="0" w:color="auto"/>
              <w:bottom w:val="single" w:sz="4" w:space="0" w:color="auto"/>
              <w:right w:val="single" w:sz="4" w:space="0" w:color="auto"/>
            </w:tcBorders>
            <w:vAlign w:val="center"/>
          </w:tcPr>
          <w:p/>
        </w:tc>
      </w:tr>
      <w:tr>
        <w:trPr>
          <w:trHeight w:val="720"/>
        </w:trPr>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绩效指标（90分）</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三级指标</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指标性质</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指标值</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度量单位</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完成值</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未完成原因分析</w:t>
            </w:r>
          </w:p>
        </w:tc>
      </w:tr>
      <w:tr>
        <w:trPr>
          <w:trHeight w:val="270"/>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防震宣传及排查</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月</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17</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15"/>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排查中发生的问题</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0</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每月推进次数</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15</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经济效益指标</w:t>
            </w: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减少事故发生、保障人民生命财产</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营造良好发展环境</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灾害防范意识不断提高</w:t>
            </w:r>
          </w:p>
        </w:tc>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0"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60" w:type="pct"/>
            <w:vMerge/>
            <w:tcBorders>
              <w:top w:val="single" w:sz="4" w:space="0" w:color="auto"/>
              <w:left w:val="single" w:sz="4" w:space="0" w:color="auto"/>
              <w:bottom w:val="single" w:sz="4" w:space="0" w:color="auto"/>
              <w:right w:val="single" w:sz="4" w:space="0" w:color="auto"/>
            </w:tcBorders>
            <w:vAlign w:val="center"/>
          </w:tcPr>
          <w:p/>
        </w:tc>
        <w:tc>
          <w:tcPr>
            <w:tcW w:w="367" w:type="pct"/>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03"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958" w:type="pct"/>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安全宣传持续推进</w:t>
            </w:r>
          </w:p>
        </w:tc>
        <w:tc>
          <w:tcPr>
            <w:tcW w:w="189" w:type="pct"/>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44" w:type="pct"/>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不断推进</w:t>
            </w:r>
          </w:p>
        </w:tc>
        <w:tc>
          <w:tcPr>
            <w:tcW w:w="130" w:type="pct"/>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0"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81" w:type="pct"/>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60" w:type="pct"/>
            <w:vMerge/>
            <w:tcBorders>
              <w:top w:val="nil"/>
              <w:left w:val="single" w:sz="4" w:space="0" w:color="auto"/>
              <w:bottom w:val="single" w:sz="4" w:space="0" w:color="auto"/>
              <w:right w:val="single" w:sz="4" w:space="0" w:color="auto"/>
            </w:tcBorders>
            <w:vAlign w:val="center"/>
          </w:tcPr>
          <w:p/>
        </w:tc>
        <w:tc>
          <w:tcPr>
            <w:tcW w:w="3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0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95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确保人民安全形势稳定</w:t>
            </w:r>
          </w:p>
        </w:tc>
        <w:tc>
          <w:tcPr>
            <w:tcW w:w="18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4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3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60"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w:t>
            </w:r>
          </w:p>
        </w:tc>
        <w:tc>
          <w:tcPr>
            <w:tcW w:w="3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60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95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相关对象满意度</w:t>
            </w:r>
          </w:p>
        </w:tc>
        <w:tc>
          <w:tcPr>
            <w:tcW w:w="18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544"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3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27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5</w:t>
            </w:r>
          </w:p>
        </w:tc>
        <w:tc>
          <w:tcPr>
            <w:tcW w:w="13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42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合计</w:t>
            </w:r>
          </w:p>
        </w:tc>
        <w:tc>
          <w:tcPr>
            <w:tcW w:w="160"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90</w:t>
            </w:r>
          </w:p>
        </w:tc>
        <w:tc>
          <w:tcPr>
            <w:tcW w:w="130" w:type="pct"/>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87</w:t>
            </w:r>
          </w:p>
        </w:tc>
        <w:tc>
          <w:tcPr>
            <w:tcW w:w="1281"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540"/>
        </w:trPr>
        <w:tc>
          <w:tcPr>
            <w:tcW w:w="360" w:type="pct"/>
            <w:tcBorders>
              <w:top w:val="nil"/>
              <w:left w:val="single" w:sz="4" w:space="0" w:color="auto"/>
              <w:bottom w:val="single" w:sz="4" w:space="0" w:color="auto"/>
              <w:right w:val="single" w:sz="4" w:space="0" w:color="auto"/>
            </w:tcBorders>
            <w:shd w:val="clear" w:color="auto" w:fill="auto"/>
            <w:vAlign w:val="center"/>
          </w:tcPr>
          <w:p>
            <w:pPr>
              <w:widowControl/>
              <w:spacing w:line="3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自评结论</w:t>
            </w:r>
          </w:p>
        </w:tc>
        <w:tc>
          <w:tcPr>
            <w:tcW w:w="4640"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line="300" w:lineRule="exact"/>
              <w:jc w:val="left"/>
              <w:rPr>
                <w:rFonts w:ascii="宋体" w:cs="宋体" w:hAnsi="宋体"/>
                <w:color w:val="000000"/>
                <w:kern w:val="0"/>
                <w:sz w:val="16"/>
                <w:szCs w:val="16"/>
              </w:rPr>
            </w:pPr>
            <w:r>
              <w:rPr>
                <w:rFonts w:ascii="宋体" w:cs="宋体" w:hAnsi="宋体" w:hint="eastAsia"/>
                <w:color w:val="000000"/>
                <w:kern w:val="0"/>
                <w:sz w:val="16"/>
                <w:szCs w:val="16"/>
              </w:rPr>
              <w:t xml:space="preserve"> 项目支出绩效目标设置了数量、质量、经济效益、社会效益、可持续影响、服务满意度等指标。通过绩效自评，年初设置的绩效目标已基本完成，自评分97分。</w:t>
            </w:r>
          </w:p>
        </w:tc>
      </w:tr>
      <w:tr>
        <w:trPr>
          <w:trHeight w:val="90"/>
        </w:trPr>
        <w:tc>
          <w:tcPr>
            <w:tcW w:w="360" w:type="pct"/>
            <w:tcBorders>
              <w:top w:val="nil"/>
              <w:left w:val="single" w:sz="4" w:space="0" w:color="auto"/>
              <w:bottom w:val="single" w:sz="4" w:space="0" w:color="auto"/>
              <w:right w:val="single" w:sz="4" w:space="0" w:color="auto"/>
            </w:tcBorders>
            <w:shd w:val="clear" w:color="auto" w:fill="auto"/>
            <w:vAlign w:val="center"/>
          </w:tcPr>
          <w:p>
            <w:pPr>
              <w:widowControl/>
              <w:spacing w:line="3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自评存在问题</w:t>
            </w:r>
          </w:p>
        </w:tc>
        <w:tc>
          <w:tcPr>
            <w:tcW w:w="4640"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line="300" w:lineRule="exact"/>
              <w:jc w:val="left"/>
              <w:rPr>
                <w:rFonts w:ascii="宋体" w:cs="宋体" w:hAnsi="宋体"/>
                <w:color w:val="000000"/>
                <w:kern w:val="0"/>
                <w:sz w:val="16"/>
                <w:szCs w:val="16"/>
              </w:rPr>
            </w:pPr>
            <w:r>
              <w:rPr>
                <w:rFonts w:ascii="宋体" w:cs="宋体" w:hAnsi="宋体" w:hint="eastAsia"/>
                <w:color w:val="000000"/>
                <w:kern w:val="0"/>
                <w:sz w:val="16"/>
                <w:szCs w:val="16"/>
              </w:rPr>
              <w:t>1.预算绩效目标编制还不够完善，科学性、合理性、严谨性和可控性有所缺乏。</w:t>
              <w:br/>
              <w:t>2.在资金安排和使用上，及时性和规范性还有待加强。</w:t>
            </w:r>
          </w:p>
        </w:tc>
      </w:tr>
      <w:tr>
        <w:trPr>
          <w:trHeight w:val="390"/>
        </w:trPr>
        <w:tc>
          <w:tcPr>
            <w:tcW w:w="360" w:type="pct"/>
            <w:tcBorders>
              <w:top w:val="nil"/>
              <w:left w:val="single" w:sz="4" w:space="0" w:color="auto"/>
              <w:bottom w:val="single" w:sz="4" w:space="0" w:color="auto"/>
              <w:right w:val="single" w:sz="4" w:space="0" w:color="auto"/>
            </w:tcBorders>
            <w:shd w:val="clear" w:color="auto" w:fill="auto"/>
            <w:vAlign w:val="center"/>
          </w:tcPr>
          <w:p>
            <w:pPr>
              <w:widowControl/>
              <w:spacing w:line="3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自评改进措施</w:t>
            </w:r>
          </w:p>
        </w:tc>
        <w:tc>
          <w:tcPr>
            <w:tcW w:w="4640"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line="300" w:lineRule="exact"/>
              <w:jc w:val="left"/>
              <w:rPr>
                <w:rFonts w:ascii="宋体" w:cs="宋体" w:hAnsi="宋体"/>
                <w:color w:val="000000"/>
                <w:kern w:val="0"/>
                <w:sz w:val="16"/>
                <w:szCs w:val="16"/>
              </w:rPr>
            </w:pPr>
            <w:r>
              <w:rPr>
                <w:rFonts w:ascii="宋体" w:cs="宋体" w:hAnsi="宋体" w:hint="eastAsia"/>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br/>
              <w:t>2.按照预算规定的项目和用途严格财务审核，经费支出严格按预算规定项目的财务支出内容进行财务核算，在预算金额内严格控制费用的支出；</w:t>
              <w:br/>
              <w:t>3.预算财务分析常态化，定期做好预算支出财务分析，做好单位整体支出预算评价工作。</w:t>
            </w:r>
          </w:p>
        </w:tc>
      </w:tr>
      <w:tr>
        <w:trPr>
          <w:trHeight w:val="270"/>
        </w:trPr>
        <w:tc>
          <w:tcPr>
            <w:tcW w:w="247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300" w:lineRule="exact"/>
              <w:jc w:val="left"/>
              <w:rPr>
                <w:rFonts w:ascii="宋体" w:cs="宋体" w:hAnsi="宋体"/>
                <w:color w:val="000000"/>
                <w:kern w:val="0"/>
                <w:sz w:val="18"/>
                <w:szCs w:val="18"/>
              </w:rPr>
            </w:pPr>
            <w:r>
              <w:rPr>
                <w:rFonts w:ascii="宋体" w:cs="宋体" w:hAnsi="宋体" w:hint="eastAsia"/>
                <w:color w:val="000000"/>
                <w:kern w:val="0"/>
                <w:sz w:val="18"/>
                <w:szCs w:val="18"/>
              </w:rPr>
              <w:t>项目负责人：</w:t>
            </w:r>
          </w:p>
        </w:tc>
        <w:tc>
          <w:tcPr>
            <w:tcW w:w="2524" w:type="pct"/>
            <w:gridSpan w:val="6"/>
            <w:tcBorders>
              <w:top w:val="single" w:sz="4" w:space="0" w:color="auto"/>
              <w:left w:val="nil"/>
              <w:bottom w:val="single" w:sz="4" w:space="0" w:color="auto"/>
              <w:right w:val="single" w:sz="4" w:space="0" w:color="auto"/>
            </w:tcBorders>
            <w:shd w:val="clear" w:color="auto" w:fill="auto"/>
            <w:vAlign w:val="center"/>
          </w:tcPr>
          <w:p>
            <w:pPr>
              <w:widowControl/>
              <w:spacing w:line="300" w:lineRule="exact"/>
              <w:jc w:val="left"/>
              <w:rPr>
                <w:rFonts w:ascii="宋体" w:cs="宋体" w:hAnsi="宋体"/>
                <w:color w:val="000000"/>
                <w:kern w:val="0"/>
                <w:sz w:val="18"/>
                <w:szCs w:val="18"/>
              </w:rPr>
            </w:pPr>
            <w:r>
              <w:rPr>
                <w:rFonts w:ascii="宋体" w:cs="宋体" w:hAnsi="宋体" w:hint="eastAsia"/>
                <w:color w:val="000000"/>
                <w:kern w:val="0"/>
                <w:sz w:val="18"/>
                <w:szCs w:val="18"/>
              </w:rPr>
              <w:t>财务负责人：</w:t>
            </w:r>
          </w:p>
        </w:tc>
      </w:tr>
    </w:tbl>
    <w:p>
      <w:pPr>
        <w:pStyle w:val="15"/>
        <w:spacing w:beforeLines="0" w:before="93"/>
        <w:sectPr>
          <w:pgSz w:w="16838" w:h="11906" w:orient="landscape"/>
          <w:pgMar w:top="1587" w:right="2098" w:bottom="1474" w:left="1984" w:header="851" w:footer="992" w:gutter="0"/>
          <w:cols w:num="1" w:space="0"/>
          <w:titlePg/>
          <w:docGrid w:type="lines" w:linePitch="312" w:charSpace="0"/>
        </w:sectPr>
      </w:pP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广元市利州区应急管理局</w:t>
      </w: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2022年应急会商系统维护工作经费项目支出绩效自评报告</w:t>
      </w:r>
    </w:p>
    <w:p>
      <w:pPr>
        <w:spacing w:line="540" w:lineRule="exact"/>
        <w:ind w:firstLineChars="200" w:firstLine="640"/>
        <w:rPr>
          <w:rFonts w:ascii="方正仿宋简体" w:eastAsia="方正仿宋简体" w:cs="方正仿宋简体" w:hAnsi="方正仿宋简体"/>
          <w:sz w:val="32"/>
          <w:szCs w:val="32"/>
        </w:rPr>
      </w:pPr>
    </w:p>
    <w:p>
      <w:pPr>
        <w:spacing w:line="540" w:lineRule="exact"/>
        <w:ind w:firstLineChars="200"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sz w:val="32"/>
          <w:szCs w:val="32"/>
        </w:rPr>
        <w:t>一、项目概况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应急视频会商系统由箱式便携终端、单兵前端和应急指挥中心设备组成，主要用于突发事件发生时的快速现场侦查、情报上报和多方视频会商。</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系统采用便携箱式设计，在执行任务时，可通过车载或单兵背负方式快速抵达现场，建立临时指挥所，通过3G或卫星信道建立与指挥中心的通信，同时单兵携带单兵前端设备抵近现场，进行侦查、信息收集，将图像传回箱式终端。临时指挥所指挥员通过液晶屏了解现场情况，通过语音指挥单兵继续侦查，并通过视频会议系统向指挥中心报告现场情况，回传现场图像，接受指挥中心指挥员的命令。</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该系统操控简单、使用方便，且重量较轻，便于携行，可适应恶劣的使用环境，可广泛应用于应急、边防、刑侦、勘察等众多领域。</w:t>
      </w:r>
    </w:p>
    <w:p>
      <w:pPr>
        <w:spacing w:line="540" w:lineRule="exact"/>
        <w:ind w:firstLineChars="200"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sz w:val="32"/>
          <w:szCs w:val="32"/>
        </w:rPr>
        <w:t>二、专项资金使用及管理情况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应急会商及指挥中心运行专项资金是指区级财政历年年初预算安排，用于我区会商应用信息维护及指挥中心人员经费等，传达中央、省、市安全生产相关指示精神，更好的贯彻落实到工作中，实现会议相对独立而又无缝融合的远程会商，并通过视频会议系统向指挥中心报告现场情况，回传现场图像，接受指挥中心指挥员的命令方面的专项资金。</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（一）项目资金申报及批复情况。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1、资金来源：2022年财政预算安排100000元应急会商系系维护专项资金，实行专款专用。</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2、资金使用范围</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（1）应急信息网络传输信号维护费</w:t>
      </w:r>
    </w:p>
    <w:p>
      <w:pPr>
        <w:spacing w:line="540"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（2）接收中央、省、市视频会议近200余次</w:t>
      </w:r>
    </w:p>
    <w:p>
      <w:pPr>
        <w:spacing w:line="576"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3）资金到位情况：2022年12月31日，到位资金99828元，余172元，到位率99.83%，未使用原因是：2022年四季度申报的资金使用计划172元，因国库未审核，导致该经费未能及时支付、及时使用；年终决算后，应急会商及指挥中心运行资金暂未收到进行结转的通知。</w:t>
      </w:r>
    </w:p>
    <w:p>
      <w:pPr>
        <w:tabs>
          <w:tab w:val="left" w:pos="420"/>
          <w:tab w:val="left" w:pos="840"/>
          <w:tab w:val="left" w:pos="1260"/>
          <w:tab w:val="left" w:pos="1680"/>
          <w:tab w:val="left" w:pos="2100"/>
          <w:tab w:val="left" w:pos="2520"/>
          <w:tab w:val="left" w:pos="2940"/>
          <w:tab w:val="left" w:pos="3360"/>
          <w:tab w:val="center" w:pos="4473"/>
        </w:tabs>
        <w:spacing w:line="540" w:lineRule="exact"/>
        <w:ind w:firstLineChars="200" w:firstLine="640"/>
        <w:rPr>
          <w:rFonts w:ascii="方正仿宋简体" w:eastAsia="方正仿宋简体" w:cs="方正仿宋简体" w:hAnsi="方正仿宋简体"/>
          <w:sz w:val="32"/>
          <w:szCs w:val="32"/>
        </w:rPr>
      </w:pPr>
      <w:r>
        <w:rPr>
          <w:rFonts w:ascii="方正黑体简体" w:eastAsia="方正黑体简体" w:cs="方正黑体简体" w:hAnsi="方正黑体简体" w:hint="eastAsia"/>
          <w:bCs/>
          <w:sz w:val="32"/>
          <w:szCs w:val="32"/>
        </w:rPr>
        <w:t>三、项目绩效情况</w:t>
        <w:tab/>
      </w:r>
      <w:r>
        <w:rPr>
          <w:rFonts w:ascii="方正仿宋简体" w:eastAsia="方正仿宋简体" w:cs="方正仿宋简体" w:hAnsi="方正仿宋简体" w:hint="eastAsia"/>
          <w:sz w:val="32"/>
          <w:szCs w:val="32"/>
        </w:rPr>
        <w:tab/>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（一）项目完成情况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截至2022年12月底，应急会商系统维护经费共计100000元。</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应急会商及指挥中心运行系统维护网络、信息传输、人员经费等，该项目资金的使用符合国家财经法规，遵守财务管理制度，不存在虚列、截留、挤占、挪用等情况。</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（二）绩效评价原则、依据、评价指标体系等情况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本次自评工作本着真实客观原则，确保自评工作实事求是，数据准确，结果客观。</w:t>
      </w:r>
    </w:p>
    <w:p>
      <w:pPr>
        <w:spacing w:line="540" w:lineRule="exact"/>
        <w:ind w:firstLineChars="200"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sz w:val="32"/>
          <w:szCs w:val="32"/>
        </w:rPr>
        <w:t>四、绩效评价指标分析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（一）项目决策情况分析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应急会商系统维护及指挥中心工作专项经费项目是我局经常性项目，项目申报前，我局设立相应绩效目标，并经局党委审核、研究后上报。项目申报成功后，根据当年项目经费，进一步修改完善资金使用方案及绩效目标。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（二）项目过程情况分析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2022年度实施、管理项目均正常运转，未出现偏离绩效目标情况。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（三）项目产出情况分析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2022年度实施、管理项目产出情况均实现相关绩效目标，所定绩效指标均圆满完成。</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（四）项目效益情况分析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应急会商系统维护工作专项经费项目效益主要是社会效益，是服务于经济建设、社会发展的公益性项目，主要为政府处置自然给人民群众生命财产安全带来的灾害事件提供有效的决策服务保障。 </w:t>
      </w:r>
    </w:p>
    <w:p>
      <w:pPr>
        <w:spacing w:line="540" w:lineRule="exact"/>
        <w:ind w:firstLineChars="200"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sz w:val="32"/>
          <w:szCs w:val="32"/>
        </w:rPr>
        <w:t>五、主要经验及做法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预算绩效管理工作领导小组，负责组织、协调评价考核相关工作。重视绩效跟踪检查工作，对发现的问题及时进行协调和整改，确保绩效目标正常运行，达到预期绩效目标。 </w:t>
      </w:r>
    </w:p>
    <w:p>
      <w:pPr>
        <w:spacing w:line="540" w:lineRule="exact"/>
        <w:ind w:firstLineChars="200"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sz w:val="32"/>
          <w:szCs w:val="32"/>
        </w:rPr>
        <w:t>六、存在的问题及原因分析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绩效管理体系需要进一步健全。绩效管理是一个完整系统，由绩效计划、绩效实施、绩效考核、绩效反馈四部分组成，四者紧密相连，缺一不可，但从目前管理现状看，绩效管理的整体性上还有差距，管理体系需要进一步健全。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对现行的预算绩效管理不适应。随着财政改革步伐的推进，预算绩效管理在财政改革中的地位与角色更加凸显，而当前绩效管理没有成熟模式，绩效管理人员缺乏专业知识和相应的工作经验，容易在绩效管理工作中产生各种错误，导致绩效管理结果出现偏差。 </w:t>
      </w:r>
    </w:p>
    <w:p>
      <w:pPr>
        <w:spacing w:line="540" w:lineRule="exact"/>
        <w:ind w:firstLineChars="200" w:firstLine="640"/>
        <w:rPr>
          <w:rFonts w:ascii="方正黑体简体" w:eastAsia="方正黑体简体" w:cs="方正黑体简体" w:hAnsi="方正黑体简体"/>
          <w:bCs/>
          <w:sz w:val="32"/>
          <w:szCs w:val="32"/>
        </w:rPr>
      </w:pPr>
      <w:r>
        <w:rPr>
          <w:rFonts w:ascii="方正黑体简体" w:eastAsia="方正黑体简体" w:cs="方正黑体简体" w:hAnsi="方正黑体简体" w:hint="eastAsia"/>
          <w:bCs/>
          <w:sz w:val="32"/>
          <w:szCs w:val="32"/>
        </w:rPr>
        <w:t>七、存在的问题及建议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1、预算绩效目标编制还不够完善，科学性、合理性、严谨性和可控性有所缺乏。</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2、在资金安排和使用上，及时性和规范性还有待加强。</w:t>
      </w:r>
    </w:p>
    <w:p>
      <w:pPr>
        <w:spacing w:line="540" w:lineRule="exact"/>
        <w:ind w:firstLineChars="200" w:firstLine="640"/>
        <w:rPr>
          <w:rFonts w:ascii="方正仿宋简体" w:eastAsia="方正仿宋简体" w:cs="方正仿宋简体" w:hAnsi="方正仿宋简体"/>
          <w:bCs/>
          <w:sz w:val="32"/>
          <w:szCs w:val="32"/>
        </w:rPr>
      </w:pPr>
      <w:r>
        <w:rPr>
          <w:rFonts w:ascii="方正仿宋简体" w:eastAsia="方正仿宋简体" w:cs="方正仿宋简体" w:hAnsi="方正仿宋简体" w:hint="eastAsia"/>
          <w:bCs/>
          <w:sz w:val="32"/>
          <w:szCs w:val="32"/>
        </w:rPr>
        <w:t>八、其他需要说明的问题 </w:t>
      </w:r>
    </w:p>
    <w:p>
      <w:pPr>
        <w:spacing w:line="54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建议区财政局多安排绩效管理业务指导和培训工作 。</w:t>
      </w:r>
    </w:p>
    <w:p>
      <w:pPr>
        <w:pStyle w:val="15"/>
        <w:spacing w:beforeLines="0" w:before="93"/>
      </w:pPr>
    </w:p>
    <w:tbl>
      <w:tblPr>
        <w:jc w:val="left"/>
        <w:tblInd w:w="-617" w:type="dxa"/>
        <w:tblW w:w="5862"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18"/>
        <w:gridCol w:w="1554"/>
        <w:gridCol w:w="2528"/>
        <w:gridCol w:w="2771"/>
        <w:gridCol w:w="827"/>
        <w:gridCol w:w="1795"/>
        <w:gridCol w:w="575"/>
        <w:gridCol w:w="1189"/>
        <w:gridCol w:w="693"/>
        <w:gridCol w:w="572"/>
        <w:gridCol w:w="1886"/>
      </w:tblGrid>
      <w:tr>
        <w:trPr>
          <w:trHeight w:val="405"/>
        </w:trPr>
        <w:tc>
          <w:tcPr>
            <w:tcW w:w="780"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r>
              <w:rPr>
                <w:rFonts w:ascii="黑体" w:eastAsia="黑体" w:cs="宋体" w:hAnsi="宋体" w:hint="eastAsia"/>
                <w:color w:val="000000"/>
                <w:kern w:val="0"/>
                <w:sz w:val="32"/>
                <w:szCs w:val="32"/>
              </w:rPr>
              <w:t>附件4</w:t>
            </w:r>
          </w:p>
        </w:tc>
        <w:tc>
          <w:tcPr>
            <w:tcW w:w="831"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911"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270"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590"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8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391"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22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8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617"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540"/>
        </w:trPr>
        <w:tc>
          <w:tcPr>
            <w:tcW w:w="5000" w:type="pct"/>
            <w:gridSpan w:val="11"/>
            <w:tcBorders>
              <w:top w:val="nil"/>
              <w:left w:val="nil"/>
              <w:bottom w:val="nil"/>
              <w:right w:val="nil"/>
            </w:tcBorders>
            <w:shd w:val="clear" w:color="auto" w:fill="auto"/>
            <w:vAlign w:val="center"/>
          </w:tcPr>
          <w:p>
            <w:pPr>
              <w:widowControl/>
              <w:jc w:val="center"/>
              <w:rPr>
                <w:rFonts w:ascii="方正小标宋简体" w:eastAsia="方正小标宋简体" w:cs="宋体" w:hAnsi="宋体"/>
                <w:color w:val="000000"/>
                <w:kern w:val="0"/>
                <w:sz w:val="44"/>
                <w:szCs w:val="44"/>
              </w:rPr>
            </w:pPr>
            <w:r>
              <w:rPr>
                <w:rFonts w:ascii="方正小标宋简体" w:eastAsia="方正小标宋简体" w:cs="宋体" w:hAnsi="宋体" w:hint="eastAsia"/>
                <w:color w:val="000000"/>
                <w:kern w:val="0"/>
                <w:sz w:val="44"/>
                <w:szCs w:val="44"/>
              </w:rPr>
              <w:t>部门预算、专项资金预算项目支出绩效目标自评表（2022年度）</w:t>
            </w:r>
          </w:p>
        </w:tc>
      </w:tr>
      <w:tr>
        <w:trPr>
          <w:trHeight w:val="379"/>
        </w:trPr>
        <w:tc>
          <w:tcPr>
            <w:tcW w:w="7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项目名称</w:t>
            </w:r>
          </w:p>
        </w:tc>
        <w:tc>
          <w:tcPr>
            <w:tcW w:w="4219" w:type="pct"/>
            <w:gridSpan w:val="9"/>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应急会商及指挥中心运行</w:t>
            </w:r>
          </w:p>
        </w:tc>
      </w:tr>
      <w:tr>
        <w:trPr>
          <w:trHeight w:val="282"/>
        </w:trPr>
        <w:tc>
          <w:tcPr>
            <w:tcW w:w="7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主管部门</w:t>
            </w:r>
          </w:p>
        </w:tc>
        <w:tc>
          <w:tcPr>
            <w:tcW w:w="2793" w:type="pct"/>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3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xml:space="preserve">实施单位 </w:t>
            </w:r>
          </w:p>
        </w:tc>
        <w:tc>
          <w:tcPr>
            <w:tcW w:w="1035"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区应急管理局</w:t>
            </w:r>
          </w:p>
        </w:tc>
      </w:tr>
      <w:tr>
        <w:trPr>
          <w:trHeight w:val="379"/>
        </w:trPr>
        <w:tc>
          <w:tcPr>
            <w:tcW w:w="269"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项目基本情况</w:t>
            </w:r>
          </w:p>
        </w:tc>
        <w:tc>
          <w:tcPr>
            <w:tcW w:w="510"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1.项目年度目标完成情况</w:t>
            </w:r>
          </w:p>
        </w:tc>
        <w:tc>
          <w:tcPr>
            <w:tcW w:w="2793" w:type="pct"/>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项目年度目标</w:t>
            </w:r>
          </w:p>
        </w:tc>
        <w:tc>
          <w:tcPr>
            <w:tcW w:w="1426" w:type="pct"/>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年度目标完成情况</w:t>
            </w:r>
          </w:p>
        </w:tc>
      </w:tr>
      <w:tr>
        <w:trPr>
          <w:trHeight w:val="1395"/>
        </w:trPr>
        <w:tc>
          <w:tcPr>
            <w:tcW w:w="269" w:type="pct"/>
            <w:vMerge/>
            <w:tcBorders>
              <w:top w:val="nil"/>
              <w:left w:val="single" w:sz="4" w:space="0" w:color="auto"/>
              <w:bottom w:val="single" w:sz="4" w:space="0" w:color="auto"/>
              <w:right w:val="single" w:sz="4" w:space="0" w:color="auto"/>
            </w:tcBorders>
            <w:vAlign w:val="center"/>
          </w:tcPr>
          <w:p/>
        </w:tc>
        <w:tc>
          <w:tcPr>
            <w:tcW w:w="510" w:type="pct"/>
            <w:vMerge/>
            <w:tcBorders>
              <w:top w:val="nil"/>
              <w:left w:val="single" w:sz="4" w:space="0" w:color="auto"/>
              <w:bottom w:val="single" w:sz="4" w:space="0" w:color="auto"/>
              <w:right w:val="single" w:sz="4" w:space="0" w:color="auto"/>
            </w:tcBorders>
            <w:vAlign w:val="center"/>
          </w:tcPr>
          <w:p/>
        </w:tc>
        <w:tc>
          <w:tcPr>
            <w:tcW w:w="2793"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应急视频会商系统由宝利通视频会议系统、华为视频会议系统及移动云视讯系统组成，用于国家、省、市、区视频会议及应急调度使用。应急指挥中心会场布设视频会议终端，参会人员通过视频会商系统实时接收信息、上报情况。</w:t>
            </w:r>
          </w:p>
        </w:tc>
        <w:tc>
          <w:tcPr>
            <w:tcW w:w="1426" w:type="pct"/>
            <w:gridSpan w:val="4"/>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应急会商及指挥中心运行专项资金是指区级财政历年年初预算安排，用于我区会商应用信息维护及指挥中心人员经费等，传达中央、省、市安全生产相关指示精神，全年接收应急管理部调度2次、省应急厅调度20余次、开展各类视频会议100余次、调试视频信号200余次。</w:t>
            </w:r>
          </w:p>
        </w:tc>
      </w:tr>
      <w:tr>
        <w:trPr>
          <w:trHeight w:val="720"/>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2.项目实施内容及过程概述</w:t>
            </w:r>
          </w:p>
        </w:tc>
        <w:tc>
          <w:tcPr>
            <w:tcW w:w="4219" w:type="pct"/>
            <w:gridSpan w:val="9"/>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该系统用于国家、省、市、区视频会议及应急调度使用，由应急指挥中心工作人员调试视频信号、切换会议系统、保障视频通讯信号稳定、图像清晰。</w:t>
            </w:r>
          </w:p>
        </w:tc>
      </w:tr>
      <w:tr>
        <w:trPr>
          <w:trHeight w:val="540"/>
        </w:trPr>
        <w:tc>
          <w:tcPr>
            <w:tcW w:w="269"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预算执行情况</w:t>
              <w:br/>
              <w:t>（10分）</w:t>
            </w:r>
          </w:p>
        </w:tc>
        <w:tc>
          <w:tcPr>
            <w:tcW w:w="51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年度预算数</w:t>
              <w:br/>
              <w:t>（万元）</w:t>
            </w:r>
          </w:p>
        </w:tc>
        <w:tc>
          <w:tcPr>
            <w:tcW w:w="8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年初预算</w:t>
            </w:r>
          </w:p>
        </w:tc>
        <w:tc>
          <w:tcPr>
            <w:tcW w:w="9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调整后预算数</w:t>
            </w:r>
          </w:p>
        </w:tc>
        <w:tc>
          <w:tcPr>
            <w:tcW w:w="1050"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预算执行数</w:t>
            </w:r>
          </w:p>
        </w:tc>
        <w:tc>
          <w:tcPr>
            <w:tcW w:w="3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预算执行率</w:t>
            </w:r>
          </w:p>
        </w:tc>
        <w:tc>
          <w:tcPr>
            <w:tcW w:w="2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61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原因</w:t>
            </w:r>
          </w:p>
        </w:tc>
      </w:tr>
      <w:tr>
        <w:trPr>
          <w:trHeight w:val="319"/>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总额</w:t>
            </w:r>
          </w:p>
        </w:tc>
        <w:tc>
          <w:tcPr>
            <w:tcW w:w="8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w:t>
            </w:r>
          </w:p>
        </w:tc>
        <w:tc>
          <w:tcPr>
            <w:tcW w:w="9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50"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w:t>
            </w:r>
          </w:p>
        </w:tc>
        <w:tc>
          <w:tcPr>
            <w:tcW w:w="3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2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17"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00"/>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其中：财政资金</w:t>
            </w:r>
          </w:p>
        </w:tc>
        <w:tc>
          <w:tcPr>
            <w:tcW w:w="8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w:t>
            </w:r>
          </w:p>
        </w:tc>
        <w:tc>
          <w:tcPr>
            <w:tcW w:w="9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50"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w:t>
            </w:r>
          </w:p>
        </w:tc>
        <w:tc>
          <w:tcPr>
            <w:tcW w:w="3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2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17" w:type="pct"/>
            <w:vMerge/>
            <w:tcBorders>
              <w:top w:val="nil"/>
              <w:left w:val="single" w:sz="4" w:space="0" w:color="auto"/>
              <w:bottom w:val="single" w:sz="4" w:space="0" w:color="auto"/>
              <w:right w:val="single" w:sz="4" w:space="0" w:color="auto"/>
            </w:tcBorders>
            <w:vAlign w:val="center"/>
          </w:tcPr>
          <w:p/>
        </w:tc>
      </w:tr>
      <w:tr>
        <w:trPr>
          <w:trHeight w:val="342"/>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财政专户管理资金</w:t>
            </w:r>
          </w:p>
        </w:tc>
        <w:tc>
          <w:tcPr>
            <w:tcW w:w="8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50"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17" w:type="pct"/>
            <w:vMerge/>
            <w:tcBorders>
              <w:top w:val="nil"/>
              <w:left w:val="single" w:sz="4" w:space="0" w:color="auto"/>
              <w:bottom w:val="single" w:sz="4" w:space="0" w:color="auto"/>
              <w:right w:val="single" w:sz="4" w:space="0" w:color="auto"/>
            </w:tcBorders>
            <w:vAlign w:val="center"/>
          </w:tcPr>
          <w:p/>
        </w:tc>
      </w:tr>
      <w:tr>
        <w:trPr>
          <w:trHeight w:val="300"/>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单位资金</w:t>
            </w:r>
          </w:p>
        </w:tc>
        <w:tc>
          <w:tcPr>
            <w:tcW w:w="8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50"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17" w:type="pct"/>
            <w:vMerge/>
            <w:tcBorders>
              <w:top w:val="nil"/>
              <w:left w:val="single" w:sz="4" w:space="0" w:color="auto"/>
              <w:bottom w:val="single" w:sz="4" w:space="0" w:color="auto"/>
              <w:right w:val="single" w:sz="4" w:space="0" w:color="auto"/>
            </w:tcBorders>
            <w:vAlign w:val="center"/>
          </w:tcPr>
          <w:p/>
        </w:tc>
      </w:tr>
      <w:tr>
        <w:trPr>
          <w:trHeight w:val="342"/>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其他资金</w:t>
            </w:r>
          </w:p>
        </w:tc>
        <w:tc>
          <w:tcPr>
            <w:tcW w:w="8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9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050"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3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2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17" w:type="pct"/>
            <w:vMerge/>
            <w:tcBorders>
              <w:top w:val="nil"/>
              <w:left w:val="single" w:sz="4" w:space="0" w:color="auto"/>
              <w:bottom w:val="single" w:sz="4" w:space="0" w:color="auto"/>
              <w:right w:val="single" w:sz="4" w:space="0" w:color="auto"/>
            </w:tcBorders>
            <w:vAlign w:val="center"/>
          </w:tcPr>
          <w:p/>
        </w:tc>
      </w:tr>
      <w:tr>
        <w:trPr>
          <w:trHeight w:val="720"/>
        </w:trPr>
        <w:tc>
          <w:tcPr>
            <w:tcW w:w="269"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绩效指标（90分）</w:t>
            </w:r>
          </w:p>
        </w:tc>
        <w:tc>
          <w:tcPr>
            <w:tcW w:w="51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8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9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三级指标</w:t>
            </w:r>
          </w:p>
        </w:tc>
        <w:tc>
          <w:tcPr>
            <w:tcW w:w="2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指标性质</w:t>
            </w:r>
          </w:p>
        </w:tc>
        <w:tc>
          <w:tcPr>
            <w:tcW w:w="59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指标值</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度量单位</w:t>
            </w:r>
          </w:p>
        </w:tc>
        <w:tc>
          <w:tcPr>
            <w:tcW w:w="3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完成值</w:t>
            </w:r>
          </w:p>
        </w:tc>
        <w:tc>
          <w:tcPr>
            <w:tcW w:w="2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61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未完成原因分析</w:t>
            </w:r>
          </w:p>
        </w:tc>
      </w:tr>
      <w:tr>
        <w:trPr>
          <w:trHeight w:val="270"/>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9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视频会议</w:t>
            </w:r>
          </w:p>
        </w:tc>
        <w:tc>
          <w:tcPr>
            <w:tcW w:w="27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590"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200</w:t>
            </w:r>
          </w:p>
        </w:tc>
        <w:tc>
          <w:tcPr>
            <w:tcW w:w="18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3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61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15"/>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3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9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视频图像传输</w:t>
            </w:r>
          </w:p>
        </w:tc>
        <w:tc>
          <w:tcPr>
            <w:tcW w:w="2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59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视频图像清晰</w:t>
            </w:r>
          </w:p>
        </w:tc>
        <w:tc>
          <w:tcPr>
            <w:tcW w:w="18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28"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61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83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9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工作按进度推进</w:t>
            </w:r>
          </w:p>
        </w:tc>
        <w:tc>
          <w:tcPr>
            <w:tcW w:w="2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59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16</w:t>
            </w:r>
          </w:p>
        </w:tc>
        <w:tc>
          <w:tcPr>
            <w:tcW w:w="18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月</w:t>
            </w:r>
          </w:p>
        </w:tc>
        <w:tc>
          <w:tcPr>
            <w:tcW w:w="3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1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3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9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科技信息不断提高</w:t>
            </w:r>
          </w:p>
        </w:tc>
        <w:tc>
          <w:tcPr>
            <w:tcW w:w="27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9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8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61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3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9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指挥及时准确</w:t>
            </w:r>
          </w:p>
        </w:tc>
        <w:tc>
          <w:tcPr>
            <w:tcW w:w="27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9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准确无误</w:t>
            </w:r>
          </w:p>
        </w:tc>
        <w:tc>
          <w:tcPr>
            <w:tcW w:w="18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28"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1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269" w:type="pct"/>
            <w:vMerge/>
            <w:tcBorders>
              <w:top w:val="nil"/>
              <w:left w:val="single" w:sz="4" w:space="0" w:color="auto"/>
              <w:bottom w:val="single" w:sz="4" w:space="0" w:color="auto"/>
              <w:right w:val="single" w:sz="4" w:space="0" w:color="auto"/>
            </w:tcBorders>
            <w:vAlign w:val="center"/>
          </w:tcPr>
          <w:p/>
        </w:tc>
        <w:tc>
          <w:tcPr>
            <w:tcW w:w="51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83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9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确保人民安全形势稳定</w:t>
            </w:r>
          </w:p>
        </w:tc>
        <w:tc>
          <w:tcPr>
            <w:tcW w:w="27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9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8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1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269"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w:t>
            </w:r>
          </w:p>
        </w:tc>
        <w:tc>
          <w:tcPr>
            <w:tcW w:w="51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83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9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相关对象满意度</w:t>
            </w:r>
          </w:p>
        </w:tc>
        <w:tc>
          <w:tcPr>
            <w:tcW w:w="2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590"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8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3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8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61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96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合计</w:t>
            </w:r>
          </w:p>
        </w:tc>
        <w:tc>
          <w:tcPr>
            <w:tcW w:w="228"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88" w:type="pct"/>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617"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540"/>
        </w:trPr>
        <w:tc>
          <w:tcPr>
            <w:tcW w:w="269"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自评结论</w:t>
            </w:r>
          </w:p>
        </w:tc>
        <w:tc>
          <w:tcPr>
            <w:tcW w:w="4730" w:type="pct"/>
            <w:gridSpan w:val="10"/>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 xml:space="preserve"> 项目支出绩效目标设置了数量、质量、经济效益、社会效益、可持续影响、服务满意度等指标。通过绩效自评，年初设置的绩效目标已基本完成，自评分95分。</w:t>
            </w:r>
          </w:p>
        </w:tc>
      </w:tr>
      <w:tr>
        <w:trPr>
          <w:trHeight w:val="855"/>
        </w:trPr>
        <w:tc>
          <w:tcPr>
            <w:tcW w:w="269"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自评存在问题</w:t>
            </w:r>
          </w:p>
        </w:tc>
        <w:tc>
          <w:tcPr>
            <w:tcW w:w="4730"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after="240"/>
              <w:jc w:val="left"/>
              <w:rPr>
                <w:rFonts w:ascii="宋体" w:cs="宋体" w:hAnsi="宋体"/>
                <w:color w:val="000000"/>
                <w:kern w:val="0"/>
                <w:sz w:val="16"/>
                <w:szCs w:val="16"/>
              </w:rPr>
            </w:pPr>
            <w:r>
              <w:rPr>
                <w:rFonts w:ascii="宋体" w:cs="宋体" w:hAnsi="宋体" w:hint="eastAsia"/>
                <w:color w:val="000000"/>
                <w:kern w:val="0"/>
                <w:sz w:val="16"/>
                <w:szCs w:val="16"/>
              </w:rPr>
              <w:t>1.预算绩效目标编制还不够完善，科学性、合理性、严谨性和可控性有所缺乏。</w:t>
              <w:br/>
              <w:t>2.在资金安排和使用上，及时性和规范性还有待加强。</w:t>
            </w:r>
          </w:p>
        </w:tc>
      </w:tr>
      <w:tr>
        <w:trPr>
          <w:trHeight w:val="1140"/>
        </w:trPr>
        <w:tc>
          <w:tcPr>
            <w:tcW w:w="269"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自评改进措施</w:t>
            </w:r>
          </w:p>
        </w:tc>
        <w:tc>
          <w:tcPr>
            <w:tcW w:w="4730"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after="240"/>
              <w:jc w:val="left"/>
              <w:rPr>
                <w:rFonts w:ascii="宋体" w:cs="宋体" w:hAnsi="宋体"/>
                <w:color w:val="000000"/>
                <w:kern w:val="0"/>
                <w:sz w:val="16"/>
                <w:szCs w:val="16"/>
              </w:rPr>
            </w:pPr>
            <w:r>
              <w:rPr>
                <w:rFonts w:ascii="宋体" w:cs="宋体" w:hAnsi="宋体" w:hint="eastAsia"/>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br/>
              <w:t>2.按照预算规定的项目和用途严格财务审核，经费支出严格按预算规定项目的财务支出内容进行财务核算，在预算金额内严格控制费用的支出；</w:t>
              <w:br/>
              <w:t>3.预算财务分析常态化，定期做好预算支出财务分析，做好单位整体支出预算评价工作。</w:t>
            </w:r>
          </w:p>
        </w:tc>
      </w:tr>
      <w:tr>
        <w:trPr>
          <w:trHeight w:val="270"/>
        </w:trPr>
        <w:tc>
          <w:tcPr>
            <w:tcW w:w="279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项目负责人：</w:t>
            </w:r>
          </w:p>
        </w:tc>
        <w:tc>
          <w:tcPr>
            <w:tcW w:w="2205" w:type="pct"/>
            <w:gridSpan w:val="6"/>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财务负责人：</w:t>
            </w:r>
          </w:p>
        </w:tc>
      </w:tr>
      <w:tr>
        <w:trPr>
          <w:trHeight w:val="270"/>
        </w:trPr>
        <w:tc>
          <w:tcPr>
            <w:tcW w:w="269"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51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83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91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27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59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8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39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22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8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617"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r>
      <w:tr>
        <w:trPr>
          <w:trHeight w:val="270"/>
        </w:trPr>
        <w:tc>
          <w:tcPr>
            <w:tcW w:w="269"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51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83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91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27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59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8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39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22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8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617"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r>
    </w:tbl>
    <w:p>
      <w:pPr>
        <w:pStyle w:val="15"/>
        <w:spacing w:beforeLines="0" w:before="93"/>
      </w:pPr>
    </w:p>
    <w:p>
      <w:pPr>
        <w:pStyle w:val="15"/>
        <w:spacing w:beforeLines="0" w:before="93"/>
        <w:sectPr>
          <w:pgSz w:w="16838" w:h="11906" w:orient="landscape"/>
          <w:pgMar w:top="1587" w:right="2098" w:bottom="1474" w:left="1984" w:header="851" w:footer="992" w:gutter="0"/>
          <w:cols w:num="1" w:space="0"/>
          <w:titlePg/>
          <w:docGrid w:type="lines" w:linePitch="312" w:charSpace="0"/>
        </w:sectPr>
      </w:pPr>
    </w:p>
    <w:p>
      <w:pPr>
        <w:pStyle w:val="38"/>
        <w:spacing w:line="600" w:lineRule="exact"/>
        <w:jc w:val="center"/>
        <w:rPr>
          <w:rFonts w:ascii="方正小标宋简体" w:eastAsia="方正小标宋简体" w:cs="方正小标宋简体" w:hAnsi="方正小标宋简体"/>
          <w:color w:val="000000"/>
          <w:kern w:val="2"/>
          <w:sz w:val="40"/>
          <w:szCs w:val="40"/>
          <w:lang w:val="en-US"/>
        </w:rPr>
      </w:pPr>
      <w:r>
        <w:rPr>
          <w:rFonts w:ascii="方正小标宋简体" w:eastAsia="方正小标宋简体" w:cs="方正小标宋简体" w:hAnsi="方正小标宋简体" w:hint="eastAsia"/>
          <w:color w:val="000000"/>
          <w:kern w:val="2"/>
          <w:sz w:val="40"/>
          <w:szCs w:val="40"/>
          <w:lang w:val="en-US"/>
        </w:rPr>
        <w:t>广元市利州区应急管理局</w:t>
      </w:r>
    </w:p>
    <w:p>
      <w:pPr>
        <w:spacing w:line="576" w:lineRule="exact"/>
        <w:jc w:val="center"/>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sz w:val="44"/>
          <w:szCs w:val="44"/>
        </w:rPr>
        <w:t>2022年执法中队建设项目支出绩效自评</w:t>
      </w:r>
    </w:p>
    <w:p>
      <w:pPr>
        <w:spacing w:line="576" w:lineRule="exact"/>
        <w:jc w:val="center"/>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sz w:val="44"/>
          <w:szCs w:val="44"/>
        </w:rPr>
        <w:t>报告</w:t>
      </w:r>
    </w:p>
    <w:p>
      <w:pPr>
        <w:pStyle w:val="38"/>
        <w:spacing w:line="600" w:lineRule="exact"/>
        <w:rPr>
          <w:rFonts w:ascii="宋体"/>
          <w:color w:val="FF0000"/>
          <w:kern w:val="2"/>
          <w:sz w:val="32"/>
          <w:szCs w:val="32"/>
        </w:rPr>
      </w:pPr>
    </w:p>
    <w:p>
      <w:pPr>
        <w:numPr>
          <w:ilvl w:val="0"/>
          <w:numId w:val="7"/>
        </w:numPr>
        <w:adjustRightInd w:val="0"/>
        <w:snapToGrid w:val="0"/>
        <w:spacing w:line="560" w:lineRule="exact"/>
        <w:ind w:left="0" w:firstLine="720"/>
        <w:rPr>
          <w:rFonts w:ascii="方正黑体简体" w:eastAsia="方正黑体简体" w:hAnsi="宋体"/>
          <w:sz w:val="32"/>
          <w:szCs w:val="32"/>
          <w:lang w:val="zh-CN"/>
        </w:rPr>
      </w:pPr>
      <w:r>
        <w:rPr>
          <w:rFonts w:ascii="方正黑体简体" w:eastAsia="方正黑体简体" w:hAnsi="宋体" w:hint="eastAsia"/>
          <w:sz w:val="32"/>
          <w:szCs w:val="32"/>
          <w:lang w:val="zh-CN"/>
        </w:rPr>
        <w:t>项目概况</w:t>
      </w:r>
    </w:p>
    <w:p>
      <w:pPr>
        <w:pStyle w:val="35"/>
        <w:numPr>
          <w:ilvl w:val="0"/>
          <w:numId w:val="8"/>
        </w:numPr>
        <w:adjustRightInd w:val="0"/>
        <w:snapToGrid w:val="0"/>
        <w:spacing w:line="560" w:lineRule="exact"/>
        <w:ind w:firstLineChars="0"/>
        <w:rPr>
          <w:rFonts w:ascii="方正楷体简体" w:eastAsia="方正楷体简体" w:hAnsi="宋体"/>
          <w:b/>
          <w:sz w:val="32"/>
          <w:szCs w:val="32"/>
          <w:lang w:val="zh-CN"/>
        </w:rPr>
      </w:pPr>
      <w:r>
        <w:rPr>
          <w:rFonts w:ascii="方正楷体简体" w:eastAsia="方正楷体简体" w:hAnsi="宋体" w:hint="eastAsia"/>
          <w:b/>
          <w:sz w:val="32"/>
          <w:szCs w:val="32"/>
          <w:lang w:val="zh-CN"/>
        </w:rPr>
        <w:t>项目基本情况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自2018年执法中队建设以来，在区委、区政府的领导下，我区执法中队建设工作有序开展，现将我局关于执法中队专项资金绩效自评报告如下：</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按照《2022年度安全生产监督检查计划》，对27家企业开展安全检查，其中检查重点企业23家、双随机检查4家。执法中队负责辖区生产经营单位安全生产重大危险源监控和重大事故隐患治理情况进行动态监察，负责受理和查处有关安全生产方面的投诉、举报和上级交办、有关部门移送以及通过检查发现的生产经营单位违反安全生产法律、法规和规章的案件及违法行为，参与安全生产事故的调查，安全生产执法统计和执法情况分析。</w:t>
      </w:r>
    </w:p>
    <w:p>
      <w:pPr>
        <w:adjustRightInd w:val="0"/>
        <w:snapToGrid w:val="0"/>
        <w:spacing w:line="560" w:lineRule="exact"/>
        <w:ind w:firstLine="720"/>
        <w:rPr>
          <w:rFonts w:ascii="方正仿宋简体" w:eastAsia="方正仿宋简体" w:hAnsi="宋体"/>
          <w:sz w:val="32"/>
          <w:szCs w:val="32"/>
          <w:lang w:val="zh-CN"/>
        </w:rPr>
      </w:pPr>
      <w:r>
        <w:rPr>
          <w:rFonts w:ascii="方正仿宋简体" w:eastAsia="方正仿宋简体" w:hAnsi="宋体" w:hint="eastAsia"/>
          <w:sz w:val="32"/>
          <w:szCs w:val="32"/>
          <w:lang w:val="zh-CN"/>
        </w:rPr>
        <w:t>1．资金管理办法制定情况，资金支持具体项目的条件、范围与支持方式概况。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（1）用于购置办公用品、执法车辆汽车燃油费、保险运行费；</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（2）用于驾驶员劳务费及各类保险等；</w:t>
      </w:r>
    </w:p>
    <w:p>
      <w:pPr>
        <w:adjustRightInd w:val="0"/>
        <w:snapToGrid w:val="0"/>
        <w:spacing w:line="560" w:lineRule="exact"/>
        <w:ind w:firstLine="720"/>
        <w:rPr>
          <w:rFonts w:ascii="方正楷体简体" w:eastAsia="方正楷体简体" w:hAnsi="宋体"/>
          <w:b/>
          <w:sz w:val="32"/>
          <w:szCs w:val="32"/>
          <w:lang w:val="zh-CN"/>
        </w:rPr>
      </w:pPr>
      <w:r>
        <w:rPr>
          <w:rFonts w:ascii="方正楷体简体" w:eastAsia="方正楷体简体" w:hAnsi="宋体" w:hint="eastAsia"/>
          <w:b/>
          <w:sz w:val="32"/>
          <w:szCs w:val="32"/>
          <w:lang w:val="zh-CN"/>
        </w:rPr>
        <w:t>（二）项目绩效目标</w:t>
      </w:r>
    </w:p>
    <w:p>
      <w:pPr>
        <w:adjustRightInd w:val="0"/>
        <w:snapToGrid w:val="0"/>
        <w:spacing w:line="560" w:lineRule="exact"/>
        <w:ind w:firstLine="720"/>
        <w:rPr>
          <w:rFonts w:ascii="方正仿宋简体" w:eastAsia="方正仿宋简体" w:hAnsi="宋体"/>
          <w:sz w:val="32"/>
          <w:szCs w:val="32"/>
          <w:lang w:val="zh-CN"/>
        </w:rPr>
      </w:pPr>
      <w:r>
        <w:rPr>
          <w:rFonts w:ascii="方正仿宋简体" w:eastAsia="方正仿宋简体" w:hAnsi="宋体" w:hint="eastAsia"/>
          <w:sz w:val="32"/>
          <w:szCs w:val="32"/>
          <w:lang w:val="zh-CN"/>
        </w:rPr>
        <w:t>1．项目主要内容。</w:t>
      </w:r>
    </w:p>
    <w:p>
      <w:pPr>
        <w:adjustRightInd w:val="0"/>
        <w:snapToGrid w:val="0"/>
        <w:spacing w:line="560" w:lineRule="exact"/>
        <w:ind w:firstLine="720"/>
        <w:rPr>
          <w:rFonts w:ascii="方正仿宋简体" w:eastAsia="方正仿宋简体" w:hAnsi="宋体"/>
          <w:color w:val="000000"/>
          <w:sz w:val="32"/>
          <w:szCs w:val="32"/>
          <w:lang w:val="zh-CN"/>
        </w:rPr>
      </w:pPr>
      <w:r>
        <w:rPr>
          <w:rFonts w:ascii="方正仿宋简体" w:eastAsia="方正仿宋简体" w:cs="方正仿宋简体" w:hAnsi="方正仿宋简体" w:hint="eastAsia"/>
          <w:sz w:val="32"/>
          <w:szCs w:val="32"/>
        </w:rPr>
        <w:t>执法中队负责辖区生产经营单位安全生产重大危险源监控和重大事故隐患治理情况进行动态监察，负责受理和查处有关安全生产方面的投诉、举报和上级交办、有关部门移送以及通过检查发现的生产经营单位违反安全生产法律、法规和规章的案件及违法行为，参与安全生产事故的调查，安全生产执法统计和执法情况分析。</w:t>
        <w:br/>
      </w:r>
      <w:r>
        <w:rPr>
          <w:rFonts w:ascii="方正仿宋简体" w:eastAsia="方正仿宋简体" w:hAnsi="宋体" w:hint="eastAsia"/>
          <w:color w:val="000000"/>
          <w:sz w:val="32"/>
          <w:szCs w:val="32"/>
          <w:lang w:val="zh-CN"/>
        </w:rPr>
        <w:t xml:space="preserve">    2．分析评价申报内容是否与实际相符，申报目标是否合理可行。</w:t>
      </w:r>
    </w:p>
    <w:p>
      <w:pPr>
        <w:adjustRightInd w:val="0"/>
        <w:snapToGrid w:val="0"/>
        <w:spacing w:line="560" w:lineRule="exact"/>
        <w:ind w:firstLine="720"/>
        <w:rPr>
          <w:rFonts w:ascii="方正仿宋简体" w:eastAsia="方正仿宋简体" w:hAnsi="宋体"/>
          <w:color w:val="000000"/>
          <w:sz w:val="32"/>
          <w:szCs w:val="32"/>
          <w:lang w:val="zh-CN"/>
        </w:rPr>
      </w:pPr>
      <w:r>
        <w:rPr>
          <w:rFonts w:ascii="方正仿宋简体" w:eastAsia="方正仿宋简体" w:hAnsi="宋体" w:hint="eastAsia"/>
          <w:color w:val="000000"/>
          <w:sz w:val="32"/>
          <w:szCs w:val="32"/>
          <w:lang w:val="zh-CN"/>
        </w:rPr>
        <w:t>该项目资金的使用符合国家财经法规、遵守财务管理制度，不存在、截留、挤占、挪用等情况，未出现偏离绩效目标现象发生。</w:t>
      </w:r>
    </w:p>
    <w:p>
      <w:pPr>
        <w:adjustRightInd w:val="0"/>
        <w:snapToGrid w:val="0"/>
        <w:spacing w:line="560" w:lineRule="exact"/>
        <w:ind w:firstLineChars="200" w:firstLine="640"/>
        <w:rPr>
          <w:rFonts w:ascii="方正黑体简体" w:eastAsia="方正黑体简体" w:hAnsi="宋体"/>
          <w:sz w:val="32"/>
          <w:szCs w:val="32"/>
          <w:lang w:val="zh-CN"/>
        </w:rPr>
      </w:pPr>
      <w:r>
        <w:rPr>
          <w:rFonts w:ascii="方正黑体简体" w:eastAsia="方正黑体简体" w:hAnsi="宋体" w:hint="eastAsia"/>
          <w:sz w:val="32"/>
          <w:szCs w:val="32"/>
          <w:lang w:val="zh-CN"/>
        </w:rPr>
        <w:t>二、项目资金申报及使用情况</w:t>
      </w:r>
    </w:p>
    <w:p>
      <w:pPr>
        <w:adjustRightInd w:val="0"/>
        <w:snapToGrid w:val="0"/>
        <w:spacing w:line="560" w:lineRule="exact"/>
        <w:ind w:firstLine="720"/>
        <w:rPr>
          <w:rFonts w:ascii="方正楷体简体" w:eastAsia="方正楷体简体" w:hAnsi="宋体"/>
          <w:b/>
          <w:color w:val="000000"/>
          <w:sz w:val="32"/>
          <w:szCs w:val="32"/>
          <w:lang w:val="zh-CN"/>
        </w:rPr>
      </w:pPr>
      <w:r>
        <w:rPr>
          <w:rFonts w:ascii="方正楷体简体" w:eastAsia="方正楷体简体" w:hAnsi="宋体" w:hint="eastAsia"/>
          <w:b/>
          <w:color w:val="000000"/>
          <w:sz w:val="32"/>
          <w:szCs w:val="32"/>
          <w:lang w:val="zh-CN"/>
        </w:rPr>
        <w:t>（一）项目资金申报及批复情况</w:t>
      </w:r>
    </w:p>
    <w:p>
      <w:pPr>
        <w:pStyle w:val="25"/>
        <w:shd w:val="clear" w:color="auto" w:fill="FFFFFF"/>
        <w:spacing w:before="150" w:beforeAutospacing="0" w:after="0" w:afterAutospacing="0" w:line="540" w:lineRule="atLeast"/>
        <w:ind w:firstLine="555"/>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该执法中队建设是指区级财政年初预算安排，主要用于执法办公经费、驾驶员工资及各类保险、执法车辆运行燃油及保养等到。</w:t>
      </w:r>
    </w:p>
    <w:p>
      <w:pPr>
        <w:adjustRightInd w:val="0"/>
        <w:snapToGrid w:val="0"/>
        <w:spacing w:line="560" w:lineRule="exact"/>
        <w:ind w:firstLine="720"/>
        <w:rPr>
          <w:rFonts w:ascii="方正楷体简体" w:eastAsia="方正楷体简体" w:hAnsi="宋体"/>
          <w:b/>
          <w:color w:val="000000"/>
          <w:sz w:val="32"/>
          <w:szCs w:val="32"/>
          <w:lang w:val="zh-CN"/>
        </w:rPr>
      </w:pPr>
      <w:r>
        <w:rPr>
          <w:rFonts w:ascii="方正楷体简体" w:eastAsia="方正楷体简体" w:hAnsi="宋体" w:hint="eastAsia"/>
          <w:b/>
          <w:color w:val="000000"/>
          <w:sz w:val="32"/>
          <w:szCs w:val="32"/>
          <w:lang w:val="zh-CN"/>
        </w:rPr>
        <w:t>（二）资金计划、到位及使用情况</w:t>
      </w:r>
    </w:p>
    <w:p>
      <w:pPr>
        <w:adjustRightInd w:val="0"/>
        <w:snapToGrid w:val="0"/>
        <w:spacing w:line="560" w:lineRule="exact"/>
        <w:ind w:firstLine="720"/>
        <w:rPr>
          <w:rFonts w:ascii="方正仿宋简体" w:eastAsia="方正仿宋简体" w:hAnsi="宋体"/>
          <w:color w:val="000000"/>
          <w:sz w:val="32"/>
          <w:szCs w:val="32"/>
          <w:lang w:val="zh-CN"/>
        </w:rPr>
      </w:pPr>
      <w:r>
        <w:rPr>
          <w:rFonts w:ascii="方正仿宋简体" w:eastAsia="方正仿宋简体" w:hAnsi="宋体" w:hint="eastAsia"/>
          <w:color w:val="000000"/>
          <w:sz w:val="32"/>
          <w:szCs w:val="32"/>
          <w:lang w:val="zh-CN"/>
        </w:rPr>
        <w:t>1．资金计划。</w:t>
      </w:r>
      <w:r>
        <w:rPr>
          <w:rFonts w:ascii="方正仿宋简体" w:eastAsia="方正仿宋简体" w:cs="方正仿宋简体" w:hAnsi="方正仿宋简体" w:hint="eastAsia"/>
          <w:color w:val="000000"/>
          <w:sz w:val="32"/>
          <w:szCs w:val="32"/>
        </w:rPr>
        <w:t>执法中队建设专项资金 27.736万元</w:t>
      </w:r>
    </w:p>
    <w:p>
      <w:pPr>
        <w:adjustRightInd w:val="0"/>
        <w:snapToGrid w:val="0"/>
        <w:spacing w:line="560" w:lineRule="exact"/>
        <w:ind w:firstLine="720"/>
        <w:rPr>
          <w:rFonts w:ascii="方正仿宋简体" w:eastAsia="方正仿宋简体" w:hAnsi="宋体"/>
          <w:color w:val="000000"/>
          <w:sz w:val="32"/>
          <w:szCs w:val="32"/>
        </w:rPr>
      </w:pPr>
      <w:r>
        <w:rPr>
          <w:rFonts w:ascii="方正仿宋简体" w:eastAsia="方正仿宋简体" w:hAnsi="宋体" w:hint="eastAsia"/>
          <w:color w:val="000000"/>
          <w:sz w:val="32"/>
          <w:szCs w:val="32"/>
          <w:lang w:val="zh-CN"/>
        </w:rPr>
        <w:t>2．资金到位。</w:t>
      </w:r>
      <w:r>
        <w:rPr>
          <w:rFonts w:ascii="方正仿宋简体" w:eastAsia="方正仿宋简体" w:hAnsi="宋体" w:hint="eastAsia"/>
          <w:color w:val="000000"/>
          <w:sz w:val="32"/>
          <w:szCs w:val="32"/>
        </w:rPr>
        <w:t>到位资金</w:t>
      </w:r>
      <w:r>
        <w:rPr>
          <w:rFonts w:ascii="方正仿宋简体" w:eastAsia="方正仿宋简体" w:cs="方正仿宋简体" w:hAnsi="方正仿宋简体" w:hint="eastAsia"/>
          <w:color w:val="000000"/>
          <w:sz w:val="32"/>
          <w:szCs w:val="32"/>
        </w:rPr>
        <w:t>27.736万元。</w:t>
      </w:r>
    </w:p>
    <w:p>
      <w:pPr>
        <w:spacing w:line="576" w:lineRule="exact"/>
        <w:ind w:firstLineChars="200" w:firstLine="640"/>
        <w:rPr>
          <w:rFonts w:ascii="方正仿宋简体" w:eastAsia="方正仿宋简体" w:cs="方正仿宋简体" w:hAnsi="方正仿宋简体"/>
          <w:sz w:val="32"/>
          <w:szCs w:val="32"/>
          <w:u w:color="FFFFFF"/>
        </w:rPr>
      </w:pPr>
      <w:r>
        <w:rPr>
          <w:rFonts w:ascii="方正仿宋简体" w:eastAsia="方正仿宋简体" w:hint="eastAsia"/>
          <w:color w:val="000000"/>
          <w:sz w:val="32"/>
          <w:szCs w:val="32"/>
          <w:lang w:val="zh-CN"/>
        </w:rPr>
        <w:t>3．资金使用。</w:t>
      </w:r>
      <w:r>
        <w:rPr>
          <w:rFonts w:ascii="方正仿宋简体" w:eastAsia="方正仿宋简体" w:cs="方正仿宋简体" w:hAnsi="方正仿宋简体" w:hint="eastAsia"/>
          <w:color w:val="000000"/>
          <w:sz w:val="32"/>
          <w:szCs w:val="32"/>
        </w:rPr>
        <w:t>截至2022年12月31日， 执法中队建设</w:t>
      </w:r>
      <w:r>
        <w:rPr>
          <w:rFonts w:ascii="方正仿宋简体" w:eastAsia="方正仿宋简体" w:cs="方正仿宋简体" w:hAnsi="方正仿宋简体"/>
          <w:color w:val="000000"/>
          <w:sz w:val="32"/>
          <w:szCs w:val="32"/>
        </w:rPr>
        <w:t>年度预算收入决算情况</w:t>
      </w:r>
      <w:r>
        <w:rPr>
          <w:rFonts w:ascii="方正仿宋简体" w:eastAsia="方正仿宋简体" w:cs="方正仿宋简体" w:hAnsi="方正仿宋简体" w:hint="eastAsia"/>
          <w:color w:val="000000"/>
          <w:sz w:val="32"/>
          <w:szCs w:val="32"/>
        </w:rPr>
        <w:t>：</w:t>
      </w:r>
      <w:r>
        <w:rPr>
          <w:rFonts w:ascii="方正仿宋简体" w:eastAsia="方正仿宋简体" w:cs="方正仿宋简体" w:hAnsi="方正仿宋简体"/>
          <w:color w:val="000000"/>
          <w:sz w:val="32"/>
          <w:szCs w:val="32"/>
        </w:rPr>
        <w:t>20</w:t>
      </w:r>
      <w:r>
        <w:rPr>
          <w:rFonts w:ascii="方正仿宋简体" w:eastAsia="方正仿宋简体" w:cs="方正仿宋简体" w:hAnsi="方正仿宋简体" w:hint="eastAsia"/>
          <w:color w:val="000000"/>
          <w:sz w:val="32"/>
          <w:szCs w:val="32"/>
        </w:rPr>
        <w:t>22</w:t>
      </w:r>
      <w:r>
        <w:rPr>
          <w:rFonts w:ascii="方正仿宋简体" w:eastAsia="方正仿宋简体" w:cs="方正仿宋简体" w:hAnsi="方正仿宋简体"/>
          <w:color w:val="000000"/>
          <w:sz w:val="32"/>
          <w:szCs w:val="32"/>
        </w:rPr>
        <w:t>年度收入合计</w:t>
      </w:r>
      <w:r>
        <w:rPr>
          <w:rFonts w:ascii="方正仿宋简体" w:eastAsia="方正仿宋简体" w:cs="方正仿宋简体" w:hAnsi="方正仿宋简体" w:hint="eastAsia"/>
          <w:color w:val="000000"/>
          <w:sz w:val="32"/>
          <w:szCs w:val="32"/>
        </w:rPr>
        <w:t>27.736</w:t>
      </w:r>
      <w:r>
        <w:rPr>
          <w:rFonts w:ascii="方正仿宋简体" w:eastAsia="方正仿宋简体" w:cs="方正仿宋简体" w:hAnsi="方正仿宋简体"/>
          <w:color w:val="000000"/>
          <w:sz w:val="32"/>
          <w:szCs w:val="32"/>
        </w:rPr>
        <w:t>万元，其中：财政拨款收入</w:t>
      </w:r>
      <w:r>
        <w:rPr>
          <w:rFonts w:ascii="方正仿宋简体" w:eastAsia="方正仿宋简体" w:cs="方正仿宋简体" w:hAnsi="方正仿宋简体" w:hint="eastAsia"/>
          <w:color w:val="000000"/>
          <w:sz w:val="32"/>
          <w:szCs w:val="32"/>
        </w:rPr>
        <w:t>277360</w:t>
      </w:r>
      <w:r>
        <w:rPr>
          <w:rFonts w:ascii="方正仿宋简体" w:eastAsia="方正仿宋简体" w:cs="方正仿宋简体" w:hAnsi="方正仿宋简体"/>
          <w:color w:val="000000"/>
          <w:sz w:val="32"/>
          <w:szCs w:val="32"/>
        </w:rPr>
        <w:t>元，占 </w:t>
      </w:r>
      <w:r>
        <w:rPr>
          <w:rFonts w:ascii="方正仿宋简体" w:eastAsia="方正仿宋简体" w:cs="方正仿宋简体" w:hAnsi="方正仿宋简体" w:hint="eastAsia"/>
          <w:color w:val="000000"/>
          <w:sz w:val="32"/>
          <w:szCs w:val="32"/>
        </w:rPr>
        <w:t>100</w:t>
      </w:r>
      <w:r>
        <w:rPr>
          <w:rFonts w:ascii="方正仿宋简体" w:eastAsia="方正仿宋简体" w:cs="方正仿宋简体" w:hAnsi="方正仿宋简体"/>
          <w:color w:val="000000"/>
          <w:sz w:val="32"/>
          <w:szCs w:val="32"/>
        </w:rPr>
        <w:t>%；年度预算支出情况：20</w:t>
      </w:r>
      <w:r>
        <w:rPr>
          <w:rFonts w:ascii="方正仿宋简体" w:eastAsia="方正仿宋简体" w:cs="方正仿宋简体" w:hAnsi="方正仿宋简体" w:hint="eastAsia"/>
          <w:color w:val="000000"/>
          <w:sz w:val="32"/>
          <w:szCs w:val="32"/>
        </w:rPr>
        <w:t>22</w:t>
      </w:r>
      <w:r>
        <w:rPr>
          <w:rFonts w:ascii="方正仿宋简体" w:eastAsia="方正仿宋简体" w:cs="方正仿宋简体" w:hAnsi="方正仿宋简体"/>
          <w:color w:val="000000"/>
          <w:sz w:val="32"/>
          <w:szCs w:val="32"/>
        </w:rPr>
        <w:t>年度支出合计</w:t>
      </w:r>
      <w:r>
        <w:rPr>
          <w:rFonts w:ascii="方正仿宋简体" w:eastAsia="方正仿宋简体" w:cs="方正仿宋简体" w:hAnsi="方正仿宋简体" w:hint="eastAsia"/>
          <w:color w:val="000000"/>
          <w:sz w:val="32"/>
          <w:szCs w:val="32"/>
        </w:rPr>
        <w:t>227360</w:t>
      </w:r>
      <w:r>
        <w:rPr>
          <w:rFonts w:ascii="方正仿宋简体" w:eastAsia="方正仿宋简体" w:cs="方正仿宋简体" w:hAnsi="方正仿宋简体"/>
          <w:color w:val="000000"/>
          <w:sz w:val="32"/>
          <w:szCs w:val="32"/>
        </w:rPr>
        <w:t>元，其中：项目支出</w:t>
      </w:r>
      <w:r>
        <w:rPr>
          <w:rFonts w:ascii="方正仿宋简体" w:eastAsia="方正仿宋简体" w:cs="方正仿宋简体" w:hAnsi="方正仿宋简体" w:hint="eastAsia"/>
          <w:color w:val="000000"/>
          <w:sz w:val="32"/>
          <w:szCs w:val="32"/>
        </w:rPr>
        <w:t>227360</w:t>
      </w:r>
      <w:r>
        <w:rPr>
          <w:rFonts w:ascii="方正仿宋简体" w:eastAsia="方正仿宋简体" w:cs="方正仿宋简体" w:hAnsi="方正仿宋简体"/>
          <w:sz w:val="32"/>
          <w:szCs w:val="32"/>
        </w:rPr>
        <w:t>元，占</w:t>
      </w:r>
      <w:r>
        <w:rPr>
          <w:rFonts w:ascii="方正仿宋简体" w:eastAsia="方正仿宋简体" w:cs="方正仿宋简体" w:hAnsi="方正仿宋简体" w:hint="eastAsia"/>
          <w:sz w:val="32"/>
          <w:szCs w:val="32"/>
        </w:rPr>
        <w:t>81.97</w:t>
      </w:r>
      <w:r>
        <w:rPr>
          <w:rFonts w:ascii="方正仿宋简体" w:eastAsia="方正仿宋简体" w:cs="方正仿宋简体" w:hAnsi="方正仿宋简体"/>
          <w:sz w:val="32"/>
          <w:szCs w:val="32"/>
        </w:rPr>
        <w:t>%；</w:t>
      </w:r>
      <w:r>
        <w:rPr>
          <w:rFonts w:ascii="方正仿宋简体" w:eastAsia="方正仿宋简体" w:cs="方正仿宋简体" w:hAnsi="方正仿宋简体" w:hint="eastAsia"/>
          <w:sz w:val="32"/>
          <w:szCs w:val="32"/>
        </w:rPr>
        <w:t>未使用原因是：2022</w:t>
      </w:r>
      <w:r>
        <w:rPr>
          <w:rFonts w:ascii="方正仿宋简体" w:eastAsia="方正仿宋简体" w:cs="方正仿宋简体" w:hAnsi="方正仿宋简体" w:hint="eastAsia"/>
          <w:sz w:val="32"/>
          <w:szCs w:val="32"/>
          <w:u w:color="FFFFFF"/>
        </w:rPr>
        <w:t>年</w:t>
      </w:r>
      <w:r>
        <w:rPr>
          <w:rFonts w:ascii="方正仿宋简体" w:eastAsia="方正仿宋简体" w:cs="方正仿宋简体" w:hAnsi="方正仿宋简体" w:hint="eastAsia"/>
          <w:sz w:val="32"/>
          <w:szCs w:val="32"/>
          <w:u w:val="single" w:color="FFFFFF"/>
        </w:rPr>
        <w:t>四季度申报的资金使用计划50000元，因国库未审核，导</w:t>
      </w:r>
      <w:r>
        <w:rPr>
          <w:rFonts w:ascii="方正仿宋简体" w:eastAsia="方正仿宋简体" w:cs="方正仿宋简体" w:hAnsi="方正仿宋简体" w:hint="eastAsia"/>
          <w:sz w:val="32"/>
          <w:szCs w:val="32"/>
          <w:u w:color="FFFFFF"/>
        </w:rPr>
        <w:t>致各项经费未能及时支付、资金未及时使用；年终决算后，</w:t>
      </w:r>
      <w:r>
        <w:rPr>
          <w:rFonts w:ascii="方正仿宋简体" w:eastAsia="方正仿宋简体" w:cs="方正仿宋简体" w:hAnsi="方正仿宋简体" w:hint="eastAsia"/>
          <w:sz w:val="32"/>
          <w:szCs w:val="32"/>
          <w:u w:val="single" w:color="FFFFFF"/>
        </w:rPr>
        <w:t>执法中队建设资金暂未收到进行结转的通知。</w:t>
      </w:r>
    </w:p>
    <w:p>
      <w:pPr>
        <w:pStyle w:val="25"/>
        <w:shd w:val="clear" w:color="auto" w:fill="FFFFFF"/>
        <w:spacing w:before="150" w:beforeAutospacing="0" w:after="0" w:afterAutospacing="0" w:line="540" w:lineRule="atLeast"/>
        <w:ind w:firstLineChars="223" w:firstLine="714"/>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（三）项目财务管理情况</w:t>
      </w:r>
    </w:p>
    <w:p>
      <w:pPr>
        <w:adjustRightInd w:val="0"/>
        <w:snapToGrid w:val="0"/>
        <w:spacing w:line="560" w:lineRule="exact"/>
        <w:ind w:firstLine="72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区级专项资金到位后，我局严格按照专款专用的原则，实行单独建账，独立核算，专人专账，专项管理，严格按财务审批手续制度审核。严禁挪作他用和资金截留。</w:t>
      </w:r>
    </w:p>
    <w:p>
      <w:pPr>
        <w:adjustRightInd w:val="0"/>
        <w:snapToGrid w:val="0"/>
        <w:spacing w:line="560" w:lineRule="exact"/>
        <w:ind w:firstLineChars="200" w:firstLine="640"/>
        <w:rPr>
          <w:rFonts w:ascii="方正黑体简体" w:eastAsia="方正黑体简体" w:hAnsi="宋体"/>
          <w:sz w:val="32"/>
          <w:szCs w:val="32"/>
          <w:lang w:val="zh-CN"/>
        </w:rPr>
      </w:pPr>
      <w:r>
        <w:rPr>
          <w:rFonts w:ascii="方正黑体简体" w:eastAsia="方正黑体简体" w:hAnsi="宋体" w:hint="eastAsia"/>
          <w:sz w:val="32"/>
          <w:szCs w:val="32"/>
          <w:lang w:val="zh-CN"/>
        </w:rPr>
        <w:t>三、项目实施及管理情况</w:t>
      </w:r>
    </w:p>
    <w:p>
      <w:pPr>
        <w:adjustRightInd w:val="0"/>
        <w:snapToGrid w:val="0"/>
        <w:spacing w:line="560" w:lineRule="exact"/>
        <w:ind w:firstLine="72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color w:val="000000"/>
          <w:sz w:val="32"/>
          <w:szCs w:val="32"/>
        </w:rPr>
        <w:t>总的来说，我单位财务管理较为严格，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w:t>
      </w:r>
    </w:p>
    <w:p>
      <w:pPr>
        <w:adjustRightInd w:val="0"/>
        <w:snapToGrid w:val="0"/>
        <w:spacing w:line="560" w:lineRule="exact"/>
        <w:ind w:firstLineChars="200" w:firstLine="640"/>
        <w:rPr>
          <w:rFonts w:ascii="方正黑体简体" w:eastAsia="方正黑体简体" w:hAnsi="宋体"/>
          <w:sz w:val="32"/>
          <w:szCs w:val="32"/>
          <w:lang w:val="zh-CN"/>
        </w:rPr>
      </w:pPr>
      <w:r>
        <w:rPr>
          <w:rFonts w:ascii="方正黑体简体" w:eastAsia="方正黑体简体" w:hAnsi="宋体" w:hint="eastAsia"/>
          <w:sz w:val="32"/>
          <w:szCs w:val="32"/>
          <w:lang w:val="zh-CN"/>
        </w:rPr>
        <w:t>四、项目绩效评价指标分析</w:t>
        <w:tab/>
      </w:r>
    </w:p>
    <w:p>
      <w:pPr>
        <w:adjustRightInd w:val="0"/>
        <w:snapToGrid w:val="0"/>
        <w:spacing w:line="560" w:lineRule="exact"/>
        <w:ind w:firstLine="720"/>
        <w:rPr>
          <w:rFonts w:ascii="方正楷体简体" w:eastAsia="方正楷体简体" w:hAnsi="宋体"/>
          <w:color w:val="000000"/>
          <w:sz w:val="32"/>
          <w:szCs w:val="32"/>
          <w:lang w:val="zh-CN"/>
        </w:rPr>
      </w:pPr>
      <w:r>
        <w:rPr>
          <w:rFonts w:ascii="方正楷体简体" w:eastAsia="方正楷体简体" w:hAnsi="宋体" w:hint="eastAsia"/>
          <w:color w:val="000000"/>
          <w:sz w:val="32"/>
          <w:szCs w:val="32"/>
          <w:lang w:val="zh-CN"/>
        </w:rPr>
        <w:t>1．项目完成情况</w:t>
      </w:r>
    </w:p>
    <w:p>
      <w:pPr>
        <w:adjustRightInd w:val="0"/>
        <w:snapToGrid w:val="0"/>
        <w:spacing w:line="560" w:lineRule="exact"/>
        <w:ind w:firstLine="72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2022年实施的执法中队建设，推动了全区应急执法监管工作，及时完成了辖区生产经营单位安全生产及重大危险源监控和重大事故隐患治理工作任务，</w:t>
      </w:r>
      <w:r>
        <w:rPr>
          <w:rFonts w:ascii="方正仿宋简体" w:eastAsia="方正仿宋简体" w:cs="方正仿宋简体" w:hAnsi="方正仿宋简体"/>
          <w:color w:val="000000"/>
          <w:sz w:val="32"/>
          <w:szCs w:val="32"/>
        </w:rPr>
        <w:t>开展烟花爆竹零售网点专项检查，“创安2021”专项执法行动，共检查企业58家。参与事故调查7起，其中：涉刑</w:t>
      </w:r>
      <w:r>
        <w:rPr>
          <w:rFonts w:ascii="方正仿宋简体" w:eastAsia="方正仿宋简体" w:cs="方正仿宋简体" w:hAnsi="方正仿宋简体" w:hint="eastAsia"/>
          <w:color w:val="000000"/>
          <w:sz w:val="32"/>
          <w:szCs w:val="32"/>
        </w:rPr>
        <w:t>事</w:t>
      </w:r>
      <w:r>
        <w:rPr>
          <w:rFonts w:ascii="方正仿宋简体" w:eastAsia="方正仿宋简体" w:cs="方正仿宋简体" w:hAnsi="方正仿宋简体"/>
          <w:color w:val="000000"/>
          <w:sz w:val="32"/>
          <w:szCs w:val="32"/>
        </w:rPr>
        <w:t>案件移送1起，立案查处生产安全事故5起。全年共处行政处罚款104.12万元，已收缴83.12万元，追缴跨年度罚款60.686万元，共收缴罚款143.806万元。</w:t>
      </w:r>
      <w:r>
        <w:rPr>
          <w:rFonts w:ascii="方正仿宋简体" w:eastAsia="方正仿宋简体" w:cs="方正仿宋简体" w:hAnsi="方正仿宋简体" w:hint="eastAsia"/>
          <w:color w:val="000000"/>
          <w:sz w:val="32"/>
          <w:szCs w:val="32"/>
        </w:rPr>
        <w:t>确保辖区企业安全生产。</w:t>
      </w:r>
    </w:p>
    <w:p>
      <w:pPr>
        <w:adjustRightInd w:val="0"/>
        <w:snapToGrid w:val="0"/>
        <w:spacing w:line="560" w:lineRule="exact"/>
        <w:ind w:firstLine="72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2．项目决策情况分析</w:t>
      </w:r>
    </w:p>
    <w:p>
      <w:pPr>
        <w:adjustRightInd w:val="0"/>
        <w:snapToGrid w:val="0"/>
        <w:spacing w:line="560" w:lineRule="exact"/>
        <w:ind w:firstLine="72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该笔工作经费是我局历年来经常性项目，项目申报前设立相应绩效目标，项目申报后，根据当年批准项目经费，根据工作实际和工作开展情况，合理安排使用资金。</w:t>
      </w:r>
    </w:p>
    <w:p>
      <w:pPr>
        <w:adjustRightInd w:val="0"/>
        <w:snapToGrid w:val="0"/>
        <w:spacing w:line="560" w:lineRule="exact"/>
        <w:ind w:firstLine="720"/>
        <w:rPr>
          <w:rFonts w:ascii="方正黑体简体" w:eastAsia="方正黑体简体" w:hAnsi="宋体"/>
          <w:color w:val="000000"/>
          <w:sz w:val="32"/>
          <w:szCs w:val="32"/>
          <w:lang w:val="zh-CN"/>
        </w:rPr>
      </w:pPr>
      <w:r>
        <w:rPr>
          <w:rFonts w:ascii="方正黑体简体" w:eastAsia="方正黑体简体" w:hAnsi="宋体" w:hint="eastAsia"/>
          <w:color w:val="000000"/>
          <w:sz w:val="32"/>
          <w:szCs w:val="32"/>
          <w:lang w:val="zh-CN"/>
        </w:rPr>
        <w:t>五、评价结论及建议</w:t>
      </w:r>
    </w:p>
    <w:p>
      <w:pPr>
        <w:spacing w:line="576"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（一）评价结论。</w:t>
      </w:r>
    </w:p>
    <w:p>
      <w:pPr>
        <w:spacing w:line="576"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 xml:space="preserve"> 项目支出绩效目标设置了数量、质量、成本、经济效益、社会效益、可持续影响、满意度等指标。通过绩效自评，年初设置的绩效目标已基本完成，自评95分。</w:t>
      </w:r>
    </w:p>
    <w:p>
      <w:pPr>
        <w:adjustRightInd w:val="0"/>
        <w:snapToGrid w:val="0"/>
        <w:spacing w:line="560" w:lineRule="exact"/>
        <w:ind w:firstLineChars="200" w:firstLine="640"/>
        <w:rPr>
          <w:rFonts w:ascii="方正黑体简体" w:eastAsia="方正黑体简体" w:hAnsi="宋体"/>
          <w:sz w:val="32"/>
          <w:szCs w:val="32"/>
          <w:lang w:val="zh-CN"/>
        </w:rPr>
      </w:pPr>
      <w:r>
        <w:rPr>
          <w:rFonts w:ascii="方正黑体简体" w:eastAsia="方正黑体简体" w:hAnsi="宋体" w:hint="eastAsia"/>
          <w:sz w:val="32"/>
          <w:szCs w:val="32"/>
          <w:lang w:val="zh-CN"/>
        </w:rPr>
        <w:t>六、存在的问题</w:t>
      </w:r>
    </w:p>
    <w:p>
      <w:pPr>
        <w:spacing w:line="576"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1.预算绩效目标编制还不够完善，科学性、合理性、严谨性和可控性有所缺乏。</w:t>
      </w:r>
    </w:p>
    <w:p>
      <w:pPr>
        <w:spacing w:line="576"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2.在资金安排和使用上，及时性和规范性还有待加强。</w:t>
      </w:r>
    </w:p>
    <w:p>
      <w:pPr>
        <w:spacing w:line="576"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3.执法中队建设经费不足，其原因是：2022年区级财政预算27.73万元，只能满足于驾驶人员劳务费、保险，车辆燃油、保养支出、执法人员工作经费无法保障，建议增加经费4万元（三名驾驶员工资及各类保险年约23万元，车辆燃油及保险保养年约7万元），</w:t>
      </w:r>
    </w:p>
    <w:p>
      <w:pPr>
        <w:adjustRightInd w:val="0"/>
        <w:snapToGrid w:val="0"/>
        <w:spacing w:line="560" w:lineRule="exact"/>
        <w:ind w:firstLineChars="200" w:firstLine="640"/>
        <w:rPr>
          <w:rFonts w:ascii="方正黑体简体" w:eastAsia="方正黑体简体" w:hAnsi="宋体"/>
          <w:sz w:val="32"/>
          <w:szCs w:val="32"/>
          <w:lang w:val="zh-CN"/>
        </w:rPr>
      </w:pPr>
      <w:r>
        <w:rPr>
          <w:rFonts w:ascii="方正黑体简体" w:eastAsia="方正黑体简体" w:hAnsi="宋体" w:hint="eastAsia"/>
          <w:sz w:val="32"/>
          <w:szCs w:val="32"/>
          <w:lang w:val="zh-CN"/>
        </w:rPr>
        <w:t>七、相关建议</w:t>
      </w:r>
    </w:p>
    <w:p>
      <w:pPr>
        <w:spacing w:line="576"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r>
    </w:p>
    <w:p>
      <w:pPr>
        <w:spacing w:line="576"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2.按照预算规定的项目和用途严格财务审核，经费支出严格按预算规定项目的财务支出内容进行财务核算，在预算金额内严格控制费用的支出；</w:t>
      </w:r>
    </w:p>
    <w:p>
      <w:pPr>
        <w:spacing w:line="576"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3.预算财务分析常态化，定期做好预算支出财务分析，做好单位整体支出预算评价工作。</w:t>
      </w:r>
    </w:p>
    <w:p>
      <w:pPr>
        <w:spacing w:line="576" w:lineRule="exact"/>
        <w:ind w:firstLineChars="200" w:firstLine="640"/>
        <w:rPr>
          <w:rFonts w:ascii="方正仿宋简体" w:eastAsia="方正仿宋简体" w:cs="方正仿宋简体" w:hAnsi="方正仿宋简体"/>
          <w:color w:val="000000"/>
          <w:sz w:val="32"/>
          <w:szCs w:val="32"/>
        </w:rPr>
      </w:pPr>
    </w:p>
    <w:p>
      <w:pPr>
        <w:spacing w:line="576" w:lineRule="exact"/>
        <w:ind w:firstLineChars="200" w:firstLine="640"/>
        <w:rPr>
          <w:rFonts w:ascii="方正仿宋简体" w:eastAsia="方正仿宋简体" w:cs="方正仿宋简体" w:hAnsi="方正仿宋简体"/>
          <w:color w:val="000000"/>
          <w:sz w:val="32"/>
          <w:szCs w:val="32"/>
        </w:rPr>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tbl>
      <w:tblPr>
        <w:jc w:val="center"/>
        <w:tblW w:w="6002"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97"/>
        <w:gridCol w:w="894"/>
        <w:gridCol w:w="1425"/>
        <w:gridCol w:w="2225"/>
        <w:gridCol w:w="503"/>
        <w:gridCol w:w="1294"/>
        <w:gridCol w:w="363"/>
        <w:gridCol w:w="698"/>
        <w:gridCol w:w="429"/>
        <w:gridCol w:w="363"/>
        <w:gridCol w:w="2186"/>
      </w:tblGrid>
      <w:tr>
        <w:trPr>
          <w:trHeight w:val="285"/>
        </w:trPr>
        <w:tc>
          <w:tcPr>
            <w:tcW w:w="63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r>
              <w:rPr>
                <w:rFonts w:ascii="黑体" w:eastAsia="黑体" w:cs="宋体" w:hAnsi="宋体" w:hint="eastAsia"/>
                <w:color w:val="000000"/>
                <w:kern w:val="0"/>
                <w:sz w:val="32"/>
                <w:szCs w:val="32"/>
              </w:rPr>
              <w:t>附件4</w:t>
            </w:r>
          </w:p>
        </w:tc>
        <w:tc>
          <w:tcPr>
            <w:tcW w:w="655"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023"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22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595"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67"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31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97"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67"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003"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405"/>
        </w:trPr>
        <w:tc>
          <w:tcPr>
            <w:tcW w:w="5000" w:type="pct"/>
            <w:gridSpan w:val="11"/>
            <w:tcBorders>
              <w:top w:val="nil"/>
              <w:left w:val="nil"/>
              <w:bottom w:val="nil"/>
              <w:right w:val="nil"/>
            </w:tcBorders>
            <w:shd w:val="clear" w:color="auto" w:fill="auto"/>
            <w:vAlign w:val="center"/>
          </w:tcPr>
          <w:p>
            <w:pPr>
              <w:widowControl/>
              <w:jc w:val="center"/>
              <w:rPr>
                <w:rFonts w:ascii="方正小标宋简体" w:eastAsia="方正小标宋简体" w:cs="宋体" w:hAnsi="宋体"/>
                <w:color w:val="000000"/>
                <w:kern w:val="0"/>
                <w:sz w:val="28"/>
                <w:szCs w:val="28"/>
              </w:rPr>
            </w:pPr>
            <w:r>
              <w:rPr>
                <w:rFonts w:ascii="方正小标宋简体" w:eastAsia="方正小标宋简体" w:cs="宋体" w:hAnsi="宋体" w:hint="eastAsia"/>
                <w:color w:val="000000"/>
                <w:kern w:val="0"/>
                <w:sz w:val="28"/>
                <w:szCs w:val="28"/>
              </w:rPr>
              <w:t>部门预算、专项资金预算项目支出绩效目标自评表（2022年度）</w:t>
            </w:r>
          </w:p>
        </w:tc>
      </w:tr>
      <w:tr>
        <w:trPr>
          <w:trHeight w:val="270"/>
        </w:trPr>
        <w:tc>
          <w:tcPr>
            <w:tcW w:w="6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项目名称</w:t>
            </w:r>
          </w:p>
        </w:tc>
        <w:tc>
          <w:tcPr>
            <w:tcW w:w="4360" w:type="pct"/>
            <w:gridSpan w:val="9"/>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执法中队建设</w:t>
            </w:r>
          </w:p>
        </w:tc>
      </w:tr>
      <w:tr>
        <w:trPr>
          <w:trHeight w:val="282"/>
        </w:trPr>
        <w:tc>
          <w:tcPr>
            <w:tcW w:w="6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主管部门</w:t>
            </w:r>
          </w:p>
        </w:tc>
        <w:tc>
          <w:tcPr>
            <w:tcW w:w="2671" w:type="pct"/>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31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xml:space="preserve">实施单位 </w:t>
            </w:r>
          </w:p>
        </w:tc>
        <w:tc>
          <w:tcPr>
            <w:tcW w:w="1368"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区应急管理局</w:t>
            </w:r>
          </w:p>
        </w:tc>
      </w:tr>
      <w:tr>
        <w:trPr>
          <w:trHeight w:val="225"/>
        </w:trPr>
        <w:tc>
          <w:tcPr>
            <w:tcW w:w="228"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项目基本情况</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1.项目年度目标完成情况</w:t>
            </w:r>
          </w:p>
        </w:tc>
        <w:tc>
          <w:tcPr>
            <w:tcW w:w="2671" w:type="pct"/>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项目年度目标</w:t>
            </w:r>
          </w:p>
        </w:tc>
        <w:tc>
          <w:tcPr>
            <w:tcW w:w="1688" w:type="pct"/>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年度目标完成情况</w:t>
            </w:r>
          </w:p>
        </w:tc>
      </w:tr>
      <w:tr>
        <w:trPr>
          <w:trHeight w:val="1470"/>
        </w:trPr>
        <w:tc>
          <w:tcPr>
            <w:tcW w:w="228" w:type="pct"/>
            <w:vMerge/>
            <w:tcBorders>
              <w:top w:val="nil"/>
              <w:left w:val="single" w:sz="4" w:space="0" w:color="auto"/>
              <w:bottom w:val="single" w:sz="4" w:space="0" w:color="auto"/>
              <w:right w:val="single" w:sz="4" w:space="0" w:color="auto"/>
            </w:tcBorders>
            <w:vAlign w:val="center"/>
          </w:tcPr>
          <w:p/>
        </w:tc>
        <w:tc>
          <w:tcPr>
            <w:tcW w:w="411" w:type="pct"/>
            <w:vMerge/>
            <w:tcBorders>
              <w:top w:val="nil"/>
              <w:left w:val="single" w:sz="4" w:space="0" w:color="auto"/>
              <w:bottom w:val="single" w:sz="4" w:space="0" w:color="auto"/>
              <w:right w:val="single" w:sz="4" w:space="0" w:color="auto"/>
            </w:tcBorders>
            <w:vAlign w:val="center"/>
          </w:tcPr>
          <w:p/>
        </w:tc>
        <w:tc>
          <w:tcPr>
            <w:tcW w:w="2671"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通过强化应急管理和安全生产监管执法，进一步促进矿山、危化、烟花爆竹、商贸等行业领域生产经营单位落实安全生产主体责任，杜绝较大及以上生产安全事故，有效防范和减少一般事故发生。</w:t>
            </w:r>
          </w:p>
        </w:tc>
        <w:tc>
          <w:tcPr>
            <w:tcW w:w="1688" w:type="pct"/>
            <w:gridSpan w:val="4"/>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2022年实施的执法中队建设，推动了全区应急执法监管工作，及时完成了辖区生产经营单位安全生产及重大危险源监控和重大事故隐患治理工作任务，开展烟花爆竹零售网点专项检查，“创安2021”专项执法行动，共检查企业58家。参与事故调查7起，其中：涉刑事案件移送1起，立案查处生产安全事故5起。全年共处行政处罚款104.12万元，已收缴83.12万元，追缴跨年度罚款60.686万元，共收缴罚款143.806万元。确保辖区企业安全生产。</w:t>
            </w:r>
          </w:p>
        </w:tc>
      </w:tr>
      <w:tr>
        <w:trPr>
          <w:trHeight w:val="720"/>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2.项目实施内容及过程概述</w:t>
            </w:r>
          </w:p>
        </w:tc>
        <w:tc>
          <w:tcPr>
            <w:tcW w:w="4360" w:type="pct"/>
            <w:gridSpan w:val="9"/>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xml:space="preserve"> 按照《2022年度安全生产监督检查计划》，对27家企业开展安全检查，其中检查重点企业23家、双随机检查4家。执法中队负责辖区生产经营单位安全生产重大危险源监控和重大事故隐患治理情况进行动态监察，负责受理和查处有关安全生产方面的投诉、举报和上级交办、有关部门移送以及通过检查发现的生产经营单位违反安全生产法律、法规和规章的案件及违法行为，参与安全生产事故的调查，安全生产执法统计和执法情况分析。</w:t>
            </w:r>
          </w:p>
        </w:tc>
      </w:tr>
      <w:tr>
        <w:trPr>
          <w:trHeight w:val="360"/>
        </w:trPr>
        <w:tc>
          <w:tcPr>
            <w:tcW w:w="228"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预算执行情况</w:t>
              <w:br/>
              <w:t>（10分）</w:t>
            </w:r>
          </w:p>
        </w:tc>
        <w:tc>
          <w:tcPr>
            <w:tcW w:w="4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年度预算数</w:t>
              <w:br/>
              <w:t>（万元）</w:t>
            </w:r>
          </w:p>
        </w:tc>
        <w:tc>
          <w:tcPr>
            <w:tcW w:w="65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年初预算</w:t>
            </w:r>
          </w:p>
        </w:tc>
        <w:tc>
          <w:tcPr>
            <w:tcW w:w="102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调整后预算数</w:t>
            </w:r>
          </w:p>
        </w:tc>
        <w:tc>
          <w:tcPr>
            <w:tcW w:w="991"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预算执行数</w:t>
            </w:r>
          </w:p>
        </w:tc>
        <w:tc>
          <w:tcPr>
            <w:tcW w:w="31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预算执行率</w:t>
            </w:r>
          </w:p>
        </w:tc>
        <w:tc>
          <w:tcPr>
            <w:tcW w:w="19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原因</w:t>
            </w:r>
          </w:p>
        </w:tc>
      </w:tr>
      <w:tr>
        <w:trPr>
          <w:trHeight w:val="319"/>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总额</w:t>
            </w:r>
          </w:p>
        </w:tc>
        <w:tc>
          <w:tcPr>
            <w:tcW w:w="65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27.74</w:t>
            </w:r>
          </w:p>
        </w:tc>
        <w:tc>
          <w:tcPr>
            <w:tcW w:w="102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91"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27.74</w:t>
            </w:r>
          </w:p>
        </w:tc>
        <w:tc>
          <w:tcPr>
            <w:tcW w:w="31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9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03"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40"/>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其中：财政资金</w:t>
            </w:r>
          </w:p>
        </w:tc>
        <w:tc>
          <w:tcPr>
            <w:tcW w:w="65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27.74</w:t>
            </w:r>
          </w:p>
        </w:tc>
        <w:tc>
          <w:tcPr>
            <w:tcW w:w="102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91"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22.74</w:t>
            </w:r>
          </w:p>
        </w:tc>
        <w:tc>
          <w:tcPr>
            <w:tcW w:w="31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9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03" w:type="pct"/>
            <w:vMerge/>
            <w:tcBorders>
              <w:top w:val="nil"/>
              <w:left w:val="single" w:sz="4" w:space="0" w:color="auto"/>
              <w:bottom w:val="single" w:sz="4" w:space="0" w:color="auto"/>
              <w:right w:val="single" w:sz="4" w:space="0" w:color="auto"/>
            </w:tcBorders>
            <w:vAlign w:val="center"/>
          </w:tcPr>
          <w:p/>
        </w:tc>
      </w:tr>
      <w:tr>
        <w:trPr>
          <w:trHeight w:val="240"/>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财政专户管理资金</w:t>
            </w:r>
          </w:p>
        </w:tc>
        <w:tc>
          <w:tcPr>
            <w:tcW w:w="65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2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91"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1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03" w:type="pct"/>
            <w:vMerge/>
            <w:tcBorders>
              <w:top w:val="nil"/>
              <w:left w:val="single" w:sz="4" w:space="0" w:color="auto"/>
              <w:bottom w:val="single" w:sz="4" w:space="0" w:color="auto"/>
              <w:right w:val="single" w:sz="4" w:space="0" w:color="auto"/>
            </w:tcBorders>
            <w:vAlign w:val="center"/>
          </w:tcPr>
          <w:p/>
        </w:tc>
      </w:tr>
      <w:tr>
        <w:trPr>
          <w:trHeight w:val="225"/>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单位资金</w:t>
            </w:r>
          </w:p>
        </w:tc>
        <w:tc>
          <w:tcPr>
            <w:tcW w:w="65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2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91"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1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03" w:type="pct"/>
            <w:vMerge/>
            <w:tcBorders>
              <w:top w:val="nil"/>
              <w:left w:val="single" w:sz="4" w:space="0" w:color="auto"/>
              <w:bottom w:val="single" w:sz="4" w:space="0" w:color="auto"/>
              <w:right w:val="single" w:sz="4" w:space="0" w:color="auto"/>
            </w:tcBorders>
            <w:vAlign w:val="center"/>
          </w:tcPr>
          <w:p/>
        </w:tc>
      </w:tr>
      <w:tr>
        <w:trPr>
          <w:trHeight w:val="225"/>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其他资金</w:t>
            </w:r>
          </w:p>
        </w:tc>
        <w:tc>
          <w:tcPr>
            <w:tcW w:w="65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02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991"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31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9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03" w:type="pct"/>
            <w:vMerge/>
            <w:tcBorders>
              <w:top w:val="nil"/>
              <w:left w:val="single" w:sz="4" w:space="0" w:color="auto"/>
              <w:bottom w:val="single" w:sz="4" w:space="0" w:color="auto"/>
              <w:right w:val="single" w:sz="4" w:space="0" w:color="auto"/>
            </w:tcBorders>
            <w:vAlign w:val="center"/>
          </w:tcPr>
          <w:p/>
        </w:tc>
      </w:tr>
      <w:tr>
        <w:trPr>
          <w:trHeight w:val="480"/>
        </w:trPr>
        <w:tc>
          <w:tcPr>
            <w:tcW w:w="228"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绩效指标（90分）</w:t>
            </w:r>
          </w:p>
        </w:tc>
        <w:tc>
          <w:tcPr>
            <w:tcW w:w="4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65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102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三级指标</w:t>
            </w:r>
          </w:p>
        </w:tc>
        <w:tc>
          <w:tcPr>
            <w:tcW w:w="22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指标性质</w:t>
            </w:r>
          </w:p>
        </w:tc>
        <w:tc>
          <w:tcPr>
            <w:tcW w:w="59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指标值</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度量单位</w:t>
            </w:r>
          </w:p>
        </w:tc>
        <w:tc>
          <w:tcPr>
            <w:tcW w:w="31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完成值</w:t>
            </w:r>
          </w:p>
        </w:tc>
        <w:tc>
          <w:tcPr>
            <w:tcW w:w="19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未完成原因分析</w:t>
            </w:r>
          </w:p>
        </w:tc>
      </w:tr>
      <w:tr>
        <w:trPr>
          <w:trHeight w:val="270"/>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5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102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驾驶员工资及保险</w:t>
            </w:r>
          </w:p>
        </w:tc>
        <w:tc>
          <w:tcPr>
            <w:tcW w:w="22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595"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3</w:t>
            </w:r>
          </w:p>
        </w:tc>
        <w:tc>
          <w:tcPr>
            <w:tcW w:w="1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人</w:t>
            </w:r>
          </w:p>
        </w:tc>
        <w:tc>
          <w:tcPr>
            <w:tcW w:w="31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00"/>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5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102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事故发生次数</w:t>
            </w:r>
          </w:p>
        </w:tc>
        <w:tc>
          <w:tcPr>
            <w:tcW w:w="22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595"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0</w:t>
            </w:r>
          </w:p>
        </w:tc>
        <w:tc>
          <w:tcPr>
            <w:tcW w:w="1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起</w:t>
            </w:r>
          </w:p>
        </w:tc>
        <w:tc>
          <w:tcPr>
            <w:tcW w:w="31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25"/>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5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102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每月推进次数</w:t>
            </w:r>
          </w:p>
        </w:tc>
        <w:tc>
          <w:tcPr>
            <w:tcW w:w="22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595"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31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5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经济效益指标</w:t>
            </w:r>
          </w:p>
        </w:tc>
        <w:tc>
          <w:tcPr>
            <w:tcW w:w="102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减少事故发生、保障人民生命财产</w:t>
            </w:r>
          </w:p>
        </w:tc>
        <w:tc>
          <w:tcPr>
            <w:tcW w:w="22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9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营造良好发展环境</w:t>
            </w:r>
          </w:p>
        </w:tc>
        <w:tc>
          <w:tcPr>
            <w:tcW w:w="1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1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5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102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保障安全执法不断提高</w:t>
            </w:r>
          </w:p>
        </w:tc>
        <w:tc>
          <w:tcPr>
            <w:tcW w:w="22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9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1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5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102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安全生产持续推进</w:t>
            </w:r>
          </w:p>
        </w:tc>
        <w:tc>
          <w:tcPr>
            <w:tcW w:w="22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9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不断推进</w:t>
            </w:r>
          </w:p>
        </w:tc>
        <w:tc>
          <w:tcPr>
            <w:tcW w:w="1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1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95"/>
        </w:trPr>
        <w:tc>
          <w:tcPr>
            <w:tcW w:w="228" w:type="pct"/>
            <w:vMerge/>
            <w:tcBorders>
              <w:top w:val="nil"/>
              <w:left w:val="single" w:sz="4" w:space="0" w:color="auto"/>
              <w:bottom w:val="single" w:sz="4" w:space="0" w:color="auto"/>
              <w:right w:val="single" w:sz="4" w:space="0" w:color="auto"/>
            </w:tcBorders>
            <w:vAlign w:val="center"/>
          </w:tcPr>
          <w:p/>
        </w:tc>
        <w:tc>
          <w:tcPr>
            <w:tcW w:w="4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5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102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确保安全形势稳定</w:t>
            </w:r>
          </w:p>
        </w:tc>
        <w:tc>
          <w:tcPr>
            <w:tcW w:w="22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9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1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228"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w:t>
            </w:r>
          </w:p>
        </w:tc>
        <w:tc>
          <w:tcPr>
            <w:tcW w:w="4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655"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1023"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相关对象满意度</w:t>
            </w:r>
          </w:p>
        </w:tc>
        <w:tc>
          <w:tcPr>
            <w:tcW w:w="22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595"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6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31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9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6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0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55"/>
        </w:trPr>
        <w:tc>
          <w:tcPr>
            <w:tcW w:w="363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合计</w:t>
            </w:r>
          </w:p>
        </w:tc>
        <w:tc>
          <w:tcPr>
            <w:tcW w:w="197"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90</w:t>
            </w:r>
          </w:p>
        </w:tc>
        <w:tc>
          <w:tcPr>
            <w:tcW w:w="167" w:type="pct"/>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85</w:t>
            </w:r>
          </w:p>
        </w:tc>
        <w:tc>
          <w:tcPr>
            <w:tcW w:w="1003"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55"/>
        </w:trPr>
        <w:tc>
          <w:tcPr>
            <w:tcW w:w="228"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自评结论</w:t>
            </w:r>
          </w:p>
        </w:tc>
        <w:tc>
          <w:tcPr>
            <w:tcW w:w="4771" w:type="pct"/>
            <w:gridSpan w:val="10"/>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 xml:space="preserve"> 项目支出绩效目标设置了数量、质量、经济效益、社会效益、可持续影响、服务满意度等指标。通过绩效自评，年初设置的绩效目标已基本完成，自评分95分。</w:t>
            </w:r>
          </w:p>
        </w:tc>
      </w:tr>
      <w:tr>
        <w:trPr>
          <w:trHeight w:val="855"/>
        </w:trPr>
        <w:tc>
          <w:tcPr>
            <w:tcW w:w="228"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自评存在问题</w:t>
            </w:r>
          </w:p>
        </w:tc>
        <w:tc>
          <w:tcPr>
            <w:tcW w:w="4771" w:type="pct"/>
            <w:gridSpan w:val="10"/>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1.预算绩效目标编制还不够完善，科学性、合理性、严谨性和可控性有所缺乏。</w:t>
              <w:br/>
              <w:t>2.在资金安排和使用上，及时性和规范性还有待加强。</w:t>
              <w:br/>
              <w:t>3.执法中队建设经费不足，其原因是：2021年区级财政预算27.73万元，只能满足于驾驶人员劳务费、保险，车辆燃油、保养支出、执法人员工作经费无法保障，建议增加经费4万元（三名驾驶员工资及各类保险年约23万元，车辆燃油及保险保养年约7万元）</w:t>
            </w:r>
          </w:p>
        </w:tc>
      </w:tr>
      <w:tr>
        <w:trPr>
          <w:trHeight w:val="900"/>
        </w:trPr>
        <w:tc>
          <w:tcPr>
            <w:tcW w:w="228"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自评改进措施</w:t>
            </w:r>
          </w:p>
        </w:tc>
        <w:tc>
          <w:tcPr>
            <w:tcW w:w="4771"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after="240"/>
              <w:jc w:val="left"/>
              <w:rPr>
                <w:rFonts w:ascii="宋体" w:cs="宋体" w:hAnsi="宋体"/>
                <w:color w:val="000000"/>
                <w:kern w:val="0"/>
                <w:sz w:val="16"/>
                <w:szCs w:val="16"/>
              </w:rPr>
            </w:pPr>
            <w:r>
              <w:rPr>
                <w:rFonts w:ascii="宋体" w:cs="宋体" w:hAnsi="宋体" w:hint="eastAsia"/>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br/>
              <w:t>2.按照预算规定的项目和用途严格财务审核，经费支出严格按预算规定项目的财务支出内容进行财务核算，在预算金额内严格控制费用的支出；</w:t>
              <w:br/>
              <w:t>3.预算财务分析常态化，定期做好预算支出财务分析，做好单位整体支出预算评价工作。</w:t>
            </w:r>
          </w:p>
        </w:tc>
      </w:tr>
      <w:tr>
        <w:trPr>
          <w:trHeight w:val="270"/>
        </w:trPr>
        <w:tc>
          <w:tcPr>
            <w:tcW w:w="254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项目负责人：</w:t>
            </w:r>
          </w:p>
        </w:tc>
        <w:tc>
          <w:tcPr>
            <w:tcW w:w="2451" w:type="pct"/>
            <w:gridSpan w:val="6"/>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财务负责人：</w:t>
            </w:r>
          </w:p>
        </w:tc>
      </w:tr>
    </w:tbl>
    <w:p>
      <w:pPr>
        <w:pStyle w:val="15"/>
        <w:spacing w:beforeLines="0" w:before="93"/>
        <w:sectPr>
          <w:pgSz w:w="11906" w:h="16838"/>
          <w:pgMar w:top="2098" w:right="1474" w:bottom="1984" w:left="1587" w:header="851" w:footer="992" w:gutter="0"/>
          <w:cols w:num="1" w:space="0"/>
          <w:titlePg/>
          <w:docGrid w:type="lines" w:linePitch="312" w:charSpace="0"/>
        </w:sectPr>
      </w:pP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广元市利州区应急管理局</w:t>
      </w: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2022年非煤矿山及煤矿驻矿安监员下井补贴经费项目支出绩效自评报告</w:t>
      </w:r>
    </w:p>
    <w:p>
      <w:pPr>
        <w:spacing w:line="576" w:lineRule="exact"/>
        <w:ind w:firstLineChars="200" w:firstLine="880"/>
        <w:jc w:val="center"/>
        <w:rPr>
          <w:rFonts w:ascii="方正小标宋简体" w:eastAsia="方正小标宋简体" w:cs="方正小标宋简体" w:hAnsi="方正小标宋简体"/>
          <w:sz w:val="44"/>
          <w:szCs w:val="44"/>
        </w:rPr>
      </w:pPr>
    </w:p>
    <w:p>
      <w:pPr>
        <w:numPr>
          <w:ilvl w:val="0"/>
          <w:numId w:val="9"/>
        </w:numPr>
        <w:spacing w:line="576" w:lineRule="exact"/>
        <w:ind w:left="0"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项目概况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负责煤矿、非煤矿山（含地质勘探）、石油（炼化、成品油管道除外）、冶金、有色、建材、机械、轻工、纺织、烟草、商贸等工矿商贸行业安全生产监督管理工作，承担非煤矿山复工复产验收工作，依法监督检查工矿商贸企业贯彻落实安全生产法律法规、标准情况及其安全生产条件、设施设备安全情况。监督指导工矿商贸企业安全生产标准化、双重预防控制体系建设等工作。</w:t>
      </w:r>
    </w:p>
    <w:p>
      <w:pPr>
        <w:adjustRightInd w:val="0"/>
        <w:snapToGrid w:val="0"/>
        <w:spacing w:line="560" w:lineRule="exact"/>
        <w:ind w:firstLineChars="200" w:firstLine="64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lang w:val="zh-CN"/>
        </w:rPr>
        <w:t>二、专项资金使用及管理情况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非煤矿山及煤矿驻矿安监员下井补贴专项资金是指区级财政年初预算安排，用于我区非煤矿山及煤矿驻矿安监员下井补贴、安监人员巡查开支。其主要工作如下</w:t>
        <w:br/>
        <w:t xml:space="preserve">    1、对所驻煤矿企业实施经常性的安全检查和重点检查，现场检查中发现重大安全隐患和威胁职工生产安全的紧急情况时，有权要求立即停止作业，并采取必要措施。</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2、督促煤矿搞好新工人岗前培训、实施全员安全培训。督促煤矿及时送培安全管理人员、特殊工种岗位人员并持证上岗。</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3、打击煤矿违法违规生产建设行为，督促整改检查发现的隐患和问题；落实监察监管指令。</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4、要求每月下井15次。</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 xml:space="preserve"> (一)项目资金申报及批复情况。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（一）项目资金申报及批复情况。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该项目2022年1月至12月底，共申请非煤矿山及煤矿驻矿安监员下井补贴专项资金94000元，资金管理规范专款专用，资金使用与申报计划完全相符，合理、合法、合规。</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资金使用范围：</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（1）（乡镇、局内安监人员）煤矿驻矿安监员下井补贴补助。</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（2）非煤矿山驻矿安监员下井补贴</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（二）资金计划、到位及使用情况。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截至2022年12月31日，非煤矿山及煤矿驻矿安监员下井贴共计支出57787.36元。支出占比率61.48%。未使用原因是：2022年四季度申报的指标资金使用计划36212.64元，因国库未审核，导致各项经费未能及时支付、资金未及时使用；年终决算后，非煤矿山及煤矿驻矿下井补贴资金暂未收到进行结转的通知。</w:t>
      </w:r>
    </w:p>
    <w:p>
      <w:pPr>
        <w:adjustRightInd w:val="0"/>
        <w:snapToGrid w:val="0"/>
        <w:spacing w:line="560" w:lineRule="exact"/>
        <w:ind w:firstLineChars="200" w:firstLine="64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lang w:val="zh-CN"/>
        </w:rPr>
        <w:t>三、项目绩效情况</w:t>
        <w:tab/>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（一）项目完成情况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1、现场督促下井职工，特种作业人员并按要求穿戴安全防护用品，佩戴便携式瓦检仪、入井登记签字，查看井下头面与审批表上是否相符，查看是否有非法违法作业点、区域。</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（二）绩效评价原则、依据、评价指标体系等情况 </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本次自评工作本着真实客观原则，确保自评工作实事求是，数据准确，结果客观。</w:t>
      </w:r>
    </w:p>
    <w:p>
      <w:pPr>
        <w:adjustRightInd w:val="0"/>
        <w:snapToGrid w:val="0"/>
        <w:spacing w:line="560" w:lineRule="exact"/>
        <w:ind w:firstLineChars="200" w:firstLine="64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lang w:val="zh-CN"/>
        </w:rPr>
        <w:t>四、绩效评价指标分析 </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（一）项目决策情况分析 </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项目绩效目标明确，能定量化，执行到位，绩效目标完成率100%，达到预期效果。</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（二）项目过程情况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资金使用符合国家财经法规和财务管理制度以及有关专项资金管理办法。会计核算资料完整入账及时</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（三）项目产出情况</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该专项资金投向结构合理，资金拨付及时，项目管理制度健全，项目申报、评审、立项、监督管理、验收等各个阶段的组织实施规范。</w:t>
      </w:r>
    </w:p>
    <w:p>
      <w:pPr>
        <w:adjustRightInd w:val="0"/>
        <w:snapToGrid w:val="0"/>
        <w:spacing w:line="560" w:lineRule="exact"/>
        <w:ind w:firstLineChars="200" w:firstLine="640"/>
        <w:rPr>
          <w:rFonts w:ascii="方正黑体简体" w:eastAsia="方正黑体简体" w:cs="方正黑体简体" w:hAnsi="方正黑体简体"/>
          <w:sz w:val="32"/>
          <w:szCs w:val="32"/>
          <w:lang w:val="zh-CN"/>
        </w:rPr>
      </w:pPr>
      <w:r>
        <w:rPr>
          <w:rFonts w:ascii="方正黑体简体" w:eastAsia="方正黑体简体" w:cs="方正黑体简体" w:hAnsi="方正黑体简体" w:hint="eastAsia"/>
          <w:sz w:val="32"/>
          <w:szCs w:val="32"/>
          <w:lang w:val="zh-CN"/>
        </w:rPr>
        <w:t>五、评价结论及建议</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1.预算绩效管理工作领导小组，负责组织、协调评价考核相关工作。重视绩效跟踪检查工作，对发现的问题及时进行协调和整改，确保绩效目标正常运行，达到预期绩效目标。 </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2.存在的问题及原因分析 </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绩效管理体系需要进一步健全。绩效管理是一个完整系统，由绩效计划、绩效实施、绩效考核、绩效反馈四部分组成，四者紧密相连，缺一不可，但从目前管理现状看，绩效管理的整体性上还有差距，管理体系需要进一步健全。 </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对现行的预算绩效管理不适应。随着财政改革步伐的推进，预算绩效管理在财政改革中的地位与角色更加凸显，而当前绩效管理没有成熟模式，绩效管理人员缺乏专业知识和相应的工作经验，容易在绩效管理工作中产生各种错误，导致绩效管理结果出现偏差。 </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3.存在的问题及建议 </w:t>
      </w:r>
    </w:p>
    <w:p>
      <w:pPr>
        <w:spacing w:line="576"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建议区财政局多安排绩效管理业务指导和培训工作。 </w:t>
      </w:r>
    </w:p>
    <w:p>
      <w:pPr>
        <w:spacing w:line="576" w:lineRule="exact"/>
        <w:ind w:firstLineChars="200" w:firstLine="640"/>
        <w:rPr>
          <w:rFonts w:ascii="方正仿宋简体" w:eastAsia="方正仿宋简体" w:cs="方正仿宋简体" w:hAnsi="方正仿宋简体"/>
          <w:sz w:val="32"/>
          <w:szCs w:val="32"/>
        </w:rPr>
      </w:pPr>
    </w:p>
    <w:p>
      <w:pPr>
        <w:pStyle w:val="15"/>
        <w:spacing w:beforeLines="0" w:before="93"/>
        <w:rPr>
          <w:rFonts w:ascii="方正仿宋简体" w:eastAsia="方正仿宋简体" w:cs="方正仿宋简体" w:hAnsi="方正仿宋简体"/>
        </w:rPr>
      </w:pPr>
    </w:p>
    <w:p>
      <w:pPr>
        <w:pStyle w:val="15"/>
        <w:spacing w:beforeLines="0" w:before="93"/>
        <w:rPr>
          <w:rFonts w:ascii="方正仿宋简体" w:eastAsia="方正仿宋简体" w:cs="方正仿宋简体" w:hAnsi="方正仿宋简体"/>
        </w:rPr>
      </w:pPr>
    </w:p>
    <w:p>
      <w:pPr>
        <w:pStyle w:val="15"/>
        <w:spacing w:beforeLines="0" w:before="93"/>
        <w:rPr>
          <w:rFonts w:ascii="方正仿宋简体" w:eastAsia="方正仿宋简体" w:cs="方正仿宋简体" w:hAnsi="方正仿宋简体"/>
        </w:rPr>
      </w:pPr>
    </w:p>
    <w:p>
      <w:pPr>
        <w:pStyle w:val="15"/>
        <w:spacing w:beforeLines="0" w:before="93"/>
        <w:rPr>
          <w:rFonts w:ascii="方正仿宋简体" w:eastAsia="方正仿宋简体" w:cs="方正仿宋简体" w:hAnsi="方正仿宋简体"/>
        </w:rPr>
      </w:pPr>
    </w:p>
    <w:p>
      <w:pPr>
        <w:pStyle w:val="15"/>
        <w:spacing w:beforeLines="0" w:before="93"/>
        <w:jc w:val="center"/>
        <w:rPr>
          <w:rFonts w:ascii="方正仿宋简体" w:eastAsia="方正仿宋简体" w:cs="方正仿宋简体" w:hAnsi="方正仿宋简体"/>
        </w:rPr>
      </w:pPr>
      <w:r>
        <w:rPr>
          <w:rFonts w:ascii="方正仿宋简体" w:eastAsia="方正仿宋简体" w:cs="方正仿宋简体" w:hAnsi="方正仿宋简体" w:hint="eastAsia"/>
        </w:rPr>
        <w:t xml:space="preserve">               广元市利州区应急管理局</w:t>
      </w:r>
    </w:p>
    <w:p>
      <w:pPr>
        <w:pStyle w:val="15"/>
        <w:spacing w:beforeLines="0" w:before="93"/>
        <w:ind w:firstLineChars="250" w:firstLine="750"/>
        <w:rPr>
          <w:rFonts w:ascii="方正仿宋简体" w:eastAsia="方正仿宋简体" w:cs="方正仿宋简体" w:hAnsi="方正仿宋简体"/>
        </w:rPr>
      </w:pPr>
      <w:r>
        <w:rPr>
          <w:rFonts w:ascii="方正仿宋简体" w:eastAsia="方正仿宋简体" w:cs="方正仿宋简体" w:hAnsi="方正仿宋简体" w:hint="eastAsia"/>
        </w:rPr>
        <w:t xml:space="preserve">                         2023年5月6日</w:t>
      </w:r>
    </w:p>
    <w:p>
      <w:pPr>
        <w:pStyle w:val="15"/>
        <w:spacing w:beforeLines="0" w:before="93"/>
        <w:rPr>
          <w:rFonts w:ascii="方正仿宋简体" w:eastAsia="方正仿宋简体" w:cs="方正仿宋简体" w:hAnsi="方正仿宋简体"/>
        </w:rPr>
      </w:pPr>
    </w:p>
    <w:p>
      <w:pPr>
        <w:pStyle w:val="15"/>
        <w:spacing w:beforeLines="0" w:before="93"/>
        <w:rPr>
          <w:rFonts w:ascii="方正仿宋简体" w:eastAsia="方正仿宋简体" w:cs="方正仿宋简体" w:hAnsi="方正仿宋简体"/>
        </w:rPr>
      </w:pPr>
    </w:p>
    <w:p>
      <w:pPr>
        <w:pStyle w:val="15"/>
        <w:spacing w:beforeLines="0" w:before="93"/>
        <w:sectPr>
          <w:pgSz w:w="11906" w:h="16838"/>
          <w:pgMar w:top="2098" w:right="1474" w:bottom="1984" w:left="1587" w:header="851" w:footer="992" w:gutter="0"/>
          <w:cols w:num="1" w:space="0"/>
          <w:titlePg/>
          <w:docGrid w:type="lines" w:linePitch="312" w:charSpace="0"/>
        </w:sectPr>
      </w:pPr>
    </w:p>
    <w:tbl>
      <w:tblPr>
        <w:tblpPr w:leftFromText="180" w:rightFromText="180" w:vertAnchor="text" w:horzAnchor="page" w:tblpX="1424" w:tblpY="450"/>
        <w:tblOverlap w:val="never"/>
        <w:tblW w:w="5247" w:type="pct"/>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50"/>
        <w:gridCol w:w="369"/>
        <w:gridCol w:w="521"/>
        <w:gridCol w:w="976"/>
        <w:gridCol w:w="243"/>
        <w:gridCol w:w="186"/>
        <w:gridCol w:w="624"/>
        <w:gridCol w:w="310"/>
        <w:gridCol w:w="377"/>
        <w:gridCol w:w="295"/>
        <w:gridCol w:w="135"/>
        <w:gridCol w:w="179"/>
        <w:gridCol w:w="346"/>
        <w:gridCol w:w="99"/>
        <w:gridCol w:w="310"/>
        <w:gridCol w:w="671"/>
        <w:gridCol w:w="314"/>
        <w:gridCol w:w="346"/>
        <w:gridCol w:w="335"/>
        <w:gridCol w:w="283"/>
        <w:gridCol w:w="1457"/>
        <w:gridCol w:w="236"/>
        <w:gridCol w:w="48"/>
      </w:tblGrid>
      <w:tr>
        <w:trPr>
          <w:trHeight w:val="90"/>
          <w:gridAfter w:val="3"/>
          <w:wAfter w:w="1741" w:type="dxa"/>
        </w:trPr>
        <w:tc>
          <w:tcPr>
            <w:tcW w:w="641"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r>
              <w:rPr>
                <w:rFonts w:ascii="宋体" w:cs="宋体" w:hAnsi="宋体" w:hint="eastAsia"/>
                <w:color w:val="000000"/>
                <w:kern w:val="0"/>
                <w:sz w:val="22"/>
                <w:szCs w:val="22"/>
              </w:rPr>
              <w:t>附件4</w:t>
            </w:r>
          </w:p>
        </w:tc>
        <w:tc>
          <w:tcPr>
            <w:tcW w:w="787"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226"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32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63"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353"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65"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82"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091" w:type="pct"/>
            <w:gridSpan w:val="6"/>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4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4851" w:type="pct"/>
            <w:gridSpan w:val="21"/>
            <w:tcBorders>
              <w:top w:val="nil"/>
              <w:left w:val="nil"/>
              <w:bottom w:val="nil"/>
              <w:right w:val="nil"/>
            </w:tcBorders>
            <w:shd w:val="clear" w:color="auto" w:fill="auto"/>
            <w:vAlign w:val="center"/>
          </w:tcPr>
          <w:p>
            <w:pPr>
              <w:widowControl/>
              <w:jc w:val="center"/>
              <w:rPr>
                <w:rFonts w:ascii="方正小标宋简体" w:eastAsia="方正小标宋简体" w:cs="宋体" w:hAnsi="宋体"/>
                <w:color w:val="000000"/>
                <w:kern w:val="0"/>
                <w:sz w:val="44"/>
                <w:szCs w:val="44"/>
              </w:rPr>
            </w:pPr>
            <w:r>
              <w:rPr>
                <w:rFonts w:ascii="方正小标宋简体" w:eastAsia="方正小标宋简体" w:cs="宋体" w:hAnsi="宋体" w:hint="eastAsia"/>
                <w:color w:val="000000"/>
                <w:kern w:val="0"/>
                <w:sz w:val="44"/>
                <w:szCs w:val="44"/>
              </w:rPr>
              <w:t>部门预算、专项资金预算项目支出绩效目标自评表（2022年度）</w:t>
            </w:r>
          </w:p>
        </w:tc>
        <w:tc>
          <w:tcPr>
            <w:tcW w:w="12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9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项目名称</w:t>
            </w:r>
          </w:p>
        </w:tc>
        <w:tc>
          <w:tcPr>
            <w:tcW w:w="3936" w:type="pct"/>
            <w:gridSpan w:val="18"/>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非煤矿山及煤矿驻矿安监员下井补贴</w:t>
            </w:r>
          </w:p>
        </w:tc>
        <w:tc>
          <w:tcPr>
            <w:tcW w:w="12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9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主管部门</w:t>
            </w:r>
          </w:p>
        </w:tc>
        <w:tc>
          <w:tcPr>
            <w:tcW w:w="2145" w:type="pct"/>
            <w:gridSpan w:val="12"/>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35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xml:space="preserve">实施单位 </w:t>
            </w:r>
          </w:p>
        </w:tc>
        <w:tc>
          <w:tcPr>
            <w:tcW w:w="1438" w:type="pct"/>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12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447" w:type="pct"/>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项目基本情况</w:t>
            </w:r>
          </w:p>
        </w:tc>
        <w:tc>
          <w:tcPr>
            <w:tcW w:w="467" w:type="pct"/>
            <w:gridSpan w:val="2"/>
            <w:vMerge w:val="restar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1.项目年度目标完成情况</w:t>
            </w:r>
          </w:p>
        </w:tc>
        <w:tc>
          <w:tcPr>
            <w:tcW w:w="2145" w:type="pct"/>
            <w:gridSpan w:val="1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项目年度目标</w:t>
            </w:r>
          </w:p>
        </w:tc>
        <w:tc>
          <w:tcPr>
            <w:tcW w:w="1791" w:type="pct"/>
            <w:gridSpan w:val="6"/>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年度目标完成情况</w:t>
            </w:r>
          </w:p>
        </w:tc>
        <w:tc>
          <w:tcPr>
            <w:tcW w:w="12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447" w:type="pct"/>
            <w:vMerge/>
            <w:tcBorders>
              <w:top w:val="nil"/>
              <w:left w:val="single" w:sz="4" w:space="0" w:color="auto"/>
              <w:bottom w:val="single" w:sz="4" w:space="0" w:color="auto"/>
              <w:right w:val="single" w:sz="4" w:space="0" w:color="auto"/>
            </w:tcBorders>
            <w:vAlign w:val="center"/>
          </w:tcPr>
          <w:p/>
        </w:tc>
        <w:tc>
          <w:tcPr>
            <w:tcW w:w="467" w:type="pct"/>
            <w:gridSpan w:val="2"/>
            <w:vMerge/>
            <w:tcBorders>
              <w:top w:val="nil"/>
              <w:left w:val="single" w:sz="4" w:space="0" w:color="auto"/>
              <w:bottom w:val="single" w:sz="4" w:space="0" w:color="auto"/>
              <w:right w:val="single" w:sz="4" w:space="0" w:color="auto"/>
            </w:tcBorders>
            <w:vAlign w:val="center"/>
          </w:tcPr>
          <w:p/>
        </w:tc>
        <w:tc>
          <w:tcPr>
            <w:tcW w:w="2145" w:type="pct"/>
            <w:gridSpan w:val="12"/>
            <w:tcBorders>
              <w:top w:val="single" w:sz="4" w:space="0" w:color="auto"/>
              <w:left w:val="nil"/>
              <w:bottom w:val="single" w:sz="4" w:space="0" w:color="auto"/>
              <w:right w:val="single" w:sz="4" w:space="0" w:color="auto"/>
            </w:tcBorders>
            <w:shd w:val="clear" w:color="000000" w:fill="FFFFFF"/>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负责煤矿、非煤矿山（含地质勘探）、石油（炼化、成品油管道除外）、冶金、有色、建材、机械、轻工、纺织、烟草、商贸等工矿商贸行业安全生产监督管理工作，承担非煤矿山复工复产验收工作，依法监督检查工矿商贸企业贯彻落实安全生产法律法规、标准情况及其安全生产条件、设施设备安全情况。监督指导工矿商贸企业安全生产标准化、双重预防控制体系建设等工作。</w:t>
            </w:r>
          </w:p>
        </w:tc>
        <w:tc>
          <w:tcPr>
            <w:tcW w:w="1791" w:type="pct"/>
            <w:gridSpan w:val="6"/>
            <w:tcBorders>
              <w:top w:val="single" w:sz="4" w:space="0" w:color="auto"/>
              <w:left w:val="nil"/>
              <w:bottom w:val="single" w:sz="4" w:space="0" w:color="auto"/>
              <w:right w:val="single" w:sz="4" w:space="0" w:color="auto"/>
            </w:tcBorders>
            <w:shd w:val="clear" w:color="000000" w:fill="FFFFFF"/>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非煤矿山及煤矿驻矿安监员下井补贴专项资金是指区级财政年初预算安排，用于我区非煤矿山及煤矿驻矿安监员下井补贴、安监人员巡查开支。其主要工作如下</w:t>
              <w:br/>
              <w:t>1、对所驻煤矿企业实施经常性的安全检查和重点检查，现场检查中发现重大安全隐患和威胁职工生产安全的紧急情况时，有权要求立即停止作业，并采取必要措施。</w:t>
              <w:br/>
              <w:t>2、督促煤矿搞好新工人岗前培训、实施全员安全培训。督促煤矿及时送培安全管理人员、特殊工种岗位人员并持证上岗。</w:t>
              <w:br/>
              <w:t>3、打击煤矿违法违规生产建设行为，督促整改检查发现的隐患和问题；落实监察监管指令。</w:t>
              <w:br/>
              <w:t>4、要求每月下井15次。</w:t>
            </w:r>
          </w:p>
        </w:tc>
        <w:tc>
          <w:tcPr>
            <w:tcW w:w="12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447" w:type="pct"/>
            <w:vMerge/>
            <w:tcBorders>
              <w:top w:val="nil"/>
              <w:left w:val="single" w:sz="4" w:space="0" w:color="auto"/>
              <w:bottom w:val="single" w:sz="4" w:space="0" w:color="auto"/>
              <w:right w:val="single" w:sz="4" w:space="0" w:color="auto"/>
            </w:tcBorders>
            <w:vAlign w:val="center"/>
          </w:tcPr>
          <w:p/>
        </w:tc>
        <w:tc>
          <w:tcPr>
            <w:tcW w:w="467"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b/>
                <w:bCs/>
                <w:color w:val="000000"/>
                <w:kern w:val="0"/>
                <w:sz w:val="18"/>
                <w:szCs w:val="18"/>
              </w:rPr>
            </w:pPr>
            <w:r>
              <w:rPr>
                <w:rFonts w:ascii="宋体" w:cs="宋体" w:hAnsi="宋体" w:hint="eastAsia"/>
                <w:b/>
                <w:bCs/>
                <w:color w:val="000000"/>
                <w:kern w:val="0"/>
                <w:sz w:val="18"/>
                <w:szCs w:val="18"/>
              </w:rPr>
              <w:t>2.项目实施内容及过程概述</w:t>
            </w:r>
          </w:p>
        </w:tc>
        <w:tc>
          <w:tcPr>
            <w:tcW w:w="3936" w:type="pct"/>
            <w:gridSpan w:val="18"/>
            <w:tcBorders>
              <w:top w:val="single" w:sz="4" w:space="0" w:color="auto"/>
              <w:left w:val="nil"/>
              <w:bottom w:val="single" w:sz="4" w:space="0" w:color="auto"/>
              <w:right w:val="single" w:sz="4" w:space="0" w:color="auto"/>
            </w:tcBorders>
            <w:shd w:val="clear" w:color="000000" w:fill="FFFFFF"/>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1.非煤矿山及煤矿驻矿人员12人；2.每月不得少于15次；3.送培安全管理人员特殊岗位补贴；4.每次下井50元/次/人。</w:t>
            </w:r>
          </w:p>
        </w:tc>
        <w:tc>
          <w:tcPr>
            <w:tcW w:w="124" w:type="pct"/>
            <w:tcBorders>
              <w:top w:val="nil"/>
              <w:left w:val="nil"/>
              <w:bottom w:val="single" w:sz="4" w:space="0" w:color="auto"/>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预算执行情况</w:t>
              <w:br/>
              <w:t>（10分）</w:t>
            </w: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年度预算数</w:t>
              <w:br/>
              <w:t>（万元）</w:t>
            </w:r>
          </w:p>
        </w:tc>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年初预算</w:t>
            </w:r>
          </w:p>
        </w:tc>
        <w:tc>
          <w:tcPr>
            <w:tcW w:w="7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调整后预算数</w:t>
            </w:r>
          </w:p>
        </w:tc>
        <w:tc>
          <w:tcPr>
            <w:tcW w:w="7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预算执行数</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预算执行率</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0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原因</w:t>
            </w:r>
          </w:p>
        </w:tc>
        <w:tc>
          <w:tcPr>
            <w:tcW w:w="1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single" w:sz="4" w:space="0" w:color="auto"/>
              <w:left w:val="single" w:sz="4" w:space="0" w:color="auto"/>
              <w:bottom w:val="single" w:sz="4" w:space="0" w:color="auto"/>
              <w:right w:val="single" w:sz="4" w:space="0" w:color="auto"/>
            </w:tcBorders>
            <w:vAlign w:val="center"/>
          </w:tcP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总额</w:t>
            </w:r>
          </w:p>
        </w:tc>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9.40</w:t>
            </w:r>
          </w:p>
        </w:tc>
        <w:tc>
          <w:tcPr>
            <w:tcW w:w="7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9.40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9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single" w:sz="4" w:space="0" w:color="auto"/>
              <w:left w:val="single" w:sz="4" w:space="0" w:color="auto"/>
              <w:bottom w:val="single" w:sz="4" w:space="0" w:color="auto"/>
              <w:right w:val="single" w:sz="4" w:space="0" w:color="auto"/>
            </w:tcBorders>
            <w:vAlign w:val="center"/>
          </w:tcP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其中：财政资金</w:t>
            </w:r>
          </w:p>
        </w:tc>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9.40</w:t>
            </w:r>
          </w:p>
        </w:tc>
        <w:tc>
          <w:tcPr>
            <w:tcW w:w="7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9.40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91" w:type="pct"/>
            <w:gridSpan w:val="3"/>
            <w:vMerge/>
            <w:tcBorders>
              <w:top w:val="single" w:sz="4" w:space="0" w:color="auto"/>
              <w:left w:val="single" w:sz="4" w:space="0" w:color="auto"/>
              <w:bottom w:val="single" w:sz="4" w:space="0" w:color="auto"/>
              <w:right w:val="single" w:sz="4" w:space="0" w:color="auto"/>
            </w:tcBorders>
            <w:vAlign w:val="center"/>
          </w:tcPr>
          <w:p/>
        </w:tc>
        <w:tc>
          <w:tcPr>
            <w:tcW w:w="1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single" w:sz="4" w:space="0" w:color="auto"/>
              <w:left w:val="single" w:sz="4" w:space="0" w:color="auto"/>
              <w:bottom w:val="single" w:sz="4" w:space="0" w:color="auto"/>
              <w:right w:val="single" w:sz="4" w:space="0" w:color="auto"/>
            </w:tcBorders>
            <w:vAlign w:val="center"/>
          </w:tcP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财政专户管理资金</w:t>
            </w:r>
          </w:p>
        </w:tc>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91" w:type="pct"/>
            <w:gridSpan w:val="3"/>
            <w:vMerge/>
            <w:tcBorders>
              <w:top w:val="single" w:sz="4" w:space="0" w:color="auto"/>
              <w:left w:val="single" w:sz="4" w:space="0" w:color="auto"/>
              <w:bottom w:val="single" w:sz="4" w:space="0" w:color="auto"/>
              <w:right w:val="single" w:sz="4" w:space="0" w:color="auto"/>
            </w:tcBorders>
            <w:vAlign w:val="center"/>
          </w:tcPr>
          <w:p/>
        </w:tc>
        <w:tc>
          <w:tcPr>
            <w:tcW w:w="1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single" w:sz="4" w:space="0" w:color="auto"/>
              <w:left w:val="single" w:sz="4" w:space="0" w:color="auto"/>
              <w:bottom w:val="single" w:sz="4" w:space="0" w:color="auto"/>
              <w:right w:val="single" w:sz="4" w:space="0" w:color="auto"/>
            </w:tcBorders>
            <w:vAlign w:val="center"/>
          </w:tcP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单位资金</w:t>
            </w:r>
          </w:p>
        </w:tc>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91" w:type="pct"/>
            <w:gridSpan w:val="3"/>
            <w:vMerge/>
            <w:tcBorders>
              <w:top w:val="single" w:sz="4" w:space="0" w:color="auto"/>
              <w:left w:val="single" w:sz="4" w:space="0" w:color="auto"/>
              <w:bottom w:val="single" w:sz="4" w:space="0" w:color="auto"/>
              <w:right w:val="single" w:sz="4" w:space="0" w:color="auto"/>
            </w:tcBorders>
            <w:vAlign w:val="center"/>
          </w:tcPr>
          <w:p/>
        </w:tc>
        <w:tc>
          <w:tcPr>
            <w:tcW w:w="1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single" w:sz="4" w:space="0" w:color="auto"/>
              <w:left w:val="single" w:sz="4" w:space="0" w:color="auto"/>
              <w:bottom w:val="single" w:sz="4" w:space="0" w:color="auto"/>
              <w:right w:val="single" w:sz="4" w:space="0" w:color="auto"/>
            </w:tcBorders>
            <w:vAlign w:val="center"/>
          </w:tcPr>
          <w:p/>
        </w:tc>
        <w:tc>
          <w:tcPr>
            <w:tcW w:w="4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其他资金</w:t>
            </w:r>
          </w:p>
        </w:tc>
        <w:tc>
          <w:tcPr>
            <w:tcW w:w="6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78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71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091" w:type="pct"/>
            <w:gridSpan w:val="3"/>
            <w:vMerge/>
            <w:tcBorders>
              <w:top w:val="single" w:sz="4" w:space="0" w:color="auto"/>
              <w:left w:val="single" w:sz="4" w:space="0" w:color="auto"/>
              <w:bottom w:val="single" w:sz="4" w:space="0" w:color="auto"/>
              <w:right w:val="single" w:sz="4" w:space="0" w:color="auto"/>
            </w:tcBorders>
            <w:vAlign w:val="center"/>
          </w:tcPr>
          <w:p/>
        </w:tc>
        <w:tc>
          <w:tcPr>
            <w:tcW w:w="14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绩效指标（90分）</w:t>
            </w:r>
          </w:p>
        </w:tc>
        <w:tc>
          <w:tcPr>
            <w:tcW w:w="467" w:type="pct"/>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641" w:type="pct"/>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787" w:type="pct"/>
            <w:gridSpan w:val="4"/>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三级指标</w:t>
            </w:r>
          </w:p>
        </w:tc>
        <w:tc>
          <w:tcPr>
            <w:tcW w:w="226" w:type="pct"/>
            <w:gridSpan w:val="2"/>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指标性质</w:t>
            </w:r>
          </w:p>
        </w:tc>
        <w:tc>
          <w:tcPr>
            <w:tcW w:w="328" w:type="pct"/>
            <w:gridSpan w:val="3"/>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指标值</w:t>
            </w:r>
          </w:p>
        </w:tc>
        <w:tc>
          <w:tcPr>
            <w:tcW w:w="163" w:type="pc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度量单位</w:t>
            </w:r>
          </w:p>
        </w:tc>
        <w:tc>
          <w:tcPr>
            <w:tcW w:w="353" w:type="pc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完成值</w:t>
            </w:r>
          </w:p>
        </w:tc>
        <w:tc>
          <w:tcPr>
            <w:tcW w:w="165" w:type="pc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82" w:type="pct"/>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未完成原因分析</w:t>
            </w:r>
          </w:p>
        </w:tc>
        <w:tc>
          <w:tcPr>
            <w:tcW w:w="149" w:type="pct"/>
            <w:gridSpan w:val="2"/>
            <w:tcBorders>
              <w:top w:val="single" w:sz="4" w:space="0" w:color="auto"/>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nil"/>
              <w:left w:val="single" w:sz="4" w:space="0" w:color="auto"/>
              <w:bottom w:val="single" w:sz="4" w:space="0" w:color="auto"/>
              <w:right w:val="single" w:sz="4" w:space="0" w:color="auto"/>
            </w:tcBorders>
            <w:vAlign w:val="center"/>
          </w:tcPr>
          <w:p/>
        </w:tc>
        <w:tc>
          <w:tcPr>
            <w:tcW w:w="467"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41"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787" w:type="pct"/>
            <w:gridSpan w:val="4"/>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12人每月下井</w:t>
            </w:r>
          </w:p>
        </w:tc>
        <w:tc>
          <w:tcPr>
            <w:tcW w:w="226"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kern w:val="0"/>
                <w:sz w:val="18"/>
                <w:szCs w:val="18"/>
              </w:rPr>
            </w:pPr>
            <w:r>
              <w:rPr>
                <w:rFonts w:ascii="宋体" w:cs="宋体" w:hAnsi="宋体" w:hint="eastAsia"/>
                <w:kern w:val="0"/>
                <w:sz w:val="18"/>
                <w:szCs w:val="18"/>
              </w:rPr>
              <w:t>≥</w:t>
            </w:r>
          </w:p>
        </w:tc>
        <w:tc>
          <w:tcPr>
            <w:tcW w:w="328" w:type="pct"/>
            <w:gridSpan w:val="3"/>
            <w:tcBorders>
              <w:top w:val="nil"/>
              <w:left w:val="nil"/>
              <w:bottom w:val="single" w:sz="4" w:space="0" w:color="auto"/>
              <w:right w:val="single" w:sz="4" w:space="0" w:color="auto"/>
            </w:tcBorders>
            <w:shd w:val="clear" w:color="auto" w:fill="auto"/>
            <w:noWrap/>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50</w:t>
            </w:r>
          </w:p>
        </w:tc>
        <w:tc>
          <w:tcPr>
            <w:tcW w:w="16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元</w:t>
            </w:r>
          </w:p>
        </w:tc>
        <w:tc>
          <w:tcPr>
            <w:tcW w:w="35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5"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15</w:t>
            </w:r>
          </w:p>
        </w:tc>
        <w:tc>
          <w:tcPr>
            <w:tcW w:w="182"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1091"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4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nil"/>
              <w:left w:val="single" w:sz="4" w:space="0" w:color="auto"/>
              <w:bottom w:val="single" w:sz="4" w:space="0" w:color="auto"/>
              <w:right w:val="single" w:sz="4" w:space="0" w:color="auto"/>
            </w:tcBorders>
            <w:vAlign w:val="center"/>
          </w:tcPr>
          <w:p/>
        </w:tc>
        <w:tc>
          <w:tcPr>
            <w:tcW w:w="467"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41"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787" w:type="pct"/>
            <w:gridSpan w:val="4"/>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保障企业安全生产</w:t>
            </w:r>
          </w:p>
        </w:tc>
        <w:tc>
          <w:tcPr>
            <w:tcW w:w="226"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328" w:type="pct"/>
            <w:gridSpan w:val="3"/>
            <w:tcBorders>
              <w:top w:val="nil"/>
              <w:left w:val="nil"/>
              <w:bottom w:val="single" w:sz="4" w:space="0" w:color="auto"/>
              <w:right w:val="single" w:sz="4" w:space="0" w:color="auto"/>
            </w:tcBorders>
            <w:shd w:val="clear" w:color="auto" w:fill="auto"/>
            <w:noWrap/>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20</w:t>
            </w:r>
          </w:p>
        </w:tc>
        <w:tc>
          <w:tcPr>
            <w:tcW w:w="16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处</w:t>
            </w:r>
          </w:p>
        </w:tc>
        <w:tc>
          <w:tcPr>
            <w:tcW w:w="35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5" w:type="pct"/>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15</w:t>
            </w:r>
          </w:p>
        </w:tc>
        <w:tc>
          <w:tcPr>
            <w:tcW w:w="182"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13</w:t>
            </w:r>
          </w:p>
        </w:tc>
        <w:tc>
          <w:tcPr>
            <w:tcW w:w="1091"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4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nil"/>
              <w:left w:val="single" w:sz="4" w:space="0" w:color="auto"/>
              <w:bottom w:val="single" w:sz="4" w:space="0" w:color="auto"/>
              <w:right w:val="single" w:sz="4" w:space="0" w:color="auto"/>
            </w:tcBorders>
            <w:vAlign w:val="center"/>
          </w:tcPr>
          <w:p/>
        </w:tc>
        <w:tc>
          <w:tcPr>
            <w:tcW w:w="467"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41"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787" w:type="pct"/>
            <w:gridSpan w:val="4"/>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按时间进度推进</w:t>
            </w:r>
          </w:p>
        </w:tc>
        <w:tc>
          <w:tcPr>
            <w:tcW w:w="226"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328" w:type="pct"/>
            <w:gridSpan w:val="3"/>
            <w:tcBorders>
              <w:top w:val="nil"/>
              <w:left w:val="nil"/>
              <w:bottom w:val="single" w:sz="4" w:space="0" w:color="auto"/>
              <w:right w:val="single" w:sz="4" w:space="0" w:color="auto"/>
            </w:tcBorders>
            <w:shd w:val="clear" w:color="auto" w:fill="auto"/>
            <w:noWrap/>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15</w:t>
            </w:r>
          </w:p>
        </w:tc>
        <w:tc>
          <w:tcPr>
            <w:tcW w:w="16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月</w:t>
            </w:r>
          </w:p>
        </w:tc>
        <w:tc>
          <w:tcPr>
            <w:tcW w:w="35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5"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82"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91"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4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nil"/>
              <w:left w:val="single" w:sz="4" w:space="0" w:color="auto"/>
              <w:bottom w:val="single" w:sz="4" w:space="0" w:color="auto"/>
              <w:right w:val="single" w:sz="4" w:space="0" w:color="auto"/>
            </w:tcBorders>
            <w:vAlign w:val="center"/>
          </w:tcPr>
          <w:p/>
        </w:tc>
        <w:tc>
          <w:tcPr>
            <w:tcW w:w="467"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41"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787" w:type="pct"/>
            <w:gridSpan w:val="4"/>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提高专业技术水平</w:t>
            </w:r>
          </w:p>
        </w:tc>
        <w:tc>
          <w:tcPr>
            <w:tcW w:w="226"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328" w:type="pct"/>
            <w:gridSpan w:val="3"/>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6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5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5"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82"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91"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4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nil"/>
              <w:left w:val="single" w:sz="4" w:space="0" w:color="auto"/>
              <w:bottom w:val="single" w:sz="4" w:space="0" w:color="auto"/>
              <w:right w:val="single" w:sz="4" w:space="0" w:color="auto"/>
            </w:tcBorders>
            <w:vAlign w:val="center"/>
          </w:tcPr>
          <w:p/>
        </w:tc>
        <w:tc>
          <w:tcPr>
            <w:tcW w:w="467"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41"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787" w:type="pct"/>
            <w:gridSpan w:val="4"/>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保障生产生活正常运行</w:t>
            </w:r>
          </w:p>
        </w:tc>
        <w:tc>
          <w:tcPr>
            <w:tcW w:w="226"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328" w:type="pct"/>
            <w:gridSpan w:val="3"/>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不断推进</w:t>
            </w:r>
          </w:p>
        </w:tc>
        <w:tc>
          <w:tcPr>
            <w:tcW w:w="16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5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5" w:type="pct"/>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82"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91"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4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vMerge/>
            <w:tcBorders>
              <w:top w:val="nil"/>
              <w:left w:val="single" w:sz="4" w:space="0" w:color="auto"/>
              <w:bottom w:val="single" w:sz="4" w:space="0" w:color="auto"/>
              <w:right w:val="single" w:sz="4" w:space="0" w:color="auto"/>
            </w:tcBorders>
            <w:vAlign w:val="center"/>
          </w:tcPr>
          <w:p/>
        </w:tc>
        <w:tc>
          <w:tcPr>
            <w:tcW w:w="467"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41"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787" w:type="pct"/>
            <w:gridSpan w:val="4"/>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确保安全生产形势稳定</w:t>
            </w:r>
          </w:p>
        </w:tc>
        <w:tc>
          <w:tcPr>
            <w:tcW w:w="226"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328" w:type="pct"/>
            <w:gridSpan w:val="3"/>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6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35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5"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82"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91"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4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447" w:type="pc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　</w:t>
            </w:r>
          </w:p>
        </w:tc>
        <w:tc>
          <w:tcPr>
            <w:tcW w:w="467"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641" w:type="pct"/>
            <w:gridSpan w:val="2"/>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787" w:type="pct"/>
            <w:gridSpan w:val="4"/>
            <w:tcBorders>
              <w:top w:val="nil"/>
              <w:left w:val="nil"/>
              <w:bottom w:val="single" w:sz="4" w:space="0" w:color="auto"/>
              <w:right w:val="single" w:sz="4" w:space="0" w:color="auto"/>
            </w:tcBorders>
            <w:shd w:val="clear" w:color="auto" w:fill="auto"/>
            <w:noWrap/>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相关对象满意度</w:t>
            </w:r>
          </w:p>
        </w:tc>
        <w:tc>
          <w:tcPr>
            <w:tcW w:w="226" w:type="pct"/>
            <w:gridSpan w:val="2"/>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kern w:val="0"/>
                <w:sz w:val="18"/>
                <w:szCs w:val="18"/>
              </w:rPr>
            </w:pPr>
            <w:r>
              <w:rPr>
                <w:rFonts w:ascii="宋体" w:cs="宋体" w:hAnsi="宋体" w:hint="eastAsia"/>
                <w:kern w:val="0"/>
                <w:sz w:val="18"/>
                <w:szCs w:val="18"/>
              </w:rPr>
              <w:t>≥</w:t>
            </w:r>
          </w:p>
        </w:tc>
        <w:tc>
          <w:tcPr>
            <w:tcW w:w="328" w:type="pct"/>
            <w:gridSpan w:val="3"/>
            <w:tcBorders>
              <w:top w:val="nil"/>
              <w:left w:val="nil"/>
              <w:bottom w:val="single" w:sz="4" w:space="0" w:color="auto"/>
              <w:right w:val="single" w:sz="4" w:space="0" w:color="auto"/>
            </w:tcBorders>
            <w:shd w:val="clear" w:color="auto" w:fill="auto"/>
            <w:noWrap/>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6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353"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5" w:type="pct"/>
            <w:tcBorders>
              <w:top w:val="nil"/>
              <w:left w:val="nil"/>
              <w:bottom w:val="single" w:sz="4" w:space="0" w:color="auto"/>
              <w:right w:val="single" w:sz="4" w:space="0" w:color="auto"/>
            </w:tcBorders>
            <w:shd w:val="clear" w:color="auto" w:fill="auto"/>
            <w:noWrap/>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82" w:type="pct"/>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091"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4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trPr>
        <w:tc>
          <w:tcPr>
            <w:tcW w:w="3413"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合计</w:t>
            </w:r>
          </w:p>
        </w:tc>
        <w:tc>
          <w:tcPr>
            <w:tcW w:w="165" w:type="pct"/>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90</w:t>
            </w:r>
          </w:p>
        </w:tc>
        <w:tc>
          <w:tcPr>
            <w:tcW w:w="182" w:type="pct"/>
            <w:tcBorders>
              <w:top w:val="nil"/>
              <w:left w:val="nil"/>
              <w:bottom w:val="single" w:sz="4" w:space="0" w:color="auto"/>
              <w:right w:val="single" w:sz="4" w:space="0" w:color="auto"/>
            </w:tcBorders>
            <w:shd w:val="clear" w:color="auto" w:fill="auto"/>
            <w:vAlign w:val="center"/>
          </w:tcPr>
          <w:p>
            <w:pPr>
              <w:widowControl/>
              <w:spacing w:line="260" w:lineRule="exact"/>
              <w:jc w:val="right"/>
              <w:rPr>
                <w:rFonts w:ascii="宋体" w:cs="宋体" w:hAnsi="宋体"/>
                <w:color w:val="000000"/>
                <w:kern w:val="0"/>
                <w:sz w:val="18"/>
                <w:szCs w:val="18"/>
              </w:rPr>
            </w:pPr>
            <w:r>
              <w:rPr>
                <w:rFonts w:ascii="宋体" w:cs="宋体" w:hAnsi="宋体" w:hint="eastAsia"/>
                <w:color w:val="000000"/>
                <w:kern w:val="0"/>
                <w:sz w:val="18"/>
                <w:szCs w:val="18"/>
              </w:rPr>
              <w:t>83</w:t>
            </w:r>
          </w:p>
        </w:tc>
        <w:tc>
          <w:tcPr>
            <w:tcW w:w="1091" w:type="pct"/>
            <w:gridSpan w:val="3"/>
            <w:tcBorders>
              <w:top w:val="nil"/>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49" w:type="pct"/>
            <w:gridSpan w:val="2"/>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447" w:type="pc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自评结论</w:t>
            </w:r>
          </w:p>
        </w:tc>
        <w:tc>
          <w:tcPr>
            <w:tcW w:w="4404" w:type="pct"/>
            <w:gridSpan w:val="20"/>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6"/>
                <w:szCs w:val="16"/>
              </w:rPr>
            </w:pPr>
            <w:r>
              <w:rPr>
                <w:rFonts w:ascii="宋体" w:cs="宋体" w:hAnsi="宋体" w:hint="eastAsia"/>
                <w:color w:val="000000"/>
                <w:kern w:val="0"/>
                <w:sz w:val="16"/>
                <w:szCs w:val="16"/>
              </w:rPr>
              <w:t xml:space="preserve"> 项目支出绩效目标设置了数量、质量、经济效益、社会效益、可持续影响、服务满意度等指标。通过绩效自评，年初设置的绩效目标已基本完成，自评分93分。</w:t>
            </w:r>
          </w:p>
        </w:tc>
        <w:tc>
          <w:tcPr>
            <w:tcW w:w="12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447" w:type="pc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自评存在问题</w:t>
            </w:r>
          </w:p>
        </w:tc>
        <w:tc>
          <w:tcPr>
            <w:tcW w:w="4404" w:type="pct"/>
            <w:gridSpan w:val="20"/>
            <w:tcBorders>
              <w:top w:val="single" w:sz="4" w:space="0" w:color="auto"/>
              <w:left w:val="nil"/>
              <w:bottom w:val="single" w:sz="4" w:space="0" w:color="auto"/>
              <w:right w:val="single" w:sz="4" w:space="0" w:color="auto"/>
            </w:tcBorders>
            <w:shd w:val="clear" w:color="auto" w:fill="auto"/>
            <w:vAlign w:val="center"/>
          </w:tcPr>
          <w:p>
            <w:pPr>
              <w:widowControl/>
              <w:spacing w:after="240" w:line="260" w:lineRule="exact"/>
              <w:jc w:val="left"/>
              <w:rPr>
                <w:rFonts w:ascii="宋体" w:cs="宋体" w:hAnsi="宋体"/>
                <w:color w:val="000000"/>
                <w:kern w:val="0"/>
                <w:sz w:val="16"/>
                <w:szCs w:val="16"/>
              </w:rPr>
            </w:pPr>
            <w:r>
              <w:rPr>
                <w:rFonts w:ascii="宋体" w:cs="宋体" w:hAnsi="宋体" w:hint="eastAsia"/>
                <w:color w:val="000000"/>
                <w:kern w:val="0"/>
                <w:sz w:val="16"/>
                <w:szCs w:val="16"/>
              </w:rPr>
              <w:t>1.预算绩效目标编制还不够完善，科学性、合理性、严谨性和可控性有所缺乏。</w:t>
              <w:br/>
              <w:t>2.在资金安排和使用上，及时性和规范性还有待加强。</w:t>
            </w:r>
          </w:p>
        </w:tc>
        <w:tc>
          <w:tcPr>
            <w:tcW w:w="12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447" w:type="pct"/>
            <w:tcBorders>
              <w:top w:val="nil"/>
              <w:left w:val="single" w:sz="4" w:space="0" w:color="auto"/>
              <w:bottom w:val="single" w:sz="4" w:space="0" w:color="auto"/>
              <w:right w:val="single" w:sz="4" w:space="0" w:color="auto"/>
            </w:tcBorders>
            <w:shd w:val="clear" w:color="auto" w:fill="auto"/>
            <w:vAlign w:val="center"/>
          </w:tcPr>
          <w:p>
            <w:pPr>
              <w:widowControl/>
              <w:spacing w:line="26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自评改进措施</w:t>
            </w:r>
          </w:p>
        </w:tc>
        <w:tc>
          <w:tcPr>
            <w:tcW w:w="4404" w:type="pct"/>
            <w:gridSpan w:val="20"/>
            <w:tcBorders>
              <w:top w:val="single" w:sz="4" w:space="0" w:color="auto"/>
              <w:left w:val="nil"/>
              <w:bottom w:val="single" w:sz="4" w:space="0" w:color="auto"/>
              <w:right w:val="single" w:sz="4" w:space="0" w:color="auto"/>
            </w:tcBorders>
            <w:shd w:val="clear" w:color="auto" w:fill="auto"/>
            <w:vAlign w:val="center"/>
          </w:tcPr>
          <w:p>
            <w:pPr>
              <w:widowControl/>
              <w:spacing w:after="240" w:line="260" w:lineRule="exact"/>
              <w:jc w:val="left"/>
              <w:rPr>
                <w:rFonts w:ascii="宋体" w:cs="宋体" w:hAnsi="宋体"/>
                <w:color w:val="000000"/>
                <w:kern w:val="0"/>
                <w:sz w:val="16"/>
                <w:szCs w:val="16"/>
              </w:rPr>
            </w:pPr>
            <w:r>
              <w:rPr>
                <w:rFonts w:ascii="宋体" w:cs="宋体" w:hAnsi="宋体" w:hint="eastAsia"/>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br/>
              <w:t>2.按照预算规定的项目和用途严格财务审核，经费支出严格按预算规定项目的财务支出内容进行财务核算，在预算金额内严格控制费用的支出；</w:t>
              <w:br/>
              <w:t>3.预算财务分析常态化，定期做好预算支出财务分析，做好单位整体支出预算评价工作。</w:t>
            </w:r>
          </w:p>
        </w:tc>
        <w:tc>
          <w:tcPr>
            <w:tcW w:w="12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90"/>
          <w:gridAfter w:val="1"/>
          <w:wAfter w:w="48" w:type="dxa"/>
        </w:trPr>
        <w:tc>
          <w:tcPr>
            <w:tcW w:w="2569"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项目负责人：</w:t>
            </w:r>
          </w:p>
        </w:tc>
        <w:tc>
          <w:tcPr>
            <w:tcW w:w="2282"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line="260" w:lineRule="exact"/>
              <w:jc w:val="left"/>
              <w:rPr>
                <w:rFonts w:ascii="宋体" w:cs="宋体" w:hAnsi="宋体"/>
                <w:color w:val="000000"/>
                <w:kern w:val="0"/>
                <w:sz w:val="18"/>
                <w:szCs w:val="18"/>
              </w:rPr>
            </w:pPr>
            <w:r>
              <w:rPr>
                <w:rFonts w:ascii="宋体" w:cs="宋体" w:hAnsi="宋体" w:hint="eastAsia"/>
                <w:color w:val="000000"/>
                <w:kern w:val="0"/>
                <w:sz w:val="18"/>
                <w:szCs w:val="18"/>
              </w:rPr>
              <w:t>财务负责人：</w:t>
            </w:r>
          </w:p>
        </w:tc>
        <w:tc>
          <w:tcPr>
            <w:tcW w:w="12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bl>
    <w:p>
      <w:pPr>
        <w:pStyle w:val="15"/>
        <w:spacing w:beforeLines="0" w:before="93"/>
      </w:pPr>
    </w:p>
    <w:p>
      <w:pPr>
        <w:spacing w:line="580" w:lineRule="exact"/>
        <w:jc w:val="center"/>
        <w:rPr>
          <w:rFonts w:ascii="方正小标宋简体" w:eastAsia="方正小标宋简体" w:cs="方正小标宋简体" w:hAnsi="方正小标宋简体"/>
          <w:sz w:val="44"/>
          <w:szCs w:val="44"/>
        </w:rPr>
      </w:pPr>
    </w:p>
    <w:p>
      <w:pPr>
        <w:spacing w:line="580" w:lineRule="exact"/>
        <w:jc w:val="center"/>
        <w:rPr>
          <w:rFonts w:ascii="方正小标宋简体" w:eastAsia="方正小标宋简体" w:cs="方正小标宋简体" w:hAnsi="方正小标宋简体"/>
          <w:sz w:val="44"/>
          <w:szCs w:val="44"/>
        </w:rPr>
      </w:pPr>
    </w:p>
    <w:p>
      <w:pPr>
        <w:pStyle w:val="15"/>
        <w:spacing w:beforeLines="0" w:before="93"/>
      </w:pPr>
    </w:p>
    <w:p>
      <w:pPr>
        <w:spacing w:line="580" w:lineRule="exact"/>
        <w:jc w:val="center"/>
        <w:rPr>
          <w:rFonts w:ascii="仿宋_GB2312" w:eastAsia="仿宋_GB2312"/>
          <w:kern w:val="0"/>
          <w:sz w:val="30"/>
        </w:rPr>
      </w:pPr>
    </w:p>
    <w:p>
      <w:pPr>
        <w:pStyle w:val="15"/>
        <w:spacing w:beforeLines="0" w:before="93"/>
      </w:pPr>
    </w:p>
    <w:p>
      <w:pPr>
        <w:spacing w:line="58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2022年高危行业检查专家补助项目支出</w:t>
      </w:r>
    </w:p>
    <w:p>
      <w:pPr>
        <w:spacing w:line="58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绩效自评报告</w:t>
      </w:r>
    </w:p>
    <w:p>
      <w:pPr>
        <w:spacing w:line="600" w:lineRule="exact"/>
        <w:ind w:firstLineChars="200" w:firstLine="640"/>
        <w:jc w:val="center"/>
        <w:rPr>
          <w:rFonts w:ascii="方正小标宋简体" w:eastAsia="方正小标宋简体" w:cs="方正小标宋简体" w:hAnsi="方正小标宋简体"/>
          <w:sz w:val="32"/>
          <w:szCs w:val="32"/>
        </w:rPr>
      </w:pPr>
    </w:p>
    <w:p>
      <w:pPr>
        <w:spacing w:line="60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一、项目概况</w:t>
      </w:r>
    </w:p>
    <w:p>
      <w:pPr>
        <w:spacing w:line="600" w:lineRule="exact"/>
        <w:ind w:firstLineChars="200" w:firstLine="640"/>
        <w:rPr>
          <w:rFonts w:ascii="仿宋" w:eastAsia="仿宋" w:cs="仿宋_GB2312" w:hAnsi="仿宋"/>
          <w:color w:val="FF0000"/>
          <w:sz w:val="32"/>
          <w:szCs w:val="32"/>
        </w:rPr>
      </w:pPr>
      <w:r>
        <w:rPr>
          <w:rFonts w:ascii="仿宋" w:eastAsia="仿宋" w:cs="仿宋_GB2312" w:hAnsi="仿宋" w:hint="eastAsia"/>
          <w:sz w:val="32"/>
          <w:szCs w:val="32"/>
        </w:rPr>
        <w:t>为深入贯彻落实党的十九大关于安全生产的重要指示精神和国务院《关于推进安全生产领域改革发展的实施意见》内容，我区非煤矿山领域按照国家、省、市相关文件要求，通过政府购买社会服务，聘请安全生产相关专家，对我区非煤矿山进行检查、指导服务，保证全区安全生产形势稳定好转。</w:t>
      </w:r>
    </w:p>
    <w:p>
      <w:pPr>
        <w:spacing w:line="576" w:lineRule="exact"/>
        <w:ind w:firstLineChars="200" w:firstLine="640"/>
        <w:rPr>
          <w:rFonts w:ascii="仿宋" w:eastAsia="仿宋" w:cs="仿宋" w:hAnsi="仿宋"/>
          <w:sz w:val="32"/>
          <w:szCs w:val="32"/>
        </w:rPr>
      </w:pPr>
      <w:r>
        <w:rPr>
          <w:rFonts w:ascii="仿宋" w:eastAsia="仿宋" w:cs="仿宋" w:hAnsi="仿宋" w:hint="eastAsia"/>
          <w:sz w:val="32"/>
          <w:szCs w:val="32"/>
        </w:rPr>
        <w:t>利州区应急管理局聘请第三方专家对辖区广元市远盛烟花爆竹有限责任公司和广元市吉祥烟花爆竹有限公司及55家烟花爆竹零售企业进行了诊断式安全检查及初验工作；2022年12月聘请第三方专家对辖区水电五局医用制氧厂、广元市康瑞气体有限公司、广元市东盛特种气体有限公司3家工业气体充装站和华油天然气广元有限公司、广元市天然气有限责任公司西门站及三堆迎宾加油站、荣山党家岩加油站、城东加油站、东环加油站、东城加油站等危化企业进行了危化企业双重预防机制建设工作检查，全面推进辖区危化企业双重预防机制建设工作任务，同时结合进行了诊断式安全检查。</w:t>
      </w:r>
    </w:p>
    <w:p>
      <w:pPr>
        <w:spacing w:line="60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二、资金申报及批复情况</w:t>
      </w:r>
    </w:p>
    <w:p>
      <w:pPr>
        <w:spacing w:line="60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该高危专家技术服务费是我局历年经常性年初预算资金，主要用于我区安全生产相关方面聘请专家技术服务费专项资金。</w:t>
      </w:r>
    </w:p>
    <w:p>
      <w:pPr>
        <w:spacing w:line="600" w:lineRule="exact"/>
        <w:ind w:firstLineChars="200" w:firstLine="640"/>
        <w:jc w:val="left"/>
        <w:rPr>
          <w:rFonts w:ascii="仿宋" w:eastAsia="仿宋" w:cs="仿宋_GB2312" w:hAnsi="仿宋"/>
          <w:sz w:val="32"/>
          <w:szCs w:val="32"/>
        </w:rPr>
      </w:pPr>
      <w:r>
        <w:rPr>
          <w:rFonts w:ascii="仿宋" w:eastAsia="仿宋" w:cs="仿宋_GB2312" w:hAnsi="仿宋" w:hint="eastAsia"/>
          <w:sz w:val="32"/>
          <w:szCs w:val="32"/>
        </w:rPr>
        <w:t>1、资金来源：2022年财政预算安排4万元高危行业聘请专家服务费专项资金。</w:t>
      </w:r>
    </w:p>
    <w:p>
      <w:pPr>
        <w:spacing w:line="60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2、资金使用范围</w:t>
      </w:r>
    </w:p>
    <w:p>
      <w:pPr>
        <w:spacing w:line="60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根据关于聘任安全生产专家的通知，广利安力（2017）年74号文件精神</w:t>
      </w:r>
    </w:p>
    <w:p>
      <w:pPr>
        <w:spacing w:line="60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（1）聘请煤矿专家组；</w:t>
      </w:r>
    </w:p>
    <w:p>
      <w:pPr>
        <w:spacing w:line="600"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（2）危险化学品（含烟花爆竹）；</w:t>
      </w:r>
    </w:p>
    <w:p>
      <w:pPr>
        <w:spacing w:line="600" w:lineRule="exact"/>
        <w:ind w:firstLineChars="200" w:firstLine="640"/>
        <w:rPr>
          <w:rFonts w:ascii="仿宋" w:eastAsia="仿宋" w:cs="仿宋_GB2312" w:hAnsi="仿宋"/>
          <w:b/>
          <w:sz w:val="32"/>
          <w:szCs w:val="32"/>
        </w:rPr>
      </w:pPr>
      <w:r>
        <w:rPr>
          <w:rFonts w:ascii="仿宋" w:eastAsia="仿宋" w:cs="仿宋_GB2312" w:hAnsi="仿宋" w:hint="eastAsia"/>
          <w:sz w:val="32"/>
          <w:szCs w:val="32"/>
        </w:rPr>
        <w:t>（3）非煤矿矿山</w:t>
      </w:r>
    </w:p>
    <w:p>
      <w:pPr>
        <w:spacing w:line="576" w:lineRule="exact"/>
        <w:ind w:firstLineChars="200" w:firstLine="640"/>
        <w:rPr>
          <w:rFonts w:ascii="仿宋" w:eastAsia="仿宋" w:cs="仿宋" w:hAnsi="仿宋"/>
          <w:sz w:val="32"/>
          <w:szCs w:val="32"/>
        </w:rPr>
      </w:pPr>
      <w:r>
        <w:rPr>
          <w:rFonts w:ascii="仿宋" w:eastAsia="仿宋" w:cs="仿宋_GB2312" w:hAnsi="仿宋" w:hint="eastAsia"/>
          <w:sz w:val="32"/>
          <w:szCs w:val="32"/>
        </w:rPr>
        <w:t>该项目</w:t>
      </w:r>
      <w:r>
        <w:rPr>
          <w:rFonts w:ascii="仿宋" w:eastAsia="仿宋" w:cs="仿宋" w:hAnsi="仿宋" w:hint="eastAsia"/>
          <w:sz w:val="32"/>
          <w:szCs w:val="32"/>
        </w:rPr>
        <w:t>2022年1月至12月底，共申请高危行业专家费资金40000元，财务制度健全完备，资金管理规范专款专用，资金使用与申报计划完全相符，合理、合法、合规。</w:t>
      </w:r>
    </w:p>
    <w:p>
      <w:pPr>
        <w:spacing w:line="60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三、资金计划、到位及使用情况</w:t>
      </w:r>
    </w:p>
    <w:p>
      <w:pPr>
        <w:spacing w:line="576" w:lineRule="exact"/>
        <w:ind w:firstLineChars="200" w:firstLine="640"/>
        <w:rPr>
          <w:rFonts w:ascii="楷体" w:eastAsia="楷体" w:cs="楷体" w:hAnsi="楷体"/>
          <w:sz w:val="32"/>
          <w:szCs w:val="32"/>
        </w:rPr>
      </w:pPr>
      <w:r>
        <w:rPr>
          <w:rFonts w:ascii="楷体" w:eastAsia="楷体" w:cs="楷体" w:hAnsi="楷体" w:hint="eastAsia"/>
          <w:sz w:val="32"/>
          <w:szCs w:val="32"/>
        </w:rPr>
        <w:t>（一）资金使用范围：</w:t>
      </w:r>
    </w:p>
    <w:p>
      <w:pPr>
        <w:pStyle w:val="35"/>
        <w:numPr>
          <w:ilvl w:val="0"/>
          <w:numId w:val="10"/>
        </w:numPr>
        <w:spacing w:line="576" w:lineRule="exact"/>
        <w:ind w:firstLineChars="0"/>
        <w:rPr>
          <w:rFonts w:ascii="仿宋" w:eastAsia="仿宋" w:cs="仿宋" w:hAnsi="仿宋"/>
          <w:sz w:val="32"/>
          <w:szCs w:val="32"/>
        </w:rPr>
      </w:pPr>
      <w:r>
        <w:rPr>
          <w:rFonts w:ascii="仿宋" w:eastAsia="仿宋" w:cs="仿宋" w:hAnsi="仿宋" w:hint="eastAsia"/>
          <w:sz w:val="32"/>
          <w:szCs w:val="32"/>
        </w:rPr>
        <w:t>聘请非煤矿山专家组用于复工复</w:t>
      </w:r>
    </w:p>
    <w:p>
      <w:pPr>
        <w:spacing w:line="576" w:lineRule="exact"/>
        <w:ind w:left="640"/>
        <w:rPr>
          <w:rFonts w:ascii="仿宋" w:eastAsia="仿宋" w:cs="仿宋_GB2312" w:hAnsi="仿宋"/>
          <w:sz w:val="32"/>
          <w:szCs w:val="32"/>
        </w:rPr>
      </w:pPr>
      <w:r>
        <w:rPr>
          <w:rFonts w:ascii="仿宋" w:eastAsia="仿宋" w:cs="仿宋_GB2312" w:hAnsi="仿宋" w:hint="eastAsia"/>
          <w:sz w:val="32"/>
          <w:szCs w:val="32"/>
        </w:rPr>
        <w:t>2、聘请危险化学品（含烟花爆竹专家）</w:t>
      </w:r>
    </w:p>
    <w:p>
      <w:pPr>
        <w:spacing w:line="576" w:lineRule="exact"/>
        <w:ind w:left="640"/>
        <w:rPr>
          <w:rFonts w:ascii="仿宋" w:eastAsia="仿宋" w:cs="仿宋_GB2312" w:hAnsi="仿宋"/>
          <w:sz w:val="32"/>
          <w:szCs w:val="32"/>
        </w:rPr>
      </w:pPr>
      <w:r>
        <w:rPr>
          <w:rFonts w:ascii="仿宋" w:eastAsia="仿宋" w:cs="仿宋_GB2312" w:hAnsi="仿宋" w:hint="eastAsia"/>
          <w:sz w:val="32"/>
          <w:szCs w:val="32"/>
        </w:rPr>
        <w:t>3、煤矿监管聘请技术专家服务费</w:t>
      </w:r>
    </w:p>
    <w:p>
      <w:pPr>
        <w:spacing w:line="576" w:lineRule="exact"/>
        <w:ind w:firstLineChars="200" w:firstLine="640"/>
        <w:rPr>
          <w:rFonts w:ascii="楷体" w:eastAsia="楷体" w:cs="楷体" w:hAnsi="楷体"/>
          <w:sz w:val="32"/>
          <w:szCs w:val="32"/>
        </w:rPr>
      </w:pPr>
      <w:r>
        <w:rPr>
          <w:rFonts w:ascii="楷体" w:eastAsia="楷体" w:cs="楷体" w:hAnsi="楷体" w:hint="eastAsia"/>
          <w:sz w:val="32"/>
          <w:szCs w:val="32"/>
        </w:rPr>
        <w:t>（二）已使用资金情况</w:t>
      </w:r>
    </w:p>
    <w:p>
      <w:pPr>
        <w:spacing w:line="576" w:lineRule="exact"/>
        <w:ind w:firstLineChars="200" w:firstLine="640"/>
        <w:rPr>
          <w:rFonts w:ascii="仿宋" w:eastAsia="仿宋" w:cs="仿宋" w:hAnsi="仿宋"/>
          <w:sz w:val="32"/>
          <w:szCs w:val="32"/>
        </w:rPr>
      </w:pPr>
      <w:r>
        <w:rPr>
          <w:rFonts w:ascii="仿宋" w:eastAsia="仿宋" w:cs="仿宋" w:hAnsi="仿宋" w:hint="eastAsia"/>
          <w:sz w:val="32"/>
          <w:szCs w:val="32"/>
        </w:rPr>
        <w:t>截至12月31日，已使用申请专项资金39858.05元。未使用资金141.95元，使用占比率99.64%；未使用原因是：2022年四季度申报的资金使用计划141.95元，因国库未审核，导致各项经费未能及时支付、资金未及时使用；年终决算后，高危行业专家检查资金暂未收到进行结转的通知。</w:t>
      </w:r>
    </w:p>
    <w:p>
      <w:pPr>
        <w:spacing w:line="60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四、项目实施及管理情况</w:t>
      </w:r>
    </w:p>
    <w:p>
      <w:pPr>
        <w:spacing w:line="576" w:lineRule="exact"/>
        <w:ind w:firstLineChars="200" w:firstLine="640"/>
        <w:rPr>
          <w:rFonts w:ascii="仿宋" w:eastAsia="仿宋" w:cs="仿宋" w:hAnsi="仿宋"/>
          <w:sz w:val="32"/>
          <w:szCs w:val="32"/>
        </w:rPr>
      </w:pPr>
      <w:r>
        <w:rPr>
          <w:rFonts w:ascii="仿宋" w:eastAsia="仿宋" w:cs="仿宋" w:hAnsi="仿宋" w:hint="eastAsia"/>
          <w:sz w:val="32"/>
          <w:szCs w:val="32"/>
        </w:rPr>
        <w:t>加强财务管理制度，规范支付流程，确保资金使用合规化，严格按财务审批制度审核。严禁挪作他用和资金截留</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（一）项目财务管理情况</w:t>
      </w:r>
    </w:p>
    <w:p>
      <w:pPr>
        <w:spacing w:line="576"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资金管理及使用范围。我局财务人员严格监管资金使用，做到专款专用，跟踪资金使用必须建立专户进行管理，申请资金与购买服务相统一。</w:t>
      </w:r>
    </w:p>
    <w:p>
      <w:pPr>
        <w:spacing w:line="576" w:lineRule="exact"/>
        <w:ind w:firstLineChars="200" w:firstLine="640"/>
        <w:rPr>
          <w:rFonts w:ascii="仿宋" w:eastAsia="仿宋" w:cs="仿宋" w:hAnsi="仿宋"/>
          <w:sz w:val="32"/>
          <w:szCs w:val="32"/>
        </w:rPr>
      </w:pPr>
      <w:r>
        <w:rPr>
          <w:rFonts w:ascii="仿宋" w:eastAsia="仿宋" w:cs="仿宋" w:hAnsi="仿宋" w:hint="eastAsia"/>
          <w:sz w:val="32"/>
          <w:szCs w:val="32"/>
        </w:rPr>
        <w:t>（二）项目组织实施情况。</w:t>
      </w:r>
    </w:p>
    <w:p>
      <w:pPr>
        <w:spacing w:line="576" w:lineRule="exact"/>
        <w:ind w:firstLineChars="200" w:firstLine="640"/>
        <w:rPr>
          <w:rFonts w:ascii="仿宋" w:eastAsia="仿宋" w:cs="仿宋" w:hAnsi="仿宋"/>
          <w:sz w:val="32"/>
          <w:szCs w:val="32"/>
        </w:rPr>
      </w:pPr>
      <w:r>
        <w:rPr>
          <w:rFonts w:ascii="仿宋" w:eastAsia="仿宋" w:cs="仿宋" w:hAnsi="仿宋" w:hint="eastAsia"/>
          <w:sz w:val="32"/>
          <w:szCs w:val="32"/>
        </w:rPr>
        <w:t>为顺利开展安全生产专家服务，原区安监局于2017年成立了区级专家组，建立了专家使用管理制度，聘请非煤矿山领域专家4人、煤矿领域专家12人、危险化学品7人，区政府财政每年预算专家费。专家使用根据实际需要，由业务股室申请，局领导进行审批。</w:t>
      </w:r>
    </w:p>
    <w:p>
      <w:pPr>
        <w:spacing w:line="60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五、项目绩效情况</w:t>
        <w:tab/>
      </w:r>
    </w:p>
    <w:p>
      <w:pPr>
        <w:spacing w:line="576" w:lineRule="exact"/>
        <w:ind w:firstLineChars="200" w:firstLine="640"/>
        <w:rPr>
          <w:rFonts w:ascii="仿宋" w:eastAsia="仿宋" w:cs="仿宋" w:hAnsi="仿宋"/>
          <w:sz w:val="32"/>
          <w:szCs w:val="32"/>
        </w:rPr>
      </w:pPr>
      <w:r>
        <w:rPr>
          <w:rFonts w:ascii="仿宋" w:eastAsia="仿宋" w:cs="仿宋" w:hAnsi="仿宋" w:hint="eastAsia"/>
          <w:sz w:val="32"/>
          <w:szCs w:val="32"/>
        </w:rPr>
        <w:t>（一）项目完成情况。</w:t>
      </w:r>
    </w:p>
    <w:p>
      <w:pPr>
        <w:spacing w:line="576" w:lineRule="exact"/>
        <w:ind w:firstLineChars="200" w:firstLine="640"/>
        <w:rPr>
          <w:rFonts w:ascii="仿宋" w:eastAsia="仿宋" w:cs="仿宋" w:hAnsi="仿宋"/>
          <w:sz w:val="32"/>
          <w:szCs w:val="32"/>
        </w:rPr>
      </w:pPr>
      <w:r>
        <w:rPr>
          <w:rFonts w:ascii="仿宋" w:eastAsia="仿宋" w:cs="仿宋" w:hAnsi="仿宋" w:hint="eastAsia"/>
          <w:sz w:val="32"/>
          <w:szCs w:val="32"/>
        </w:rPr>
        <w:t>1.烟花爆竹：专家对</w:t>
      </w:r>
      <w:r>
        <w:rPr>
          <w:rFonts w:ascii="仿宋" w:eastAsia="仿宋" w:cs="仿宋" w:hAnsi="仿宋"/>
          <w:sz w:val="32"/>
          <w:szCs w:val="32"/>
        </w:rPr>
        <w:t>企业安全负责人和管理人员持证上岗情况、烟花爆竹存储安全和经营场所消防安全</w:t>
      </w:r>
      <w:r>
        <w:rPr>
          <w:rFonts w:ascii="仿宋" w:eastAsia="仿宋" w:cs="仿宋" w:hAnsi="仿宋" w:hint="eastAsia"/>
          <w:sz w:val="32"/>
          <w:szCs w:val="32"/>
        </w:rPr>
        <w:t>进行诊断式安全检查及初验</w:t>
      </w:r>
      <w:r>
        <w:rPr>
          <w:rFonts w:ascii="仿宋" w:eastAsia="仿宋" w:cs="仿宋" w:hAnsi="仿宋"/>
          <w:sz w:val="32"/>
          <w:szCs w:val="32"/>
        </w:rPr>
        <w:t>。</w:t>
      </w:r>
      <w:r>
        <w:rPr>
          <w:rFonts w:ascii="仿宋" w:eastAsia="仿宋" w:cs="仿宋" w:hAnsi="仿宋" w:hint="eastAsia"/>
          <w:sz w:val="32"/>
          <w:szCs w:val="32"/>
        </w:rPr>
        <w:t>指出了存在的安全隐患，提出了整改指令，要求</w:t>
      </w:r>
      <w:r>
        <w:rPr>
          <w:rFonts w:ascii="仿宋" w:eastAsia="仿宋" w:cs="仿宋" w:hAnsi="仿宋"/>
          <w:sz w:val="32"/>
          <w:szCs w:val="32"/>
        </w:rPr>
        <w:t>各烟花爆竹批发零售企业要严格按照相关规定规范管理，强化防范措施落实，不断加强员工培训教育力度</w:t>
      </w:r>
      <w:r>
        <w:rPr>
          <w:rFonts w:ascii="仿宋" w:eastAsia="仿宋" w:cs="仿宋" w:hAnsi="仿宋" w:hint="eastAsia"/>
          <w:sz w:val="32"/>
          <w:szCs w:val="32"/>
        </w:rPr>
        <w:t>，</w:t>
      </w:r>
      <w:r>
        <w:rPr>
          <w:rFonts w:ascii="仿宋" w:eastAsia="仿宋" w:cs="仿宋" w:hAnsi="仿宋"/>
          <w:sz w:val="32"/>
          <w:szCs w:val="32"/>
        </w:rPr>
        <w:t>督促批发零售企业对存在的安全隐患进行整改，杜绝安全生产事故发生。</w:t>
      </w:r>
    </w:p>
    <w:p>
      <w:pPr>
        <w:spacing w:line="576" w:lineRule="exact"/>
        <w:ind w:firstLineChars="200" w:firstLine="640"/>
        <w:rPr>
          <w:rFonts w:ascii="仿宋" w:eastAsia="仿宋" w:cs="仿宋" w:hAnsi="仿宋"/>
          <w:sz w:val="32"/>
          <w:szCs w:val="32"/>
        </w:rPr>
      </w:pPr>
      <w:r>
        <w:rPr>
          <w:rFonts w:ascii="仿宋" w:eastAsia="仿宋" w:cs="仿宋" w:hAnsi="仿宋" w:hint="eastAsia"/>
          <w:sz w:val="32"/>
          <w:szCs w:val="32"/>
        </w:rPr>
        <w:t>2.危化领域：专家通过诊断式安全检查，对企业安全风险进行了辨识，对发现的安全风险提出了管控措施，对存在的安全隐患提出整改指令，进一步推进了我区危化企业全面推进双重预防机制建设，实现了安全管理关口前移、风险隐患源头治理的内在要求，我区危化领域安全生产形势持续稳定向好。</w:t>
      </w:r>
    </w:p>
    <w:p>
      <w:pPr>
        <w:spacing w:line="576" w:lineRule="exact"/>
        <w:ind w:firstLineChars="200" w:firstLine="640"/>
        <w:rPr>
          <w:rFonts w:ascii="仿宋" w:eastAsia="仿宋" w:cs="仿宋_GB2312" w:hAnsi="仿宋"/>
          <w:sz w:val="32"/>
          <w:szCs w:val="32"/>
        </w:rPr>
      </w:pPr>
      <w:r>
        <w:rPr>
          <w:rFonts w:ascii="仿宋" w:eastAsia="仿宋" w:cs="仿宋" w:hAnsi="仿宋" w:hint="eastAsia"/>
          <w:sz w:val="32"/>
          <w:szCs w:val="32"/>
        </w:rPr>
        <w:t>3煤矿方面：煤矿组织专家对全区煤矿进行复产复工、节假日前安全生产大检查、煤矿隐患整改等方面的检查及验收，对发现的安全风险提出整改意见，全区煤矿安全</w:t>
      </w:r>
      <w:r>
        <w:rPr>
          <w:rFonts w:ascii="仿宋" w:eastAsia="仿宋" w:cs="仿宋_GB2312" w:hAnsi="仿宋"/>
          <w:sz w:val="32"/>
          <w:szCs w:val="32"/>
        </w:rPr>
        <w:t>生产形势持续稳定向好，生产安全事故起数、死亡人数、受伤人数实现全面下降</w:t>
      </w:r>
      <w:r>
        <w:rPr>
          <w:rFonts w:ascii="仿宋" w:eastAsia="仿宋" w:cs="仿宋_GB2312" w:hAnsi="仿宋" w:hint="eastAsia"/>
          <w:sz w:val="32"/>
          <w:szCs w:val="32"/>
        </w:rPr>
        <w:t>。</w:t>
      </w:r>
    </w:p>
    <w:p>
      <w:pPr>
        <w:spacing w:line="60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六、评价结论及建议</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（一）评价结论。</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 xml:space="preserve">    项目支出绩效目标设置了数量、质量、成本、经济效益、社会效益、可持续影响、满意度等指标。通过绩效自评，年初设置的绩效目标已基本完成，自评分95。</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（二）存在的问题。</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1、预算绩效目标编制还不够完善，科学性、合理性、严谨性和可控性有所缺乏。</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2、在资金安排和使用上，及时性和规范性还有待加强。</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（三）相关建议。</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1、加强新行政单位会计制度和预算绩效管理实施办法的学习。进一步优化预算编制，避免预算支出与实际执行出现较大偏差的现象。</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2、加强制度建设，进一步完善专项资金管理制度体系，严格资金审批程序，加大资金监管力度，严格落实资金使用用途，提高资金使用效益。</w:t>
      </w:r>
    </w:p>
    <w:p>
      <w:pPr>
        <w:spacing w:line="576" w:lineRule="exact"/>
        <w:ind w:firstLineChars="200" w:firstLine="640"/>
        <w:rPr>
          <w:rFonts w:ascii="仿宋" w:eastAsia="仿宋" w:cs="仿宋_GB2312" w:hAnsi="仿宋"/>
          <w:sz w:val="32"/>
          <w:szCs w:val="32"/>
        </w:rPr>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sectPr>
          <w:pgSz w:w="11906" w:h="16838"/>
          <w:pgMar w:top="2098" w:right="1474" w:bottom="1984" w:left="1587" w:header="851" w:footer="992" w:gutter="0"/>
          <w:cols w:num="1" w:space="0"/>
          <w:titlePg/>
          <w:docGrid w:type="lines" w:linePitch="312" w:charSpace="0"/>
        </w:sectPr>
      </w:pPr>
    </w:p>
    <w:tbl>
      <w:tblPr>
        <w:tblpPr w:leftFromText="180" w:rightFromText="180" w:vertAnchor="text" w:horzAnchor="page" w:tblpXSpec="center" w:tblpY="411"/>
        <w:tblOverlap w:val="never"/>
        <w:tblW w:w="5933"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096"/>
        <w:gridCol w:w="1161"/>
        <w:gridCol w:w="1844"/>
        <w:gridCol w:w="1684"/>
        <w:gridCol w:w="600"/>
        <w:gridCol w:w="936"/>
        <w:gridCol w:w="400"/>
        <w:gridCol w:w="856"/>
        <w:gridCol w:w="489"/>
        <w:gridCol w:w="597"/>
        <w:gridCol w:w="5729"/>
      </w:tblGrid>
      <w:tr>
        <w:trPr>
          <w:trHeight w:val="343"/>
        </w:trPr>
        <w:tc>
          <w:tcPr>
            <w:tcW w:w="356" w:type="pct"/>
            <w:tcBorders>
              <w:top w:val="nil"/>
              <w:left w:val="nil"/>
              <w:bottom w:val="nil"/>
              <w:right w:val="nil"/>
            </w:tcBorders>
            <w:shd w:val="clear" w:color="auto" w:fill="auto"/>
            <w:noWrap/>
            <w:vAlign w:val="center"/>
          </w:tcPr>
          <w:p>
            <w:pPr>
              <w:widowControl/>
              <w:jc w:val="left"/>
              <w:rPr>
                <w:rFonts w:ascii="黑体" w:eastAsia="黑体" w:cs="宋体" w:hAnsi="宋体"/>
                <w:color w:val="000000"/>
                <w:kern w:val="0"/>
                <w:sz w:val="32"/>
                <w:szCs w:val="32"/>
              </w:rPr>
            </w:pPr>
            <w:r>
              <w:rPr>
                <w:rFonts w:ascii="黑体" w:eastAsia="黑体" w:cs="宋体" w:hAnsi="宋体" w:hint="eastAsia"/>
                <w:color w:val="000000"/>
                <w:kern w:val="0"/>
                <w:sz w:val="32"/>
                <w:szCs w:val="32"/>
              </w:rPr>
              <w:t>附件4</w:t>
            </w:r>
          </w:p>
        </w:tc>
        <w:tc>
          <w:tcPr>
            <w:tcW w:w="376"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59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547"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93"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30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2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27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5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9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85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515"/>
        </w:trPr>
        <w:tc>
          <w:tcPr>
            <w:tcW w:w="5000" w:type="pct"/>
            <w:gridSpan w:val="11"/>
            <w:tcBorders>
              <w:top w:val="nil"/>
              <w:left w:val="nil"/>
              <w:bottom w:val="nil"/>
              <w:right w:val="nil"/>
            </w:tcBorders>
            <w:shd w:val="clear" w:color="auto" w:fill="auto"/>
            <w:vAlign w:val="center"/>
          </w:tcPr>
          <w:p>
            <w:pPr>
              <w:widowControl/>
              <w:jc w:val="center"/>
              <w:rPr>
                <w:rFonts w:ascii="方正小标宋简体" w:eastAsia="方正小标宋简体" w:cs="宋体" w:hAnsi="宋体"/>
                <w:color w:val="000000"/>
                <w:kern w:val="0"/>
                <w:sz w:val="44"/>
                <w:szCs w:val="44"/>
              </w:rPr>
            </w:pPr>
            <w:r>
              <w:rPr>
                <w:rFonts w:ascii="方正小标宋简体" w:eastAsia="方正小标宋简体" w:cs="宋体" w:hAnsi="宋体" w:hint="eastAsia"/>
                <w:color w:val="000000"/>
                <w:kern w:val="0"/>
                <w:sz w:val="44"/>
                <w:szCs w:val="44"/>
              </w:rPr>
              <w:t>部门预算、专项资金预算项目支出绩效目标自评表（2022年度）</w:t>
            </w:r>
          </w:p>
        </w:tc>
      </w:tr>
      <w:tr>
        <w:trPr>
          <w:trHeight w:val="177"/>
        </w:trPr>
        <w:tc>
          <w:tcPr>
            <w:tcW w:w="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项目名称</w:t>
            </w:r>
          </w:p>
        </w:tc>
        <w:tc>
          <w:tcPr>
            <w:tcW w:w="4266" w:type="pct"/>
            <w:gridSpan w:val="9"/>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高危行业检查专家补助</w:t>
            </w:r>
          </w:p>
        </w:tc>
      </w:tr>
      <w:tr>
        <w:trPr>
          <w:trHeight w:val="349"/>
        </w:trPr>
        <w:tc>
          <w:tcPr>
            <w:tcW w:w="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主管部门</w:t>
            </w:r>
          </w:p>
        </w:tc>
        <w:tc>
          <w:tcPr>
            <w:tcW w:w="1775" w:type="pct"/>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27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xml:space="preserve">实施单位 </w:t>
            </w:r>
          </w:p>
        </w:tc>
        <w:tc>
          <w:tcPr>
            <w:tcW w:w="221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区应急管理局</w:t>
            </w:r>
          </w:p>
        </w:tc>
      </w:tr>
      <w:tr>
        <w:trPr>
          <w:trHeight w:val="177"/>
        </w:trPr>
        <w:tc>
          <w:tcPr>
            <w:tcW w:w="356"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项目基本情况</w:t>
            </w:r>
          </w:p>
        </w:tc>
        <w:tc>
          <w:tcPr>
            <w:tcW w:w="376"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1.项目年度目标完成情况</w:t>
            </w:r>
          </w:p>
        </w:tc>
        <w:tc>
          <w:tcPr>
            <w:tcW w:w="1775" w:type="pct"/>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项目年度目标</w:t>
            </w:r>
          </w:p>
        </w:tc>
        <w:tc>
          <w:tcPr>
            <w:tcW w:w="2491" w:type="pct"/>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年度目标完成情况</w:t>
            </w:r>
          </w:p>
        </w:tc>
      </w:tr>
      <w:tr>
        <w:trPr>
          <w:trHeight w:val="2063"/>
        </w:trPr>
        <w:tc>
          <w:tcPr>
            <w:tcW w:w="356" w:type="pct"/>
            <w:vMerge/>
            <w:tcBorders>
              <w:top w:val="nil"/>
              <w:left w:val="single" w:sz="4" w:space="0" w:color="auto"/>
              <w:bottom w:val="single" w:sz="4" w:space="0" w:color="auto"/>
              <w:right w:val="single" w:sz="4" w:space="0" w:color="auto"/>
            </w:tcBorders>
            <w:vAlign w:val="center"/>
          </w:tcPr>
          <w:p/>
        </w:tc>
        <w:tc>
          <w:tcPr>
            <w:tcW w:w="376" w:type="pct"/>
            <w:vMerge/>
            <w:tcBorders>
              <w:top w:val="nil"/>
              <w:left w:val="single" w:sz="4" w:space="0" w:color="auto"/>
              <w:bottom w:val="single" w:sz="4" w:space="0" w:color="auto"/>
              <w:right w:val="single" w:sz="4" w:space="0" w:color="auto"/>
            </w:tcBorders>
            <w:vAlign w:val="center"/>
          </w:tcPr>
          <w:p/>
        </w:tc>
        <w:tc>
          <w:tcPr>
            <w:tcW w:w="1775"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为深入贯彻落实党的十九大关于安全生产的重要指示精神和国务院《关于推进安全生产领域改革发展的实施意见》内容，我区非煤矿山领域按照国家、省、市相关文件要求，通过政府购买社会服务，聘请安全生产相关专家，对我区非煤矿山进行检查、指导服务，保证全区安全生产形势稳定好转。</w:t>
            </w:r>
          </w:p>
        </w:tc>
        <w:tc>
          <w:tcPr>
            <w:tcW w:w="2491" w:type="pct"/>
            <w:gridSpan w:val="4"/>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烟花爆竹：专家对企业安全负责人和管理人员持证上岗情况、烟花爆竹存储安全和经营场所消防安全进行诊断式安全检查及初验。指出了存在的安全隐患，提出了整改指令，要求各烟花爆竹批发零售企业要严格按照相关规定规范管理，强化防范措施落实，不断加强员工培训教育力度，督促批发零售企业对存在的安全隐患进行整改，杜绝安全生产事故发生。</w:t>
              <w:br/>
              <w:t>2.危化领域：专家通过诊断式安全检查，对企业安全风险进行了辨识，对发现的安全风险提出了管控措施，对存在的安全隐患提出整改指令，进一步推进了我区危化企业全面推进双重预防机制建设，实现了安全管理关口前移、风险隐患源头治理的内在要求，我区危化领域安全生产形势持续稳定向好。</w:t>
              <w:br/>
              <w:t>3煤矿方面：煤矿组织专家对全区煤矿进行复产复工、节假日前安全生产大检查、煤矿隐患整改等方面的检查及验收，对发现的安全风险提出整改意见，全区煤矿安全生产形势持续稳定向好，生产安全事故起数、死亡人数、受伤人数实现全面下降。</w:t>
            </w:r>
          </w:p>
        </w:tc>
      </w:tr>
      <w:tr>
        <w:trPr>
          <w:trHeight w:val="692"/>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2.项目实施内容及过程概述</w:t>
            </w:r>
          </w:p>
        </w:tc>
        <w:tc>
          <w:tcPr>
            <w:tcW w:w="4266" w:type="pct"/>
            <w:gridSpan w:val="9"/>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烟花爆竹：专家对企业安全负责人和管理人员持证上岗情况、烟花爆竹存储安全和经营场所消防安全进行诊断式安全检查及初验;2.危化领域：专家通过诊断式安全检查，对企业安全风险进行了辨识，对发现的安全风险提出了管控措施，对存在的安全隐患提出整改指令，进一步推进了我区危化企业全面推进双重预防机制建设，实现了安全管理关口前移、风险隐患源头治理的内在要求，我区危化领域安全生产形势持续稳定向好;3.煤矿方面：煤矿组织专家对全区煤矿进行复产复工、节假日前安全生产大检查、煤矿隐患整改</w:t>
            </w:r>
          </w:p>
        </w:tc>
      </w:tr>
      <w:tr>
        <w:trPr>
          <w:trHeight w:val="692"/>
        </w:trPr>
        <w:tc>
          <w:tcPr>
            <w:tcW w:w="356"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预算执行情况</w:t>
              <w:br/>
              <w:t>（10分）</w:t>
            </w:r>
          </w:p>
        </w:tc>
        <w:tc>
          <w:tcPr>
            <w:tcW w:w="3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年度预算数</w:t>
              <w:br/>
              <w:t>（万元）</w:t>
            </w:r>
          </w:p>
        </w:tc>
        <w:tc>
          <w:tcPr>
            <w:tcW w:w="59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年初预算</w:t>
            </w:r>
          </w:p>
        </w:tc>
        <w:tc>
          <w:tcPr>
            <w:tcW w:w="54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调整后预算数</w:t>
            </w:r>
          </w:p>
        </w:tc>
        <w:tc>
          <w:tcPr>
            <w:tcW w:w="627"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预算执行数</w:t>
            </w:r>
          </w:p>
        </w:tc>
        <w:tc>
          <w:tcPr>
            <w:tcW w:w="27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预算执行率</w:t>
            </w:r>
          </w:p>
        </w:tc>
        <w:tc>
          <w:tcPr>
            <w:tcW w:w="1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8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原因</w:t>
            </w:r>
          </w:p>
        </w:tc>
      </w:tr>
      <w:tr>
        <w:trPr>
          <w:trHeight w:val="177"/>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总额</w:t>
            </w:r>
          </w:p>
        </w:tc>
        <w:tc>
          <w:tcPr>
            <w:tcW w:w="59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54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27"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27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1859"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49"/>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其中：财政资金</w:t>
            </w:r>
          </w:p>
        </w:tc>
        <w:tc>
          <w:tcPr>
            <w:tcW w:w="59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54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27"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4.00</w:t>
            </w:r>
          </w:p>
        </w:tc>
        <w:tc>
          <w:tcPr>
            <w:tcW w:w="27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59" w:type="pct"/>
            <w:vMerge/>
            <w:tcBorders>
              <w:top w:val="nil"/>
              <w:left w:val="single" w:sz="4" w:space="0" w:color="auto"/>
              <w:bottom w:val="single" w:sz="4" w:space="0" w:color="auto"/>
              <w:right w:val="single" w:sz="4" w:space="0" w:color="auto"/>
            </w:tcBorders>
            <w:vAlign w:val="center"/>
          </w:tcPr>
          <w:p/>
        </w:tc>
      </w:tr>
      <w:tr>
        <w:trPr>
          <w:trHeight w:val="349"/>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财政专户管理资金</w:t>
            </w:r>
          </w:p>
        </w:tc>
        <w:tc>
          <w:tcPr>
            <w:tcW w:w="59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54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27"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59" w:type="pct"/>
            <w:vMerge/>
            <w:tcBorders>
              <w:top w:val="nil"/>
              <w:left w:val="single" w:sz="4" w:space="0" w:color="auto"/>
              <w:bottom w:val="single" w:sz="4" w:space="0" w:color="auto"/>
              <w:right w:val="single" w:sz="4" w:space="0" w:color="auto"/>
            </w:tcBorders>
            <w:vAlign w:val="center"/>
          </w:tcPr>
          <w:p/>
        </w:tc>
      </w:tr>
      <w:tr>
        <w:trPr>
          <w:trHeight w:val="177"/>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单位资金</w:t>
            </w:r>
          </w:p>
        </w:tc>
        <w:tc>
          <w:tcPr>
            <w:tcW w:w="59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54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27"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59" w:type="pct"/>
            <w:vMerge/>
            <w:tcBorders>
              <w:top w:val="nil"/>
              <w:left w:val="single" w:sz="4" w:space="0" w:color="auto"/>
              <w:bottom w:val="single" w:sz="4" w:space="0" w:color="auto"/>
              <w:right w:val="single" w:sz="4" w:space="0" w:color="auto"/>
            </w:tcBorders>
            <w:vAlign w:val="center"/>
          </w:tcPr>
          <w:p/>
        </w:tc>
      </w:tr>
      <w:tr>
        <w:trPr>
          <w:trHeight w:val="177"/>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其他资金</w:t>
            </w:r>
          </w:p>
        </w:tc>
        <w:tc>
          <w:tcPr>
            <w:tcW w:w="59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54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627"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27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859" w:type="pct"/>
            <w:vMerge/>
            <w:tcBorders>
              <w:top w:val="nil"/>
              <w:left w:val="single" w:sz="4" w:space="0" w:color="auto"/>
              <w:bottom w:val="single" w:sz="4" w:space="0" w:color="auto"/>
              <w:right w:val="single" w:sz="4" w:space="0" w:color="auto"/>
            </w:tcBorders>
            <w:vAlign w:val="center"/>
          </w:tcPr>
          <w:p/>
        </w:tc>
      </w:tr>
      <w:tr>
        <w:trPr>
          <w:trHeight w:val="692"/>
        </w:trPr>
        <w:tc>
          <w:tcPr>
            <w:tcW w:w="356"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绩效指标（90分）</w:t>
            </w:r>
          </w:p>
        </w:tc>
        <w:tc>
          <w:tcPr>
            <w:tcW w:w="3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59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547"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三级指标</w:t>
            </w:r>
          </w:p>
        </w:tc>
        <w:tc>
          <w:tcPr>
            <w:tcW w:w="19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指标性质</w:t>
            </w:r>
          </w:p>
        </w:tc>
        <w:tc>
          <w:tcPr>
            <w:tcW w:w="30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指标值</w:t>
            </w:r>
          </w:p>
        </w:tc>
        <w:tc>
          <w:tcPr>
            <w:tcW w:w="12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度量单位</w:t>
            </w:r>
          </w:p>
        </w:tc>
        <w:tc>
          <w:tcPr>
            <w:tcW w:w="27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完成值</w:t>
            </w:r>
          </w:p>
        </w:tc>
        <w:tc>
          <w:tcPr>
            <w:tcW w:w="1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8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未完成原因分析</w:t>
            </w:r>
          </w:p>
        </w:tc>
      </w:tr>
      <w:tr>
        <w:trPr>
          <w:trHeight w:val="177"/>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59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547"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聘请专家</w:t>
            </w:r>
          </w:p>
        </w:tc>
        <w:tc>
          <w:tcPr>
            <w:tcW w:w="19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304"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20</w:t>
            </w:r>
          </w:p>
        </w:tc>
        <w:tc>
          <w:tcPr>
            <w:tcW w:w="1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人</w:t>
            </w:r>
          </w:p>
        </w:tc>
        <w:tc>
          <w:tcPr>
            <w:tcW w:w="27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5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18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77"/>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59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5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保障企业安全生产</w:t>
            </w:r>
          </w:p>
        </w:tc>
        <w:tc>
          <w:tcPr>
            <w:tcW w:w="19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304"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月</w:t>
            </w:r>
          </w:p>
        </w:tc>
        <w:tc>
          <w:tcPr>
            <w:tcW w:w="27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59"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18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77"/>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59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5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按时间进度推进</w:t>
            </w:r>
          </w:p>
        </w:tc>
        <w:tc>
          <w:tcPr>
            <w:tcW w:w="19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304"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12</w:t>
            </w:r>
          </w:p>
        </w:tc>
        <w:tc>
          <w:tcPr>
            <w:tcW w:w="1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月</w:t>
            </w:r>
          </w:p>
        </w:tc>
        <w:tc>
          <w:tcPr>
            <w:tcW w:w="27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5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18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77"/>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59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5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提高专业技术水平</w:t>
            </w:r>
          </w:p>
        </w:tc>
        <w:tc>
          <w:tcPr>
            <w:tcW w:w="19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30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5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8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77"/>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59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5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保障企业安全生产</w:t>
            </w:r>
          </w:p>
        </w:tc>
        <w:tc>
          <w:tcPr>
            <w:tcW w:w="19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30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不断提高</w:t>
            </w:r>
          </w:p>
        </w:tc>
        <w:tc>
          <w:tcPr>
            <w:tcW w:w="1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7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59"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12</w:t>
            </w:r>
          </w:p>
        </w:tc>
        <w:tc>
          <w:tcPr>
            <w:tcW w:w="18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77"/>
        </w:trPr>
        <w:tc>
          <w:tcPr>
            <w:tcW w:w="356" w:type="pct"/>
            <w:vMerge/>
            <w:tcBorders>
              <w:top w:val="nil"/>
              <w:left w:val="single" w:sz="4" w:space="0" w:color="auto"/>
              <w:bottom w:val="single" w:sz="4" w:space="0" w:color="auto"/>
              <w:right w:val="single" w:sz="4" w:space="0" w:color="auto"/>
            </w:tcBorders>
            <w:vAlign w:val="center"/>
          </w:tcPr>
          <w:p/>
        </w:tc>
        <w:tc>
          <w:tcPr>
            <w:tcW w:w="376"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59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5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减少安全事故发生</w:t>
            </w:r>
          </w:p>
        </w:tc>
        <w:tc>
          <w:tcPr>
            <w:tcW w:w="19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304"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0</w:t>
            </w:r>
          </w:p>
        </w:tc>
        <w:tc>
          <w:tcPr>
            <w:tcW w:w="1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27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5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8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77"/>
        </w:trPr>
        <w:tc>
          <w:tcPr>
            <w:tcW w:w="356"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w:t>
            </w:r>
          </w:p>
        </w:tc>
        <w:tc>
          <w:tcPr>
            <w:tcW w:w="376"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59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547"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相关对象满意度</w:t>
            </w:r>
          </w:p>
        </w:tc>
        <w:tc>
          <w:tcPr>
            <w:tcW w:w="19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304"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2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27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5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85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177"/>
        </w:trPr>
        <w:tc>
          <w:tcPr>
            <w:tcW w:w="278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合计</w:t>
            </w:r>
          </w:p>
        </w:tc>
        <w:tc>
          <w:tcPr>
            <w:tcW w:w="159"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90</w:t>
            </w:r>
          </w:p>
        </w:tc>
        <w:tc>
          <w:tcPr>
            <w:tcW w:w="194" w:type="pct"/>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84</w:t>
            </w:r>
          </w:p>
        </w:tc>
        <w:tc>
          <w:tcPr>
            <w:tcW w:w="1859"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27"/>
        </w:trPr>
        <w:tc>
          <w:tcPr>
            <w:tcW w:w="356"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自评结论</w:t>
            </w:r>
          </w:p>
        </w:tc>
        <w:tc>
          <w:tcPr>
            <w:tcW w:w="4643" w:type="pct"/>
            <w:gridSpan w:val="10"/>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 xml:space="preserve"> 项目支出绩效目标设置了数量、质量、经济效益、社会效益、可持续影响、服务满意度等指标。通过绩效自评，年初设置的绩效目标已基本完成，自评分96分。</w:t>
            </w:r>
          </w:p>
        </w:tc>
      </w:tr>
      <w:tr>
        <w:trPr>
          <w:trHeight w:val="671"/>
        </w:trPr>
        <w:tc>
          <w:tcPr>
            <w:tcW w:w="356" w:type="pct"/>
            <w:tcBorders>
              <w:top w:val="nil"/>
              <w:left w:val="single" w:sz="4" w:space="0" w:color="auto"/>
              <w:bottom w:val="single" w:sz="4" w:space="0" w:color="auto"/>
              <w:right w:val="single" w:sz="4" w:space="0" w:color="auto"/>
            </w:tcBorders>
            <w:shd w:val="clear" w:color="auto" w:fill="auto"/>
            <w:vAlign w:val="center"/>
          </w:tcPr>
          <w:p>
            <w:pPr>
              <w:widowControl/>
              <w:spacing w:line="3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自评存在问题</w:t>
            </w:r>
          </w:p>
        </w:tc>
        <w:tc>
          <w:tcPr>
            <w:tcW w:w="4643"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line="300" w:lineRule="exact"/>
              <w:jc w:val="left"/>
              <w:rPr>
                <w:rFonts w:ascii="宋体" w:cs="宋体" w:hAnsi="宋体"/>
                <w:color w:val="000000"/>
                <w:kern w:val="0"/>
                <w:sz w:val="16"/>
                <w:szCs w:val="16"/>
              </w:rPr>
            </w:pPr>
            <w:r>
              <w:rPr>
                <w:rFonts w:ascii="宋体" w:cs="宋体" w:hAnsi="宋体" w:hint="eastAsia"/>
                <w:color w:val="000000"/>
                <w:kern w:val="0"/>
                <w:sz w:val="16"/>
                <w:szCs w:val="16"/>
              </w:rPr>
              <w:t>1.预算绩效目标编制还不够完善，科学性、合理性、严谨性和可控性有所缺乏。</w:t>
              <w:br/>
              <w:t>2.在资金安排和使用上，及时性和规范性还有待加强。</w:t>
            </w:r>
          </w:p>
        </w:tc>
      </w:tr>
      <w:tr>
        <w:trPr>
          <w:trHeight w:val="393"/>
        </w:trPr>
        <w:tc>
          <w:tcPr>
            <w:tcW w:w="356" w:type="pct"/>
            <w:tcBorders>
              <w:top w:val="nil"/>
              <w:left w:val="single" w:sz="4" w:space="0" w:color="auto"/>
              <w:bottom w:val="single" w:sz="4" w:space="0" w:color="auto"/>
              <w:right w:val="single" w:sz="4" w:space="0" w:color="auto"/>
            </w:tcBorders>
            <w:shd w:val="clear" w:color="auto" w:fill="auto"/>
            <w:vAlign w:val="center"/>
          </w:tcPr>
          <w:p>
            <w:pPr>
              <w:widowControl/>
              <w:spacing w:line="300" w:lineRule="exact"/>
              <w:jc w:val="center"/>
              <w:rPr>
                <w:rFonts w:ascii="宋体" w:cs="宋体" w:hAnsi="宋体"/>
                <w:b/>
                <w:bCs/>
                <w:color w:val="000000"/>
                <w:kern w:val="0"/>
                <w:sz w:val="18"/>
                <w:szCs w:val="18"/>
              </w:rPr>
            </w:pPr>
            <w:r>
              <w:rPr>
                <w:rFonts w:ascii="宋体" w:cs="宋体" w:hAnsi="宋体" w:hint="eastAsia"/>
                <w:b/>
                <w:bCs/>
                <w:color w:val="000000"/>
                <w:kern w:val="0"/>
                <w:sz w:val="18"/>
                <w:szCs w:val="18"/>
              </w:rPr>
              <w:t>自评改进措施</w:t>
            </w:r>
          </w:p>
        </w:tc>
        <w:tc>
          <w:tcPr>
            <w:tcW w:w="4643"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line="300" w:lineRule="exact"/>
              <w:jc w:val="left"/>
              <w:rPr>
                <w:rFonts w:ascii="宋体" w:cs="宋体" w:hAnsi="宋体"/>
                <w:color w:val="000000"/>
                <w:kern w:val="0"/>
                <w:sz w:val="16"/>
                <w:szCs w:val="16"/>
              </w:rPr>
            </w:pPr>
            <w:r>
              <w:rPr>
                <w:rFonts w:ascii="宋体" w:cs="宋体" w:hAnsi="宋体" w:hint="eastAsia"/>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br/>
              <w:t>2.按照预算规定的项目和用途严格财务审核，经费支出严格按预算规定项目的财务支出内容进行财务核算，在预算金额内严格控制费用的支出；</w:t>
              <w:br/>
              <w:t>3.预算财务分析常态化，定期做好预算支出财务分析，做好单位整体支出预算评价工作。</w:t>
            </w:r>
          </w:p>
        </w:tc>
      </w:tr>
      <w:tr>
        <w:trPr>
          <w:trHeight w:val="177"/>
        </w:trPr>
        <w:tc>
          <w:tcPr>
            <w:tcW w:w="20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300" w:lineRule="exact"/>
              <w:jc w:val="left"/>
              <w:rPr>
                <w:rFonts w:ascii="宋体" w:cs="宋体" w:hAnsi="宋体"/>
                <w:color w:val="000000"/>
                <w:kern w:val="0"/>
                <w:sz w:val="18"/>
                <w:szCs w:val="18"/>
              </w:rPr>
            </w:pPr>
            <w:r>
              <w:rPr>
                <w:rFonts w:ascii="宋体" w:cs="宋体" w:hAnsi="宋体" w:hint="eastAsia"/>
                <w:color w:val="000000"/>
                <w:kern w:val="0"/>
                <w:sz w:val="18"/>
                <w:szCs w:val="18"/>
              </w:rPr>
              <w:t>项目负责人：</w:t>
            </w:r>
          </w:p>
        </w:tc>
        <w:tc>
          <w:tcPr>
            <w:tcW w:w="2925" w:type="pct"/>
            <w:gridSpan w:val="6"/>
            <w:tcBorders>
              <w:top w:val="single" w:sz="4" w:space="0" w:color="auto"/>
              <w:left w:val="nil"/>
              <w:bottom w:val="single" w:sz="4" w:space="0" w:color="auto"/>
              <w:right w:val="single" w:sz="4" w:space="0" w:color="auto"/>
            </w:tcBorders>
            <w:shd w:val="clear" w:color="auto" w:fill="auto"/>
            <w:vAlign w:val="center"/>
          </w:tcPr>
          <w:p>
            <w:pPr>
              <w:widowControl/>
              <w:spacing w:line="300" w:lineRule="exact"/>
              <w:jc w:val="left"/>
              <w:rPr>
                <w:rFonts w:ascii="宋体" w:cs="宋体" w:hAnsi="宋体"/>
                <w:color w:val="000000"/>
                <w:kern w:val="0"/>
                <w:sz w:val="18"/>
                <w:szCs w:val="18"/>
              </w:rPr>
            </w:pPr>
            <w:r>
              <w:rPr>
                <w:rFonts w:ascii="宋体" w:cs="宋体" w:hAnsi="宋体" w:hint="eastAsia"/>
                <w:color w:val="000000"/>
                <w:kern w:val="0"/>
                <w:sz w:val="18"/>
                <w:szCs w:val="18"/>
              </w:rPr>
              <w:t>财务负责人：</w:t>
            </w:r>
          </w:p>
        </w:tc>
      </w:tr>
    </w:tbl>
    <w:p>
      <w:pPr>
        <w:pStyle w:val="15"/>
        <w:spacing w:beforeLines="0" w:before="93"/>
        <w:sectPr>
          <w:pgSz w:w="16838" w:h="11906" w:orient="landscape"/>
          <w:pgMar w:top="1587" w:right="2098" w:bottom="1474" w:left="1984" w:header="851" w:footer="992" w:gutter="0"/>
          <w:cols w:num="1" w:space="0"/>
          <w:titlePg/>
          <w:docGrid w:type="lines" w:linePitch="312" w:charSpace="0"/>
        </w:sectPr>
      </w:pP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广元市利州区应急管理局</w:t>
      </w: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2022年外聘专业技术人员工资及保险经费</w:t>
      </w: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项目支出绩效自评报告</w:t>
      </w:r>
    </w:p>
    <w:p>
      <w:pPr>
        <w:spacing w:line="576" w:lineRule="exact"/>
        <w:ind w:firstLineChars="200" w:firstLine="640"/>
        <w:rPr>
          <w:rFonts w:ascii="方正仿宋简体" w:eastAsia="方正仿宋简体" w:cs="方正仿宋简体" w:hAnsi="方正仿宋简体"/>
          <w:sz w:val="32"/>
          <w:szCs w:val="32"/>
        </w:rPr>
      </w:pPr>
    </w:p>
    <w:p>
      <w:pPr>
        <w:spacing w:line="56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一、项目概况</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shd w:val="clear" w:color="auto" w:fill="FFFFFF"/>
        </w:rPr>
        <w:t>在局党委领导下，主要负责全区煤矿安全技术管理体系建设、煤矿建设项目及配套工程技术方案审查；负责煤矿采掘头面和“以风定产”初审工作，煤矿安全生产标准化建设；组织企业技术攻关和科技交流等方面工作。</w:t>
      </w:r>
      <w:r>
        <w:rPr>
          <w:rFonts w:ascii="方正仿宋简体" w:eastAsia="方正仿宋简体" w:cs="方正仿宋简体" w:hAnsi="方正仿宋简体" w:hint="eastAsia"/>
          <w:sz w:val="32"/>
          <w:szCs w:val="32"/>
        </w:rPr>
        <w:t>作为高危企业，负责生产安全和技术人员尤为重要，煤矿事故频频发生与技术人员息息相关，加强与技术人员和管理与使用，最大限度的发挥在保障安全生产方面的作用，也增加煤矿安全生产性，减少事故的发生。</w:t>
      </w:r>
    </w:p>
    <w:p>
      <w:pPr>
        <w:spacing w:line="56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二、专项资金使用及管理情况</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外聘专业技术人员专项资金是指区级财政历年来年初预算安排，用于我区聘请煤矿专业技术人员工资及保险等。</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(一)项目资金申报及批复情况</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1、资金来源：2022年财政预算安排100000元，用于煤矿专业技术人员工资、保险及差旅费专项资金，实行专款专用。</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2、资金使用范围</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（1）人员劳务费开支</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（2）各类保险开支</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（3）差旅费开支</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（二）到位情况：2022年12月31日，已使用外聘人员工资及保险专项资金100000 元、使用率100%。</w:t>
      </w:r>
    </w:p>
    <w:p>
      <w:pPr>
        <w:spacing w:line="56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三、项目绩效情况</w:t>
        <w:tab/>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（一）项目完成情况</w:t>
      </w:r>
    </w:p>
    <w:p>
      <w:pPr>
        <w:pStyle w:val="39"/>
        <w:spacing w:line="560" w:lineRule="exact"/>
        <w:ind w:firstLineChars="200" w:firstLine="640"/>
        <w:jc w:val="both"/>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一是着手源头、夯实基础，强化“一通三防”工作。区内煤矿均属于低瓦斯矿井，指导各煤矿按照“五个一”（一事、一议、一方案、一措施、一总结）要求强化“一通三防”工作；在煤尘防治方面，积极建议采取措施，逐步在各矿落实了在主要巷道洗尘制度。区内各矿顺利通过了省局组织的煤矿瓦斯和水害防治专项检查。二是为缓解和消除采掘接替紧张的问题，在充分分析了各矿的各大系统和储量核实报告的基础上，指导编制采掘计划，确保区内煤矿采掘面的正常接替。根据各矿工作面进度变化，督促煤矿根据现场实际情况及时调整采掘布置和施工组织；较好地解决了部分矿井采、掘衔接紧张的被动局面，确保了区内煤矿回采、准备、开拓工作面的正常接替。三是结合实际，优化设计，完善规程、措施管理。针对我区煤矿生产、建设条件变化多的特点，及时督促各矿编制合理的、针对性强的施工作业规程，使其更具科学性和可操作性，有效地指导生产，及时解决现场实际生产中存在的技术问题。全年共检查区内煤矿作业规程16份，措施11份。先后参与了金珠煤矿排水和恢复建设方案的设计优化和专家会审。四是扎实抓好矿井防治水工作。按照煤矿水害防治十六字原则，落实综合治理措施。全区正常生产和建设煤矿有针对性地开展了水患调查，基本查明各矿水文地质条件，为水害防治工作提供详实、可靠的技术依据。五是全年起草各类文件、报告、汇报材料和方案、安排等文字材料27份；全年下矿102天，下井97个。六是攻坚破难，抓好重点项目实施。2022年，在各项工作前期准备严重滞后、资金筹措不到位等困难情况下，再次临危受命，承担主持开展《利州区煤炭矿区总体规划方案》及配套的《四川省广元市利州区煤矿地质资料汇编》、《利州区煤炭矿区总体规划环境影响报告书》的编制工作，经过艰苦努力，于2022年5月首批获得省发改委的正式批复，为我区煤矿项目核准、建设和生产提供了基本依据。</w:t>
      </w:r>
    </w:p>
    <w:p>
      <w:pPr>
        <w:spacing w:line="560" w:lineRule="exact"/>
        <w:ind w:firstLineChars="200" w:firstLine="640"/>
        <w:rPr>
          <w:rFonts w:ascii="方正仿宋简体" w:eastAsia="方正仿宋简体" w:cs="方正仿宋简体" w:hAnsi="方正仿宋简体"/>
          <w:color w:val="000000"/>
          <w:sz w:val="32"/>
          <w:szCs w:val="32"/>
        </w:rPr>
      </w:pPr>
      <w:r>
        <w:rPr>
          <w:rFonts w:ascii="方正仿宋简体" w:eastAsia="方正仿宋简体" w:cs="方正仿宋简体" w:hAnsi="方正仿宋简体" w:hint="eastAsia"/>
          <w:color w:val="000000"/>
          <w:sz w:val="32"/>
          <w:szCs w:val="32"/>
        </w:rPr>
        <w:t>2.截止2022年12月31日，申请煤矿外聘技术人员工资及经费共计支出100000元。该项目资金的使用符合国家财经法规，遵守财务管理制度，不存在虚列、截留、挤占、挪用等情况。</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（二）绩效评价原则、依据、评价指标体系等情况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本次自评工作本着真实客观原则，确保自评工作实事求是，数据准确，结果客观。</w:t>
      </w:r>
    </w:p>
    <w:p>
      <w:pPr>
        <w:spacing w:line="56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四、绩效评价指标分析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（一）项目决策情况分析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该笔专项经费是我局历年来经常性项目，项目申报前，我局设立相应绩效目标考核，项目申报成功后，根据当年项目经费，进一步修改完善资金使用方案及绩效目标。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（二）项目过程情况分析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2022年度实施、管理项目均正常运转，未出现偏离绩效目标情况。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（三）项目产出情况分析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2022年度实施、管理项目产出情况均实现相关绩效目标，所定绩效指标均圆满完成。</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（四）项目效益情况分析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该笔工作专项经费项目效益主要是社会效益，主要为煤矿减少安全事故，增加煤矿煤炭生产量，给煤矿工人及亲属生命财产安全提供有效的决策服务保障。 </w:t>
      </w:r>
    </w:p>
    <w:p>
      <w:pPr>
        <w:spacing w:line="56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五、主要经验及做法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预算绩效管理工作领导小组，小组负责组织、协调评价考核相关工作。重视绩效跟踪检查工作，对发现的问题及时进行协调和整改，确保绩效目标正常运行，达到预期绩效目标。 </w:t>
      </w:r>
    </w:p>
    <w:p>
      <w:pPr>
        <w:spacing w:line="56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六、存在的问题及建议</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（一）相关问题</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绩效管理体系需要进一步健全。绩效管理是一个完整系统，由绩效计划、绩效实施、绩效考核、绩效反馈四部分组成，四者紧密相连，缺一不可，但从目前管理现状看，绩效管理的整体性上还有差距，管理体系需要进一步健全。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对现行的预算绩效管理不适应。随着财政改革步伐的推进，预算绩效管理在财政改革中的地位与角色更加凸显，而当前绩效管理没有成熟模式，绩效管理人员缺乏专业知识和相应的工作经验，容易在绩效管理工作中产生各种错误，导致绩效管理结果出现偏差。 </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（二）相关建议。</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1、加强新行政单位会计制度和预算绩效管理实施办法的学习。进一步优化预算编制，避免预算支出与实际执行出现较大偏差的现象。</w:t>
      </w:r>
    </w:p>
    <w:p>
      <w:pPr>
        <w:spacing w:line="56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2、加强制度建设，进一步完善专项资金管理制度体系，严格资金审批程序，加大资金监管力度，严格落实资金使用用途，提高资金使用效益。</w:t>
      </w:r>
    </w:p>
    <w:p>
      <w:pPr>
        <w:pStyle w:val="15"/>
        <w:spacing w:beforeLines="0" w:before="93"/>
        <w:rPr>
          <w:rFonts w:ascii="方正仿宋简体" w:eastAsia="方正仿宋简体" w:cs="方正仿宋简体" w:hAnsi="方正仿宋简体"/>
        </w:rPr>
      </w:pPr>
    </w:p>
    <w:p>
      <w:pPr>
        <w:pStyle w:val="15"/>
        <w:spacing w:beforeLines="0" w:before="93"/>
        <w:rPr>
          <w:rFonts w:ascii="方正仿宋简体" w:eastAsia="方正仿宋简体" w:cs="方正仿宋简体" w:hAnsi="方正仿宋简体"/>
        </w:rPr>
      </w:pPr>
    </w:p>
    <w:p>
      <w:pPr>
        <w:pStyle w:val="15"/>
        <w:spacing w:beforeLines="0" w:before="93"/>
        <w:rPr>
          <w:rFonts w:ascii="方正仿宋简体" w:eastAsia="方正仿宋简体" w:cs="方正仿宋简体" w:hAnsi="方正仿宋简体"/>
        </w:rPr>
      </w:pPr>
    </w:p>
    <w:p>
      <w:pPr>
        <w:pStyle w:val="15"/>
        <w:spacing w:beforeLines="0" w:before="93"/>
        <w:rPr>
          <w:rFonts w:ascii="方正仿宋简体" w:eastAsia="方正仿宋简体" w:cs="方正仿宋简体" w:hAnsi="方正仿宋简体"/>
        </w:rPr>
      </w:pPr>
    </w:p>
    <w:p>
      <w:pPr>
        <w:pStyle w:val="15"/>
        <w:spacing w:beforeLines="0" w:before="93"/>
        <w:rPr>
          <w:rFonts w:ascii="方正仿宋简体" w:eastAsia="方正仿宋简体" w:cs="方正仿宋简体" w:hAnsi="方正仿宋简体"/>
        </w:rPr>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sectPr>
          <w:pgSz w:w="11906" w:h="16838"/>
          <w:pgMar w:top="2098" w:right="1474" w:bottom="1984" w:left="1587" w:header="851" w:footer="992" w:gutter="0"/>
          <w:cols w:num="1" w:space="0"/>
          <w:titlePg/>
          <w:docGrid w:type="lines" w:linePitch="312" w:charSpace="0"/>
        </w:sectPr>
      </w:pPr>
    </w:p>
    <w:tbl>
      <w:tblPr>
        <w:tblpPr w:leftFromText="180" w:rightFromText="180" w:vertAnchor="text" w:horzAnchor="page" w:tblpX="1488" w:tblpY="275"/>
        <w:tblOverlap w:val="never"/>
        <w:tblW w:w="572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152"/>
        <w:gridCol w:w="1199"/>
        <w:gridCol w:w="1836"/>
        <w:gridCol w:w="2196"/>
        <w:gridCol w:w="582"/>
        <w:gridCol w:w="936"/>
        <w:gridCol w:w="397"/>
        <w:gridCol w:w="849"/>
        <w:gridCol w:w="487"/>
        <w:gridCol w:w="522"/>
        <w:gridCol w:w="4692"/>
      </w:tblGrid>
      <w:tr>
        <w:trPr>
          <w:trHeight w:val="405"/>
        </w:trPr>
        <w:tc>
          <w:tcPr>
            <w:tcW w:w="388" w:type="pct"/>
            <w:tcBorders>
              <w:top w:val="nil"/>
              <w:left w:val="nil"/>
              <w:bottom w:val="nil"/>
              <w:right w:val="nil"/>
            </w:tcBorders>
            <w:shd w:val="clear" w:color="auto" w:fill="auto"/>
            <w:noWrap/>
            <w:vAlign w:val="center"/>
          </w:tcPr>
          <w:p>
            <w:pPr>
              <w:widowControl/>
              <w:jc w:val="left"/>
              <w:rPr>
                <w:rFonts w:ascii="黑体" w:eastAsia="黑体" w:cs="宋体" w:hAnsi="宋体"/>
                <w:color w:val="000000"/>
                <w:kern w:val="0"/>
                <w:sz w:val="32"/>
                <w:szCs w:val="32"/>
              </w:rPr>
            </w:pPr>
            <w:r>
              <w:rPr>
                <w:rFonts w:ascii="黑体" w:eastAsia="黑体" w:cs="宋体" w:hAnsi="宋体" w:hint="eastAsia"/>
                <w:color w:val="000000"/>
                <w:kern w:val="0"/>
                <w:sz w:val="32"/>
                <w:szCs w:val="32"/>
              </w:rPr>
              <w:t>附件4</w:t>
            </w:r>
          </w:p>
        </w:tc>
        <w:tc>
          <w:tcPr>
            <w:tcW w:w="40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618"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73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9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315"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33"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285"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64"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76"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c>
          <w:tcPr>
            <w:tcW w:w="1579" w:type="pct"/>
            <w:tcBorders>
              <w:top w:val="nil"/>
              <w:left w:val="nil"/>
              <w:bottom w:val="nil"/>
              <w:right w:val="nil"/>
            </w:tcBorders>
            <w:shd w:val="clear" w:color="auto" w:fill="auto"/>
            <w:noWrap/>
            <w:vAlign w:val="center"/>
          </w:tcPr>
          <w:p>
            <w:pPr>
              <w:widowControl/>
              <w:jc w:val="left"/>
              <w:rPr>
                <w:rFonts w:ascii="宋体" w:cs="宋体" w:hAnsi="宋体"/>
                <w:color w:val="000000"/>
                <w:kern w:val="0"/>
                <w:sz w:val="22"/>
                <w:szCs w:val="22"/>
              </w:rPr>
            </w:pPr>
          </w:p>
        </w:tc>
      </w:tr>
      <w:tr>
        <w:trPr>
          <w:trHeight w:val="540"/>
        </w:trPr>
        <w:tc>
          <w:tcPr>
            <w:tcW w:w="5000" w:type="pct"/>
            <w:gridSpan w:val="11"/>
            <w:tcBorders>
              <w:top w:val="nil"/>
              <w:left w:val="nil"/>
              <w:bottom w:val="nil"/>
              <w:right w:val="nil"/>
            </w:tcBorders>
            <w:shd w:val="clear" w:color="auto" w:fill="auto"/>
            <w:vAlign w:val="center"/>
          </w:tcPr>
          <w:p>
            <w:pPr>
              <w:widowControl/>
              <w:jc w:val="center"/>
              <w:rPr>
                <w:rFonts w:ascii="方正小标宋简体" w:eastAsia="方正小标宋简体" w:cs="宋体" w:hAnsi="宋体"/>
                <w:color w:val="000000"/>
                <w:kern w:val="0"/>
                <w:sz w:val="44"/>
                <w:szCs w:val="44"/>
              </w:rPr>
            </w:pPr>
            <w:r>
              <w:rPr>
                <w:rFonts w:ascii="方正小标宋简体" w:eastAsia="方正小标宋简体" w:cs="宋体" w:hAnsi="宋体" w:hint="eastAsia"/>
                <w:color w:val="000000"/>
                <w:kern w:val="0"/>
                <w:sz w:val="44"/>
                <w:szCs w:val="44"/>
              </w:rPr>
              <w:t>部门预算、专项资金预算项目支出绩效目标自评表（2022年度）</w:t>
            </w:r>
          </w:p>
        </w:tc>
      </w:tr>
      <w:tr>
        <w:trPr>
          <w:trHeight w:val="379"/>
        </w:trPr>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项目名称</w:t>
            </w:r>
          </w:p>
        </w:tc>
        <w:tc>
          <w:tcPr>
            <w:tcW w:w="4207" w:type="pct"/>
            <w:gridSpan w:val="9"/>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外聘专业技术人员工资及保险</w:t>
            </w:r>
          </w:p>
        </w:tc>
      </w:tr>
      <w:tr>
        <w:trPr>
          <w:trHeight w:val="282"/>
        </w:trPr>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主管部门</w:t>
            </w:r>
          </w:p>
        </w:tc>
        <w:tc>
          <w:tcPr>
            <w:tcW w:w="2001" w:type="pct"/>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28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xml:space="preserve">实施单位 </w:t>
            </w:r>
          </w:p>
        </w:tc>
        <w:tc>
          <w:tcPr>
            <w:tcW w:w="1920"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区应急管理局</w:t>
            </w:r>
          </w:p>
        </w:tc>
      </w:tr>
      <w:tr>
        <w:trPr>
          <w:trHeight w:val="379"/>
        </w:trPr>
        <w:tc>
          <w:tcPr>
            <w:tcW w:w="388"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项目基本情况</w:t>
            </w:r>
          </w:p>
        </w:tc>
        <w:tc>
          <w:tcPr>
            <w:tcW w:w="404"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1.项目年度目标完成情况</w:t>
            </w:r>
          </w:p>
        </w:tc>
        <w:tc>
          <w:tcPr>
            <w:tcW w:w="2001" w:type="pct"/>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项目年度目标</w:t>
            </w:r>
          </w:p>
        </w:tc>
        <w:tc>
          <w:tcPr>
            <w:tcW w:w="2205" w:type="pct"/>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年度目标完成情况</w:t>
            </w:r>
          </w:p>
        </w:tc>
      </w:tr>
      <w:tr>
        <w:trPr>
          <w:trHeight w:val="3060"/>
        </w:trPr>
        <w:tc>
          <w:tcPr>
            <w:tcW w:w="388" w:type="pct"/>
            <w:vMerge/>
            <w:tcBorders>
              <w:top w:val="nil"/>
              <w:left w:val="single" w:sz="4" w:space="0" w:color="auto"/>
              <w:bottom w:val="single" w:sz="4" w:space="0" w:color="auto"/>
              <w:right w:val="single" w:sz="4" w:space="0" w:color="auto"/>
            </w:tcBorders>
            <w:vAlign w:val="center"/>
          </w:tcPr>
          <w:p/>
        </w:tc>
        <w:tc>
          <w:tcPr>
            <w:tcW w:w="404" w:type="pct"/>
            <w:vMerge/>
            <w:tcBorders>
              <w:top w:val="nil"/>
              <w:left w:val="single" w:sz="4" w:space="0" w:color="auto"/>
              <w:bottom w:val="single" w:sz="4" w:space="0" w:color="auto"/>
              <w:right w:val="single" w:sz="4" w:space="0" w:color="auto"/>
            </w:tcBorders>
            <w:vAlign w:val="center"/>
          </w:tcPr>
          <w:p/>
        </w:tc>
        <w:tc>
          <w:tcPr>
            <w:tcW w:w="2001"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主要负责全区煤矿安全技术管理体系建设、煤矿建设项目及配套工程技术方案审查；负责煤矿采掘头面和“以风定产”初审工作，煤矿安全生产标准化建设；组织企业技术攻关和科技交流等方面工作。作为高危企业，负责生产安全和技术人员尤为重要，煤矿事故频频发生与技术人员息息相关，加强与技术人员和管理与使用，最大限度的发挥在保障安全生产方面的作用，也增加煤矿安全生产性，减少事故的发生。</w:t>
            </w:r>
          </w:p>
        </w:tc>
        <w:tc>
          <w:tcPr>
            <w:tcW w:w="2205" w:type="pct"/>
            <w:gridSpan w:val="4"/>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着手源头、夯实基础，强化“一通三防”工作。区内煤矿均属于低瓦斯矿井，指导各煤矿按照“五个一”2.为缓解和消除采掘接替紧张的问题，在充分研析了各矿的各大系统和储量核实报告的基础上，指导编制采掘计划，确保区内煤矿采掘面的正常接替。根据各矿工作面进度变化，督促煤矿根据现场实际情况及时调整采掘布置和施工组织；较好地解决了部分矿井采、掘衔接紧张的被动局面，确保了区内煤矿回采、准备、开拓工作面的正常接替。3.结合实际，优化设计，完善规程、措施管理。针对我区煤矿生产、建设条件变化多的特点，及时督促各矿编制合理的、针对性强的施工作业规程，使其更具科学性和可操作性，有效地指导生产，及时解决现场实际生产中存在的技术问题。全年共检查区内煤矿作业规程16份，措施11份。先后参与了金珠煤矿排水和恢复建设方案的设计优化和专家会审。4.扎实抓好矿井防治水工作。按照煤矿水害防治十六字原则，落实综合治理措施。全区正常生产和建设煤矿有针对性地开展了水患调查，基本查明各矿水文地质条件，为水害防治工作提供详实、可靠的技术依据。5.全年起草各类文件、报告、汇报材料和方案、安排等文字材料27份；全年下矿102天，下井97个。6.攻坚破难，抓好重点项目实施。2021年，在各项工作前期准备严重滞后、资金筹措不到位等困难情况下，再次临危受命，</w:t>
            </w:r>
          </w:p>
        </w:tc>
      </w:tr>
      <w:tr>
        <w:trPr>
          <w:trHeight w:val="720"/>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2.项目实施内容及过程概述</w:t>
            </w:r>
          </w:p>
        </w:tc>
        <w:tc>
          <w:tcPr>
            <w:tcW w:w="4207" w:type="pct"/>
            <w:gridSpan w:val="9"/>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着手源头、夯实基础，强化“一通三防”工作。2.为缓解和消除采掘接替紧张的问题，在充分研析了各矿的各大系统和储量核实报告的基础上，指导编制采掘计划，确保区内煤矿采掘面的正常接替。3.结合实际，优化设计，完善规程、措施管理。4.扎实抓好矿井防治水工作。5.全年起草各类文件、报告、汇报材料和方案、安排等文字材料27份；全年下矿102天，下井97个。6.攻坚破难，抓好重点项目实施。</w:t>
            </w:r>
          </w:p>
        </w:tc>
      </w:tr>
      <w:tr>
        <w:trPr>
          <w:trHeight w:val="540"/>
        </w:trPr>
        <w:tc>
          <w:tcPr>
            <w:tcW w:w="388"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预算执行情况</w:t>
              <w:br/>
              <w:t>（10分）</w:t>
            </w:r>
          </w:p>
        </w:tc>
        <w:tc>
          <w:tcPr>
            <w:tcW w:w="40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年度预算数</w:t>
              <w:br/>
              <w:t>（万元）</w:t>
            </w:r>
          </w:p>
        </w:tc>
        <w:tc>
          <w:tcPr>
            <w:tcW w:w="61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年初预算</w:t>
            </w:r>
          </w:p>
        </w:tc>
        <w:tc>
          <w:tcPr>
            <w:tcW w:w="73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调整后预算数</w:t>
            </w:r>
          </w:p>
        </w:tc>
        <w:tc>
          <w:tcPr>
            <w:tcW w:w="64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预算执行数</w:t>
            </w:r>
          </w:p>
        </w:tc>
        <w:tc>
          <w:tcPr>
            <w:tcW w:w="28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预算执行率</w:t>
            </w:r>
          </w:p>
        </w:tc>
        <w:tc>
          <w:tcPr>
            <w:tcW w:w="16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57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原因</w:t>
            </w:r>
          </w:p>
        </w:tc>
      </w:tr>
      <w:tr>
        <w:trPr>
          <w:trHeight w:val="319"/>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总额</w:t>
            </w:r>
          </w:p>
        </w:tc>
        <w:tc>
          <w:tcPr>
            <w:tcW w:w="61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w:t>
            </w:r>
          </w:p>
        </w:tc>
        <w:tc>
          <w:tcPr>
            <w:tcW w:w="73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4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w:t>
            </w:r>
          </w:p>
        </w:tc>
        <w:tc>
          <w:tcPr>
            <w:tcW w:w="28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579"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00"/>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其中：财政资金</w:t>
            </w:r>
          </w:p>
        </w:tc>
        <w:tc>
          <w:tcPr>
            <w:tcW w:w="61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w:t>
            </w:r>
          </w:p>
        </w:tc>
        <w:tc>
          <w:tcPr>
            <w:tcW w:w="73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4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w:t>
            </w:r>
          </w:p>
        </w:tc>
        <w:tc>
          <w:tcPr>
            <w:tcW w:w="28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79" w:type="pct"/>
            <w:vMerge/>
            <w:tcBorders>
              <w:top w:val="nil"/>
              <w:left w:val="single" w:sz="4" w:space="0" w:color="auto"/>
              <w:bottom w:val="single" w:sz="4" w:space="0" w:color="auto"/>
              <w:right w:val="single" w:sz="4" w:space="0" w:color="auto"/>
            </w:tcBorders>
            <w:vAlign w:val="center"/>
          </w:tcPr>
          <w:p/>
        </w:tc>
      </w:tr>
      <w:tr>
        <w:trPr>
          <w:trHeight w:val="342"/>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财政专户管理资金</w:t>
            </w:r>
          </w:p>
        </w:tc>
        <w:tc>
          <w:tcPr>
            <w:tcW w:w="61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3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4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8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79" w:type="pct"/>
            <w:vMerge/>
            <w:tcBorders>
              <w:top w:val="nil"/>
              <w:left w:val="single" w:sz="4" w:space="0" w:color="auto"/>
              <w:bottom w:val="single" w:sz="4" w:space="0" w:color="auto"/>
              <w:right w:val="single" w:sz="4" w:space="0" w:color="auto"/>
            </w:tcBorders>
            <w:vAlign w:val="center"/>
          </w:tcPr>
          <w:p/>
        </w:tc>
      </w:tr>
      <w:tr>
        <w:trPr>
          <w:trHeight w:val="300"/>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单位资金</w:t>
            </w:r>
          </w:p>
        </w:tc>
        <w:tc>
          <w:tcPr>
            <w:tcW w:w="61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73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64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8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79" w:type="pct"/>
            <w:vMerge/>
            <w:tcBorders>
              <w:top w:val="nil"/>
              <w:left w:val="single" w:sz="4" w:space="0" w:color="auto"/>
              <w:bottom w:val="single" w:sz="4" w:space="0" w:color="auto"/>
              <w:right w:val="single" w:sz="4" w:space="0" w:color="auto"/>
            </w:tcBorders>
            <w:vAlign w:val="center"/>
          </w:tcPr>
          <w:p/>
        </w:tc>
      </w:tr>
      <w:tr>
        <w:trPr>
          <w:trHeight w:val="342"/>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其他资金</w:t>
            </w:r>
          </w:p>
        </w:tc>
        <w:tc>
          <w:tcPr>
            <w:tcW w:w="61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73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643"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28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6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579" w:type="pct"/>
            <w:vMerge/>
            <w:tcBorders>
              <w:top w:val="nil"/>
              <w:left w:val="single" w:sz="4" w:space="0" w:color="auto"/>
              <w:bottom w:val="single" w:sz="4" w:space="0" w:color="auto"/>
              <w:right w:val="single" w:sz="4" w:space="0" w:color="auto"/>
            </w:tcBorders>
            <w:vAlign w:val="center"/>
          </w:tcPr>
          <w:p/>
        </w:tc>
      </w:tr>
      <w:tr>
        <w:trPr>
          <w:trHeight w:val="720"/>
        </w:trPr>
        <w:tc>
          <w:tcPr>
            <w:tcW w:w="388"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绩效指标（90分）</w:t>
            </w:r>
          </w:p>
        </w:tc>
        <w:tc>
          <w:tcPr>
            <w:tcW w:w="40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618"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73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三级指标</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指标性质</w:t>
            </w:r>
          </w:p>
        </w:tc>
        <w:tc>
          <w:tcPr>
            <w:tcW w:w="31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指标值</w:t>
            </w:r>
          </w:p>
        </w:tc>
        <w:tc>
          <w:tcPr>
            <w:tcW w:w="133"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度量单位</w:t>
            </w:r>
          </w:p>
        </w:tc>
        <w:tc>
          <w:tcPr>
            <w:tcW w:w="285"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完成值</w:t>
            </w:r>
          </w:p>
        </w:tc>
        <w:tc>
          <w:tcPr>
            <w:tcW w:w="16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57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未完成原因分析</w:t>
            </w:r>
          </w:p>
        </w:tc>
      </w:tr>
      <w:tr>
        <w:trPr>
          <w:trHeight w:val="270"/>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18"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739"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聘请专业技术人员</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定性</w:t>
            </w:r>
          </w:p>
        </w:tc>
        <w:tc>
          <w:tcPr>
            <w:tcW w:w="315"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3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人</w:t>
            </w:r>
          </w:p>
        </w:tc>
        <w:tc>
          <w:tcPr>
            <w:tcW w:w="28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20</w:t>
            </w:r>
          </w:p>
        </w:tc>
        <w:tc>
          <w:tcPr>
            <w:tcW w:w="157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315"/>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1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73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煤矿专业技术指导、培训</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315"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3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月</w:t>
            </w:r>
          </w:p>
        </w:tc>
        <w:tc>
          <w:tcPr>
            <w:tcW w:w="28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4"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57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1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73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按时间进度推进</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定性</w:t>
            </w:r>
          </w:p>
        </w:tc>
        <w:tc>
          <w:tcPr>
            <w:tcW w:w="315"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12</w:t>
            </w:r>
          </w:p>
        </w:tc>
        <w:tc>
          <w:tcPr>
            <w:tcW w:w="13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月</w:t>
            </w:r>
          </w:p>
        </w:tc>
        <w:tc>
          <w:tcPr>
            <w:tcW w:w="28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57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1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73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提高专业技术水平</w:t>
            </w:r>
          </w:p>
        </w:tc>
        <w:tc>
          <w:tcPr>
            <w:tcW w:w="19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31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3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8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14</w:t>
            </w:r>
          </w:p>
        </w:tc>
        <w:tc>
          <w:tcPr>
            <w:tcW w:w="157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1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73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保障企业安全生产</w:t>
            </w:r>
          </w:p>
        </w:tc>
        <w:tc>
          <w:tcPr>
            <w:tcW w:w="19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31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不断提高</w:t>
            </w:r>
          </w:p>
        </w:tc>
        <w:tc>
          <w:tcPr>
            <w:tcW w:w="13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8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4"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14</w:t>
            </w:r>
          </w:p>
        </w:tc>
        <w:tc>
          <w:tcPr>
            <w:tcW w:w="157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88" w:type="pct"/>
            <w:vMerge/>
            <w:tcBorders>
              <w:top w:val="nil"/>
              <w:left w:val="single" w:sz="4" w:space="0" w:color="auto"/>
              <w:bottom w:val="single" w:sz="4" w:space="0" w:color="auto"/>
              <w:right w:val="single" w:sz="4" w:space="0" w:color="auto"/>
            </w:tcBorders>
            <w:vAlign w:val="center"/>
          </w:tcPr>
          <w:p/>
        </w:tc>
        <w:tc>
          <w:tcPr>
            <w:tcW w:w="40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1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73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减少安全事故发生</w:t>
            </w:r>
          </w:p>
        </w:tc>
        <w:tc>
          <w:tcPr>
            <w:tcW w:w="19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315"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0</w:t>
            </w:r>
          </w:p>
        </w:tc>
        <w:tc>
          <w:tcPr>
            <w:tcW w:w="13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28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57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88"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w:t>
            </w:r>
          </w:p>
        </w:tc>
        <w:tc>
          <w:tcPr>
            <w:tcW w:w="40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618"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739"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相关对象满意度</w:t>
            </w:r>
          </w:p>
        </w:tc>
        <w:tc>
          <w:tcPr>
            <w:tcW w:w="194"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315"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33"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285"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4"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76"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579"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70"/>
        </w:trPr>
        <w:tc>
          <w:tcPr>
            <w:tcW w:w="307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合计</w:t>
            </w:r>
          </w:p>
        </w:tc>
        <w:tc>
          <w:tcPr>
            <w:tcW w:w="164"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90</w:t>
            </w:r>
          </w:p>
        </w:tc>
        <w:tc>
          <w:tcPr>
            <w:tcW w:w="176" w:type="pct"/>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88</w:t>
            </w:r>
          </w:p>
        </w:tc>
        <w:tc>
          <w:tcPr>
            <w:tcW w:w="1579"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540"/>
        </w:trPr>
        <w:tc>
          <w:tcPr>
            <w:tcW w:w="388"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自评结论</w:t>
            </w:r>
          </w:p>
        </w:tc>
        <w:tc>
          <w:tcPr>
            <w:tcW w:w="4611" w:type="pct"/>
            <w:gridSpan w:val="10"/>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 xml:space="preserve"> 项目支出绩效目标设置了数量、质量、经济效益、社会效益、可持续影响、服务满意度等指标。通过绩效自评，年初设置的绩效目标已基本完成，自评分98分。</w:t>
            </w:r>
          </w:p>
        </w:tc>
      </w:tr>
      <w:tr>
        <w:trPr>
          <w:trHeight w:val="855"/>
        </w:trPr>
        <w:tc>
          <w:tcPr>
            <w:tcW w:w="388"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自评存在问题</w:t>
            </w:r>
          </w:p>
        </w:tc>
        <w:tc>
          <w:tcPr>
            <w:tcW w:w="4611"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after="240"/>
              <w:jc w:val="left"/>
              <w:rPr>
                <w:rFonts w:ascii="宋体" w:cs="宋体" w:hAnsi="宋体"/>
                <w:color w:val="000000"/>
                <w:kern w:val="0"/>
                <w:sz w:val="16"/>
                <w:szCs w:val="16"/>
              </w:rPr>
            </w:pPr>
            <w:r>
              <w:rPr>
                <w:rFonts w:ascii="宋体" w:cs="宋体" w:hAnsi="宋体" w:hint="eastAsia"/>
                <w:color w:val="000000"/>
                <w:kern w:val="0"/>
                <w:sz w:val="16"/>
                <w:szCs w:val="16"/>
              </w:rPr>
              <w:t>1.预算绩效目标编制还不够完善，科学性、合理性、严谨性和可控性有所缺乏。</w:t>
              <w:br/>
              <w:t>2.在资金安排和使用上，及时性和规范性还有待加强。</w:t>
            </w:r>
          </w:p>
        </w:tc>
      </w:tr>
      <w:tr>
        <w:trPr>
          <w:trHeight w:val="1140"/>
        </w:trPr>
        <w:tc>
          <w:tcPr>
            <w:tcW w:w="388"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自评改进措施</w:t>
            </w:r>
          </w:p>
        </w:tc>
        <w:tc>
          <w:tcPr>
            <w:tcW w:w="4611"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after="240"/>
              <w:jc w:val="left"/>
              <w:rPr>
                <w:rFonts w:ascii="宋体" w:cs="宋体" w:hAnsi="宋体"/>
                <w:color w:val="000000"/>
                <w:kern w:val="0"/>
                <w:sz w:val="16"/>
                <w:szCs w:val="16"/>
              </w:rPr>
            </w:pPr>
            <w:r>
              <w:rPr>
                <w:rFonts w:ascii="宋体" w:cs="宋体" w:hAnsi="宋体" w:hint="eastAsia"/>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br/>
              <w:t>2.按照预算规定的项目和用途严格财务审核，经费支出严格按预算规定项目的财务支出内容进行财务核算，在预算金额内严格控制费用的支出；</w:t>
              <w:br/>
              <w:t>3.预算财务分析常态化，定期做好预算支出财务分析，做好单位整体支出预算评价工作。</w:t>
            </w:r>
          </w:p>
        </w:tc>
      </w:tr>
      <w:tr>
        <w:trPr>
          <w:trHeight w:val="270"/>
        </w:trPr>
        <w:tc>
          <w:tcPr>
            <w:tcW w:w="234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项目负责人：</w:t>
            </w:r>
          </w:p>
        </w:tc>
        <w:tc>
          <w:tcPr>
            <w:tcW w:w="2654" w:type="pct"/>
            <w:gridSpan w:val="6"/>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财务负责人：</w:t>
            </w:r>
          </w:p>
        </w:tc>
      </w:tr>
      <w:tr>
        <w:trPr>
          <w:trHeight w:val="270"/>
        </w:trPr>
        <w:tc>
          <w:tcPr>
            <w:tcW w:w="38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404"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61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739"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94"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315"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33"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285"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64"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76"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579"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r>
      <w:tr>
        <w:trPr>
          <w:trHeight w:val="270"/>
        </w:trPr>
        <w:tc>
          <w:tcPr>
            <w:tcW w:w="38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404"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618"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739"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94"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315"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33"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285"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64"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76"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579"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r>
    </w:tbl>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spacing w:line="576" w:lineRule="exact"/>
        <w:rPr>
          <w:rFonts w:ascii="方正小标宋简体" w:eastAsia="方正小标宋简体" w:cs="方正小标宋简体" w:hAnsi="方正小标宋简体"/>
          <w:sz w:val="44"/>
          <w:szCs w:val="44"/>
        </w:rPr>
      </w:pPr>
    </w:p>
    <w:p>
      <w:pPr>
        <w:spacing w:line="576" w:lineRule="exact"/>
        <w:jc w:val="center"/>
        <w:rPr>
          <w:rFonts w:ascii="方正小标宋简体" w:eastAsia="方正小标宋简体" w:cs="方正小标宋简体" w:hAnsi="方正小标宋简体"/>
          <w:sz w:val="44"/>
          <w:szCs w:val="44"/>
        </w:rPr>
        <w:sectPr>
          <w:pgSz w:w="16838" w:h="11906" w:orient="landscape"/>
          <w:pgMar w:top="1587" w:right="2098" w:bottom="1474" w:left="1984" w:header="851" w:footer="992" w:gutter="0"/>
          <w:cols w:num="1" w:space="0"/>
          <w:titlePg/>
          <w:docGrid w:type="lines" w:linePitch="312" w:charSpace="0"/>
        </w:sectPr>
      </w:pP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广元市利州区应急管理局</w:t>
      </w:r>
    </w:p>
    <w:p>
      <w:pPr>
        <w:spacing w:line="576"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2022年人工影响天气灾害预警及区域自动平台运行经费项目支出绩效自评报告</w:t>
      </w:r>
    </w:p>
    <w:p>
      <w:pPr>
        <w:spacing w:line="576" w:lineRule="exact"/>
        <w:ind w:firstLineChars="200" w:firstLine="880"/>
        <w:jc w:val="center"/>
        <w:rPr>
          <w:rFonts w:ascii="方正小标宋简体" w:eastAsia="方正小标宋简体" w:cs="方正小标宋简体" w:hAnsi="方正小标宋简体"/>
          <w:sz w:val="44"/>
          <w:szCs w:val="44"/>
        </w:rPr>
      </w:pPr>
    </w:p>
    <w:p>
      <w:pPr>
        <w:numPr>
          <w:ilvl w:val="0"/>
          <w:numId w:val="11"/>
        </w:numPr>
        <w:spacing w:line="520" w:lineRule="exact"/>
        <w:ind w:left="0"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项目概况</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灾害预警方面：为减免和减轻大自然给人类造成的危害和损失，我区深入贯彻以人为本、预防为主的原则，有机构、有经费、有监测、有预警、有评估、有避让、有宣传、有演练、有效果等9个方面的内容。维护及使用广元市应急管理综合信息平台，里面共包含8个大板块（安全生产监督、应急指挥、行政执法、森林防灭火、责任清单、政务管理、综合业务、监测预警），监测预警：防汛抗旱、气象灾害、地质灾害、地震灾害、物联感知监测预警、视频及隐患监测预警、重大危险源事态分析、隐患治理态势分析、生产标准化态势分析、防火单位消防资源。</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主要负责辖区内气象行业管理、气象防灾送减灾、气象服务、气象预测、天气预报与气候预测、地面气象观测、气象卫星应用及防御雷电管理等工作。</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区域自动方面：气象防灾减灾工作的正常有序开展，有利于获得连续性气象要素，有利于更好地为社会公众及政府提供有价值的气象信息，提高政府部门联动能力，更好地为气象防灾减灾工作提供政府决策气象服务，打通农村气象服务最后一公里，增强气象防灾减灾能力，增强气象为农服务，减少因气象灾害造成的经济损失。</w:t>
      </w:r>
    </w:p>
    <w:p>
      <w:pPr>
        <w:spacing w:line="52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二、项目实施基本情况</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（一）项目的组织管理情况</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（1）通过灾害预警信息平台建设，及时发布预警信息，为自然灾害防治工作预防提供了基本方向。</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（2）通过预警信息巡查、排查、监测预警，可摸清全区范围内各类灾害的分布，各隐患点的具体情况，为防灾减灾工作提供了坚实的基础。</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（3）通过预警信息发布，应急演练和防治知识宣传教育培训，提高了广大干部群众防灾、应急知识和能力。</w:t>
      </w:r>
    </w:p>
    <w:p>
      <w:pPr>
        <w:spacing w:line="52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三、项目绩效情况</w:t>
        <w:tab/>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（一）项目完成情况</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灾害预警：行政执法态势展示、行政执法信息。森林防灭火：点位监控。责任清单：报表。政务管理：法律法规信息、信息发布。综合业务：数据填报、考核管理、事故调查。监测预警：防汛抗旱、气象灾害、地质灾害、地震灾害、物联感知监测预警、视频及隐患监测预警、重大危险源事态分析、隐患治理态势分析、生产标准化态势分析、防火单位消防资源。）</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区域自动化：气象业务的正常运作，有利于准确监测预报预警气象灾害发生发展的强降水灾害性天气，及时发布气象预警服务信息，有利于最大限度地减少灾害造成的人员伤亡和财产损失，减少受灾人口，进而减轻人们的精神负担和心理创伤，有利于社会稳定，保证社会正常的生产和生活活动，从而促进当地经济社会的可持续发展。 </w:t>
      </w:r>
    </w:p>
    <w:p>
      <w:pPr>
        <w:spacing w:line="52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四、专项资金使用及管理情况</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严格按照国家财务管理制度，严格执行项目财务管理制度，加强对气象业务维持经费项目资金的管理、检查和监督，及时申请资金、下达投资计划，严格按照项目内容实施和资金开支，做到专款专用，单独核算，确保资金支付规范、安全、有效。</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（一）项目资金申报及批复情况。</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1、资金来源：2022年财政预算安排80000元区域自动化气象维护经费专项资金，实行专款专用。</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2、资金使用范围</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气象服务费、专用车辆运行、信息费、人员保险等</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3、资金到位率</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rPr>
        <w:t>人工影响天气灾害预警及区域自动预播经费总投入80000元。2022年度预计支出金额80000元，实际支出50000元，支出占率62.5%。未使用原因是：2022年四季</w:t>
      </w:r>
      <w:r>
        <w:rPr>
          <w:rFonts w:ascii="方正仿宋简体" w:eastAsia="方正仿宋简体" w:cs="方正仿宋简体" w:hAnsi="方正仿宋简体" w:hint="eastAsia"/>
          <w:sz w:val="32"/>
          <w:szCs w:val="32"/>
        </w:rPr>
        <w:t>度申报的资金使用计划30000元，因国库未审核，导致各项经费未能及时支付、资金未及时使用；年终决算后，该资金暂未收到进行结转的通知。</w:t>
      </w:r>
    </w:p>
    <w:p>
      <w:pPr>
        <w:spacing w:line="520" w:lineRule="exact"/>
        <w:ind w:firstLineChars="250" w:firstLine="80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（二）绩效评价原则、依据、评价指标体系等情况 </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本次自评工作本着真实客观原则，确保自评工作实事求是，数据准确，结果客观。</w:t>
      </w:r>
    </w:p>
    <w:p>
      <w:pPr>
        <w:spacing w:line="52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五、绩效评价指标分析 </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（一）项目决策情况分析 </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项目绩效目标明确，能定量化，执行到位，绩效目标完成率95%，达到预期效果。</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（二）项目过程情况分析 </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资金到位率62.5%，支出率62.5%，资金使用符合国家财经法规和财务管理制度以及有关专项资金管理办法。会计核算资料完整且入账及时</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（三）项目产出情况分析 </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该专项资金投向结构合理，资金拨付及时，项目管理制度健全，项目申报、评审、立项、监督管理、验收等各个阶段的组织实施规范。</w:t>
      </w:r>
    </w:p>
    <w:p>
      <w:pPr>
        <w:spacing w:line="52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六、主要经验及做法 </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预算绩效管理工作领导小组，负责组织、协调评价考核相关工作。重视绩效跟踪检查工作，对发现的问题及时进行协调和整改，确保绩效目标正常运行，达到预期绩效目标。 </w:t>
      </w:r>
    </w:p>
    <w:p>
      <w:pPr>
        <w:spacing w:line="52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七、存在的问题及原因分析 </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一）绩效管理体系需要进一步健全。绩效管理是一个完整系统，由绩效计划、绩效实施、绩效考核、绩效反馈四部分组成，四者紧密相连，缺一不可，但从目前管理现状看，绩效管理的整体性上还有差距，管理体系需要进一步健全。 </w:t>
      </w:r>
    </w:p>
    <w:p>
      <w:pPr>
        <w:spacing w:line="52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二）对现行的预算绩效管理不适应。随着财政改革步伐的推进，预算绩效管理在财政改革中的地位与角色更加凸显，而当前绩效管理没有成熟模式，绩效管理人员缺乏专业知识和相应的工作经验，容易在绩效管理工作中产生各种错误，导致绩效管理结果出现偏差。 。 </w:t>
      </w:r>
    </w:p>
    <w:p>
      <w:pPr>
        <w:spacing w:line="520" w:lineRule="exact"/>
        <w:ind w:firstLineChars="200" w:firstLine="640"/>
        <w:rPr>
          <w:rFonts w:ascii="方正黑体简体" w:eastAsia="方正黑体简体" w:cs="方正黑体简体" w:hAnsi="方正黑体简体"/>
          <w:sz w:val="32"/>
          <w:szCs w:val="32"/>
        </w:rPr>
      </w:pPr>
      <w:r>
        <w:rPr>
          <w:rFonts w:ascii="方正黑体简体" w:eastAsia="方正黑体简体" w:cs="方正黑体简体" w:hAnsi="方正黑体简体" w:hint="eastAsia"/>
          <w:sz w:val="32"/>
          <w:szCs w:val="32"/>
        </w:rPr>
        <w:t>八、其他需要说明的问题 </w:t>
      </w:r>
    </w:p>
    <w:p>
      <w:pPr>
        <w:pStyle w:val="23"/>
        <w:spacing w:line="520" w:lineRule="exact"/>
        <w:ind w:leftChars="0" w:left="0"/>
      </w:pPr>
      <w:r>
        <w:rPr>
          <w:rFonts w:ascii="方正仿宋简体" w:eastAsia="方正仿宋简体" w:cs="方正仿宋简体" w:hAnsi="方正仿宋简体" w:hint="eastAsia"/>
          <w:sz w:val="32"/>
          <w:szCs w:val="32"/>
        </w:rPr>
        <w:t>建议区财政局多安排绩效管理业务指导和培训工作</w:t>
      </w:r>
    </w:p>
    <w:p>
      <w:pPr>
        <w:spacing w:line="520" w:lineRule="exact"/>
      </w:pPr>
    </w:p>
    <w:p>
      <w:pPr>
        <w:pStyle w:val="15"/>
        <w:spacing w:beforeLines="0" w:before="30" w:line="520" w:lineRule="exact"/>
      </w:pPr>
    </w:p>
    <w:p>
      <w:pPr>
        <w:pStyle w:val="15"/>
        <w:spacing w:beforeLines="0" w:before="30" w:line="520" w:lineRule="exact"/>
        <w:sectPr>
          <w:pgSz w:w="11906" w:h="16838"/>
          <w:pgMar w:top="2098" w:right="1474" w:bottom="1984" w:left="1587" w:header="851" w:footer="992" w:gutter="0"/>
          <w:cols w:num="1" w:space="0"/>
          <w:titlePg/>
          <w:docGrid w:type="lines" w:linePitch="312" w:charSpace="0"/>
        </w:sectPr>
      </w:pPr>
    </w:p>
    <w:tbl>
      <w:tblPr>
        <w:jc w:val="center"/>
        <w:tblW w:w="5771"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095"/>
        <w:gridCol w:w="1115"/>
        <w:gridCol w:w="1834"/>
        <w:gridCol w:w="2913"/>
        <w:gridCol w:w="576"/>
        <w:gridCol w:w="1655"/>
        <w:gridCol w:w="396"/>
        <w:gridCol w:w="846"/>
        <w:gridCol w:w="484"/>
        <w:gridCol w:w="396"/>
        <w:gridCol w:w="3661"/>
      </w:tblGrid>
      <w:tr>
        <w:trPr>
          <w:trHeight w:val="461"/>
        </w:trPr>
        <w:tc>
          <w:tcPr>
            <w:tcW w:w="364" w:type="pct"/>
            <w:tcBorders>
              <w:top w:val="nil"/>
              <w:left w:val="nil"/>
              <w:bottom w:val="nil"/>
              <w:right w:val="nil"/>
            </w:tcBorders>
            <w:shd w:val="clear" w:color="auto" w:fill="auto"/>
            <w:noWrap/>
            <w:vAlign w:val="center"/>
          </w:tcPr>
          <w:p>
            <w:pPr>
              <w:widowControl/>
              <w:jc w:val="center"/>
              <w:rPr>
                <w:rFonts w:ascii="黑体" w:eastAsia="黑体" w:cs="宋体" w:hAnsi="宋体"/>
                <w:color w:val="000000"/>
                <w:kern w:val="0"/>
                <w:sz w:val="32"/>
                <w:szCs w:val="32"/>
              </w:rPr>
            </w:pPr>
            <w:r>
              <w:rPr>
                <w:rFonts w:ascii="黑体" w:eastAsia="黑体" w:cs="宋体" w:hAnsi="宋体" w:hint="eastAsia"/>
                <w:color w:val="000000"/>
                <w:kern w:val="0"/>
                <w:sz w:val="32"/>
                <w:szCs w:val="32"/>
              </w:rPr>
              <w:t>附件4</w:t>
            </w:r>
          </w:p>
        </w:tc>
        <w:tc>
          <w:tcPr>
            <w:tcW w:w="371"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c>
          <w:tcPr>
            <w:tcW w:w="611"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c>
          <w:tcPr>
            <w:tcW w:w="970"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c>
          <w:tcPr>
            <w:tcW w:w="191"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c>
          <w:tcPr>
            <w:tcW w:w="550"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c>
          <w:tcPr>
            <w:tcW w:w="131"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c>
          <w:tcPr>
            <w:tcW w:w="281"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c>
          <w:tcPr>
            <w:tcW w:w="162"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c>
          <w:tcPr>
            <w:tcW w:w="131"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c>
          <w:tcPr>
            <w:tcW w:w="1232" w:type="pct"/>
            <w:tcBorders>
              <w:top w:val="nil"/>
              <w:left w:val="nil"/>
              <w:bottom w:val="nil"/>
              <w:right w:val="nil"/>
            </w:tcBorders>
            <w:shd w:val="clear" w:color="auto" w:fill="auto"/>
            <w:noWrap/>
            <w:vAlign w:val="center"/>
          </w:tcPr>
          <w:p>
            <w:pPr>
              <w:widowControl/>
              <w:jc w:val="center"/>
              <w:rPr>
                <w:rFonts w:ascii="宋体" w:cs="宋体" w:hAnsi="宋体"/>
                <w:color w:val="000000"/>
                <w:kern w:val="0"/>
                <w:sz w:val="22"/>
                <w:szCs w:val="22"/>
              </w:rPr>
            </w:pPr>
          </w:p>
        </w:tc>
      </w:tr>
      <w:tr>
        <w:trPr>
          <w:trHeight w:val="691"/>
        </w:trPr>
        <w:tc>
          <w:tcPr>
            <w:tcW w:w="5000" w:type="pct"/>
            <w:gridSpan w:val="11"/>
            <w:tcBorders>
              <w:top w:val="nil"/>
              <w:left w:val="nil"/>
              <w:bottom w:val="nil"/>
              <w:right w:val="nil"/>
            </w:tcBorders>
            <w:shd w:val="clear" w:color="auto" w:fill="auto"/>
            <w:vAlign w:val="center"/>
          </w:tcPr>
          <w:p>
            <w:pPr>
              <w:widowControl/>
              <w:jc w:val="center"/>
              <w:rPr>
                <w:rFonts w:ascii="方正小标宋简体" w:eastAsia="方正小标宋简体" w:cs="宋体" w:hAnsi="宋体"/>
                <w:color w:val="000000"/>
                <w:kern w:val="0"/>
                <w:sz w:val="44"/>
                <w:szCs w:val="44"/>
              </w:rPr>
            </w:pPr>
            <w:r>
              <w:rPr>
                <w:rFonts w:ascii="方正小标宋简体" w:eastAsia="方正小标宋简体" w:cs="宋体" w:hAnsi="宋体" w:hint="eastAsia"/>
                <w:color w:val="000000"/>
                <w:kern w:val="0"/>
                <w:sz w:val="44"/>
                <w:szCs w:val="44"/>
              </w:rPr>
              <w:t>部门预算、专项资金预算项目支出绩效目标自评表（2022年度）</w:t>
            </w:r>
          </w:p>
        </w:tc>
      </w:tr>
      <w:tr>
        <w:trPr>
          <w:trHeight w:val="288"/>
        </w:trPr>
        <w:tc>
          <w:tcPr>
            <w:tcW w:w="7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项目名称</w:t>
            </w:r>
          </w:p>
        </w:tc>
        <w:tc>
          <w:tcPr>
            <w:tcW w:w="4264" w:type="pct"/>
            <w:gridSpan w:val="9"/>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人工影响天气灾害预警及区域自动平台运行经费</w:t>
            </w:r>
          </w:p>
        </w:tc>
      </w:tr>
      <w:tr>
        <w:trPr>
          <w:trHeight w:val="468"/>
        </w:trPr>
        <w:tc>
          <w:tcPr>
            <w:tcW w:w="7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主管部门</w:t>
            </w:r>
          </w:p>
        </w:tc>
        <w:tc>
          <w:tcPr>
            <w:tcW w:w="2455" w:type="pct"/>
            <w:gridSpan w:val="5"/>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区应急管理局</w:t>
            </w:r>
          </w:p>
        </w:tc>
        <w:tc>
          <w:tcPr>
            <w:tcW w:w="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xml:space="preserve">实施单位 </w:t>
            </w:r>
          </w:p>
        </w:tc>
        <w:tc>
          <w:tcPr>
            <w:tcW w:w="1526"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区应急管理局</w:t>
            </w:r>
          </w:p>
        </w:tc>
      </w:tr>
      <w:tr>
        <w:trPr>
          <w:trHeight w:val="288"/>
        </w:trPr>
        <w:tc>
          <w:tcPr>
            <w:tcW w:w="364"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项目基本情况</w:t>
            </w:r>
          </w:p>
        </w:tc>
        <w:tc>
          <w:tcPr>
            <w:tcW w:w="371"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1.项目年度目标完成情况</w:t>
            </w:r>
          </w:p>
        </w:tc>
        <w:tc>
          <w:tcPr>
            <w:tcW w:w="2455" w:type="pct"/>
            <w:gridSpan w:val="5"/>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项目年度目标</w:t>
            </w:r>
          </w:p>
        </w:tc>
        <w:tc>
          <w:tcPr>
            <w:tcW w:w="1808" w:type="pct"/>
            <w:gridSpan w:val="4"/>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年度目标完成情况</w:t>
            </w:r>
          </w:p>
        </w:tc>
      </w:tr>
      <w:tr>
        <w:trPr>
          <w:trHeight w:val="938"/>
        </w:trPr>
        <w:tc>
          <w:tcPr>
            <w:tcW w:w="364" w:type="pct"/>
            <w:vMerge/>
            <w:tcBorders>
              <w:top w:val="nil"/>
              <w:left w:val="single" w:sz="4" w:space="0" w:color="auto"/>
              <w:bottom w:val="single" w:sz="4" w:space="0" w:color="auto"/>
              <w:right w:val="single" w:sz="4" w:space="0" w:color="auto"/>
            </w:tcBorders>
            <w:vAlign w:val="center"/>
          </w:tcPr>
          <w:p/>
        </w:tc>
        <w:tc>
          <w:tcPr>
            <w:tcW w:w="371" w:type="pct"/>
            <w:vMerge/>
            <w:tcBorders>
              <w:top w:val="nil"/>
              <w:left w:val="single" w:sz="4" w:space="0" w:color="auto"/>
              <w:bottom w:val="single" w:sz="4" w:space="0" w:color="auto"/>
              <w:right w:val="single" w:sz="4" w:space="0" w:color="auto"/>
            </w:tcBorders>
            <w:vAlign w:val="center"/>
          </w:tcPr>
          <w:p/>
        </w:tc>
        <w:tc>
          <w:tcPr>
            <w:tcW w:w="2455" w:type="pct"/>
            <w:gridSpan w:val="5"/>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2022年以来，我局始终以习近平新时代中国特色社会主义思想为指导，以国办发47号文件、川办发48号、广府办发9号文件为中心目标，从加强人影作业队伍建设、强化责任落实、主动开展作业服务等方面入手，不断促使我市人工影响天气工作高质量发展迈出新步伐。</w:t>
            </w:r>
          </w:p>
        </w:tc>
        <w:tc>
          <w:tcPr>
            <w:tcW w:w="1808" w:type="pct"/>
            <w:gridSpan w:val="4"/>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一、健全工作机制，推进人影工作开展</w:t>
              <w:br/>
              <w:t>二、采取有效措施，确保人影作业安全</w:t>
              <w:br/>
              <w:t>三、完善作业制度，深化人影管理工作</w:t>
              <w:br/>
              <w:t>四、强化自身建设，提高作业人员素质</w:t>
            </w:r>
          </w:p>
        </w:tc>
      </w:tr>
      <w:tr>
        <w:trPr>
          <w:trHeight w:val="2771"/>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b/>
                <w:bCs/>
                <w:color w:val="000000"/>
                <w:kern w:val="0"/>
                <w:sz w:val="18"/>
                <w:szCs w:val="18"/>
              </w:rPr>
            </w:pPr>
            <w:r>
              <w:rPr>
                <w:rFonts w:ascii="宋体" w:cs="宋体" w:hAnsi="宋体" w:hint="eastAsia"/>
                <w:b/>
                <w:bCs/>
                <w:color w:val="000000"/>
                <w:kern w:val="0"/>
                <w:sz w:val="18"/>
                <w:szCs w:val="18"/>
              </w:rPr>
              <w:t>2.项目实施内容及过程概述</w:t>
            </w:r>
          </w:p>
        </w:tc>
        <w:tc>
          <w:tcPr>
            <w:tcW w:w="4264" w:type="pct"/>
            <w:gridSpan w:val="9"/>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（一）加强作业培训，作业能力不断得到提升</w:t>
              <w:br/>
              <w:t>3月11日开展了高炮年检工作，3月24日在广元市国家基本气象站参加了全市2022年度人影作业人员岗前培训暨安全培训，市气象局邀请省人影办和陕西中天公司的技术人员到场培训，培训内容包括：学习习近平总书记关于安全生产重要论述以及广府办发〔2022〕9号文件精神，地面管理以及弹药安全、作业过程培训以及安全管理。</w:t>
              <w:br/>
              <w:t>（二）强化责任落实，人影安全监管职责明确</w:t>
              <w:br/>
              <w:t>一是认真落实人影安全监管职责，人工影响天气作业以来在利州区安办群里发布作业公告，其次发布广元市利州区应急管理局人工影响天气作业计划。二是明确作业车辆安全管理职责，按照人影地面作业管理制度要求，为地面作业人员购买人身意外险。三是在4月底前，完成市气象局作业装备年检工作。四是主动对接广元市公安局利州区分局治安大队落实了人员和装备的备案工作。</w:t>
              <w:br/>
              <w:t>（三）主动实施作业，积极服务生态建设</w:t>
              <w:br/>
              <w:t>积极主动参与全市森林防灭火应急演练和开展大气污染防治作业。截止2022年8月19日共开展抗旱增雨、保障农业丰收，森林防灭火、水库蓄水增雨、降尘洗霾、善空气质量等人工影响天气作业11箭次，发射火箭弹32枚，作业有效率达到92%。其中7.26廖家山火情当晚利州单车发射火箭弹29枚，其余4车30枚，成功于早上6点30分将火情扑灭。降低了森林火险等级，有效缓解了干旱的影响，改善了空气质量，为我区生态文明建设发挥了积极作用。</w:t>
            </w:r>
          </w:p>
        </w:tc>
      </w:tr>
      <w:tr>
        <w:trPr>
          <w:trHeight w:val="468"/>
        </w:trPr>
        <w:tc>
          <w:tcPr>
            <w:tcW w:w="364"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预算执行情况</w:t>
              <w:br/>
              <w:t>（10分）</w:t>
            </w:r>
          </w:p>
        </w:tc>
        <w:tc>
          <w:tcPr>
            <w:tcW w:w="37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年度预算数</w:t>
              <w:br/>
              <w:t>（万元）</w:t>
            </w:r>
          </w:p>
        </w:tc>
        <w:tc>
          <w:tcPr>
            <w:tcW w:w="6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年初预算</w:t>
            </w:r>
          </w:p>
        </w:tc>
        <w:tc>
          <w:tcPr>
            <w:tcW w:w="9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调整后预算数</w:t>
            </w:r>
          </w:p>
        </w:tc>
        <w:tc>
          <w:tcPr>
            <w:tcW w:w="874"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预算执行数</w:t>
            </w:r>
          </w:p>
        </w:tc>
        <w:tc>
          <w:tcPr>
            <w:tcW w:w="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预算执行率</w:t>
            </w:r>
          </w:p>
        </w:tc>
        <w:tc>
          <w:tcPr>
            <w:tcW w:w="16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原因</w:t>
            </w:r>
          </w:p>
        </w:tc>
      </w:tr>
      <w:tr>
        <w:trPr>
          <w:trHeight w:val="243"/>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总额</w:t>
            </w:r>
          </w:p>
        </w:tc>
        <w:tc>
          <w:tcPr>
            <w:tcW w:w="6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8.00</w:t>
            </w:r>
          </w:p>
        </w:tc>
        <w:tc>
          <w:tcPr>
            <w:tcW w:w="9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74"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8.00</w:t>
            </w:r>
          </w:p>
        </w:tc>
        <w:tc>
          <w:tcPr>
            <w:tcW w:w="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32"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未使用原因是：2022年四季度申报的资金使用计划30000元，因国库未审核，导致各项经费未能及时支付、资金未及时使用；年终决算后，该资金暂未收到进行结转的通知。</w:t>
            </w:r>
          </w:p>
        </w:tc>
      </w:tr>
      <w:tr>
        <w:trPr>
          <w:trHeight w:val="468"/>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其中：财政资金</w:t>
            </w:r>
          </w:p>
        </w:tc>
        <w:tc>
          <w:tcPr>
            <w:tcW w:w="6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8.00</w:t>
            </w:r>
          </w:p>
        </w:tc>
        <w:tc>
          <w:tcPr>
            <w:tcW w:w="9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74"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8.00</w:t>
            </w:r>
          </w:p>
        </w:tc>
        <w:tc>
          <w:tcPr>
            <w:tcW w:w="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100.00%</w:t>
            </w:r>
          </w:p>
        </w:tc>
        <w:tc>
          <w:tcPr>
            <w:tcW w:w="16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232" w:type="pct"/>
            <w:vMerge/>
            <w:tcBorders>
              <w:top w:val="nil"/>
              <w:left w:val="single" w:sz="4" w:space="0" w:color="auto"/>
              <w:bottom w:val="single" w:sz="4" w:space="0" w:color="auto"/>
              <w:right w:val="single" w:sz="4" w:space="0" w:color="auto"/>
            </w:tcBorders>
            <w:vAlign w:val="center"/>
          </w:tcPr>
          <w:p/>
        </w:tc>
      </w:tr>
      <w:tr>
        <w:trPr>
          <w:trHeight w:val="468"/>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财政专户管理资金</w:t>
            </w:r>
          </w:p>
        </w:tc>
        <w:tc>
          <w:tcPr>
            <w:tcW w:w="6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74"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232" w:type="pct"/>
            <w:vMerge/>
            <w:tcBorders>
              <w:top w:val="nil"/>
              <w:left w:val="single" w:sz="4" w:space="0" w:color="auto"/>
              <w:bottom w:val="single" w:sz="4" w:space="0" w:color="auto"/>
              <w:right w:val="single" w:sz="4" w:space="0" w:color="auto"/>
            </w:tcBorders>
            <w:vAlign w:val="center"/>
          </w:tcPr>
          <w:p/>
        </w:tc>
      </w:tr>
      <w:tr>
        <w:trPr>
          <w:trHeight w:val="238"/>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单位资金</w:t>
            </w:r>
          </w:p>
        </w:tc>
        <w:tc>
          <w:tcPr>
            <w:tcW w:w="6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9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874"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232" w:type="pct"/>
            <w:vMerge/>
            <w:tcBorders>
              <w:top w:val="nil"/>
              <w:left w:val="single" w:sz="4" w:space="0" w:color="auto"/>
              <w:bottom w:val="single" w:sz="4" w:space="0" w:color="auto"/>
              <w:right w:val="single" w:sz="4" w:space="0" w:color="auto"/>
            </w:tcBorders>
            <w:vAlign w:val="center"/>
          </w:tcPr>
          <w:p/>
        </w:tc>
      </w:tr>
      <w:tr>
        <w:trPr>
          <w:trHeight w:val="260"/>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其他资金</w:t>
            </w:r>
          </w:p>
        </w:tc>
        <w:tc>
          <w:tcPr>
            <w:tcW w:w="6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9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874" w:type="pct"/>
            <w:gridSpan w:val="3"/>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6"/>
                <w:szCs w:val="16"/>
              </w:rPr>
            </w:pPr>
            <w:r>
              <w:rPr>
                <w:rFonts w:ascii="宋体" w:cs="宋体" w:hAnsi="宋体" w:hint="eastAsia"/>
                <w:color w:val="000000"/>
                <w:kern w:val="0"/>
                <w:sz w:val="16"/>
                <w:szCs w:val="16"/>
              </w:rPr>
              <w:t>　</w:t>
            </w:r>
          </w:p>
        </w:tc>
        <w:tc>
          <w:tcPr>
            <w:tcW w:w="16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c>
          <w:tcPr>
            <w:tcW w:w="1232" w:type="pct"/>
            <w:vMerge/>
            <w:tcBorders>
              <w:top w:val="nil"/>
              <w:left w:val="single" w:sz="4" w:space="0" w:color="auto"/>
              <w:bottom w:val="single" w:sz="4" w:space="0" w:color="auto"/>
              <w:right w:val="single" w:sz="4" w:space="0" w:color="auto"/>
            </w:tcBorders>
            <w:vAlign w:val="center"/>
          </w:tcPr>
          <w:p/>
        </w:tc>
      </w:tr>
      <w:tr>
        <w:trPr>
          <w:trHeight w:val="929"/>
        </w:trPr>
        <w:tc>
          <w:tcPr>
            <w:tcW w:w="364" w:type="pct"/>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绩效指标（90分）</w:t>
            </w:r>
          </w:p>
        </w:tc>
        <w:tc>
          <w:tcPr>
            <w:tcW w:w="37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一级指标</w:t>
            </w:r>
          </w:p>
        </w:tc>
        <w:tc>
          <w:tcPr>
            <w:tcW w:w="61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二级指标</w:t>
            </w:r>
          </w:p>
        </w:tc>
        <w:tc>
          <w:tcPr>
            <w:tcW w:w="97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三级指标</w:t>
            </w:r>
          </w:p>
        </w:tc>
        <w:tc>
          <w:tcPr>
            <w:tcW w:w="1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指标性质</w:t>
            </w:r>
          </w:p>
        </w:tc>
        <w:tc>
          <w:tcPr>
            <w:tcW w:w="550"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指标值</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度量单位</w:t>
            </w:r>
          </w:p>
        </w:tc>
        <w:tc>
          <w:tcPr>
            <w:tcW w:w="28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完成值</w:t>
            </w:r>
          </w:p>
        </w:tc>
        <w:tc>
          <w:tcPr>
            <w:tcW w:w="16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权重</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自评得分</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未完成原因分析</w:t>
            </w:r>
          </w:p>
        </w:tc>
      </w:tr>
      <w:tr>
        <w:trPr>
          <w:trHeight w:val="238"/>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1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数量指标</w:t>
            </w:r>
          </w:p>
        </w:tc>
        <w:tc>
          <w:tcPr>
            <w:tcW w:w="97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3辆专用火箭车</w:t>
            </w:r>
          </w:p>
        </w:tc>
        <w:tc>
          <w:tcPr>
            <w:tcW w:w="1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550"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w:t>
            </w:r>
          </w:p>
        </w:tc>
        <w:tc>
          <w:tcPr>
            <w:tcW w:w="1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辆</w:t>
            </w:r>
          </w:p>
        </w:tc>
        <w:tc>
          <w:tcPr>
            <w:tcW w:w="28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15</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40"/>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质量指标</w:t>
            </w:r>
          </w:p>
        </w:tc>
        <w:tc>
          <w:tcPr>
            <w:tcW w:w="97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有预警、有演练、有监测</w:t>
            </w:r>
          </w:p>
        </w:tc>
        <w:tc>
          <w:tcPr>
            <w:tcW w:w="1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w:t>
            </w:r>
          </w:p>
        </w:tc>
        <w:tc>
          <w:tcPr>
            <w:tcW w:w="550"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10</w:t>
            </w:r>
          </w:p>
        </w:tc>
        <w:tc>
          <w:tcPr>
            <w:tcW w:w="1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处</w:t>
            </w:r>
          </w:p>
        </w:tc>
        <w:tc>
          <w:tcPr>
            <w:tcW w:w="28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15</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15</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38"/>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产出指标</w:t>
            </w:r>
          </w:p>
        </w:tc>
        <w:tc>
          <w:tcPr>
            <w:tcW w:w="6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时效指标</w:t>
            </w:r>
          </w:p>
        </w:tc>
        <w:tc>
          <w:tcPr>
            <w:tcW w:w="97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根据环境气候推进次数</w:t>
            </w:r>
          </w:p>
        </w:tc>
        <w:tc>
          <w:tcPr>
            <w:tcW w:w="1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定性</w:t>
            </w:r>
          </w:p>
        </w:tc>
        <w:tc>
          <w:tcPr>
            <w:tcW w:w="55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优良中低差</w:t>
            </w:r>
          </w:p>
        </w:tc>
        <w:tc>
          <w:tcPr>
            <w:tcW w:w="1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8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38"/>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经济效益指标</w:t>
            </w:r>
          </w:p>
        </w:tc>
        <w:tc>
          <w:tcPr>
            <w:tcW w:w="97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减少事故发生、保障人民生命财产</w:t>
            </w:r>
          </w:p>
        </w:tc>
        <w:tc>
          <w:tcPr>
            <w:tcW w:w="1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5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营造良好发展环境</w:t>
            </w:r>
          </w:p>
        </w:tc>
        <w:tc>
          <w:tcPr>
            <w:tcW w:w="1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8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38"/>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可持续发展指标</w:t>
            </w:r>
          </w:p>
        </w:tc>
        <w:tc>
          <w:tcPr>
            <w:tcW w:w="97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减轻大自然造成的损失</w:t>
            </w:r>
          </w:p>
        </w:tc>
        <w:tc>
          <w:tcPr>
            <w:tcW w:w="1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55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不断提升</w:t>
            </w:r>
          </w:p>
        </w:tc>
        <w:tc>
          <w:tcPr>
            <w:tcW w:w="1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8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38"/>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可持续影响指标</w:t>
            </w:r>
          </w:p>
        </w:tc>
        <w:tc>
          <w:tcPr>
            <w:tcW w:w="97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保障生产生活正常运行</w:t>
            </w:r>
          </w:p>
        </w:tc>
        <w:tc>
          <w:tcPr>
            <w:tcW w:w="19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定性</w:t>
            </w:r>
          </w:p>
        </w:tc>
        <w:tc>
          <w:tcPr>
            <w:tcW w:w="550"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不断推进</w:t>
            </w:r>
          </w:p>
        </w:tc>
        <w:tc>
          <w:tcPr>
            <w:tcW w:w="1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28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38"/>
        </w:trPr>
        <w:tc>
          <w:tcPr>
            <w:tcW w:w="364" w:type="pct"/>
            <w:vMerge/>
            <w:tcBorders>
              <w:top w:val="nil"/>
              <w:left w:val="single" w:sz="4" w:space="0" w:color="auto"/>
              <w:bottom w:val="single" w:sz="4" w:space="0" w:color="auto"/>
              <w:right w:val="single" w:sz="4" w:space="0" w:color="auto"/>
            </w:tcBorders>
            <w:vAlign w:val="center"/>
          </w:tcPr>
          <w:p/>
        </w:tc>
        <w:tc>
          <w:tcPr>
            <w:tcW w:w="37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效益指标</w:t>
            </w:r>
          </w:p>
        </w:tc>
        <w:tc>
          <w:tcPr>
            <w:tcW w:w="6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社会效益指标</w:t>
            </w:r>
          </w:p>
        </w:tc>
        <w:tc>
          <w:tcPr>
            <w:tcW w:w="97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减少污染、保障重大活动运行</w:t>
            </w:r>
          </w:p>
        </w:tc>
        <w:tc>
          <w:tcPr>
            <w:tcW w:w="1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550"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10</w:t>
            </w:r>
          </w:p>
        </w:tc>
        <w:tc>
          <w:tcPr>
            <w:tcW w:w="1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次</w:t>
            </w:r>
          </w:p>
        </w:tc>
        <w:tc>
          <w:tcPr>
            <w:tcW w:w="28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38"/>
        </w:trPr>
        <w:tc>
          <w:tcPr>
            <w:tcW w:w="364"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　</w:t>
            </w:r>
          </w:p>
        </w:tc>
        <w:tc>
          <w:tcPr>
            <w:tcW w:w="37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满意度指标</w:t>
            </w:r>
          </w:p>
        </w:tc>
        <w:tc>
          <w:tcPr>
            <w:tcW w:w="611"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服务对象满意度指标</w:t>
            </w:r>
          </w:p>
        </w:tc>
        <w:tc>
          <w:tcPr>
            <w:tcW w:w="970" w:type="pct"/>
            <w:tcBorders>
              <w:top w:val="nil"/>
              <w:left w:val="nil"/>
              <w:bottom w:val="single" w:sz="4" w:space="0" w:color="auto"/>
              <w:right w:val="single" w:sz="4" w:space="0" w:color="auto"/>
            </w:tcBorders>
            <w:shd w:val="clear" w:color="auto" w:fill="auto"/>
            <w:noWrap/>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相关对象满意度</w:t>
            </w:r>
          </w:p>
        </w:tc>
        <w:tc>
          <w:tcPr>
            <w:tcW w:w="19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kern w:val="0"/>
                <w:sz w:val="18"/>
                <w:szCs w:val="18"/>
              </w:rPr>
            </w:pPr>
            <w:r>
              <w:rPr>
                <w:rFonts w:ascii="宋体" w:cs="宋体" w:hAnsi="宋体" w:hint="eastAsia"/>
                <w:kern w:val="0"/>
                <w:sz w:val="18"/>
                <w:szCs w:val="18"/>
              </w:rPr>
              <w:t>≥</w:t>
            </w:r>
          </w:p>
        </w:tc>
        <w:tc>
          <w:tcPr>
            <w:tcW w:w="550" w:type="pct"/>
            <w:tcBorders>
              <w:top w:val="nil"/>
              <w:left w:val="nil"/>
              <w:bottom w:val="single" w:sz="4" w:space="0" w:color="auto"/>
              <w:right w:val="single" w:sz="4" w:space="0" w:color="auto"/>
            </w:tcBorders>
            <w:shd w:val="clear" w:color="auto" w:fill="auto"/>
            <w:noWrap/>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95</w:t>
            </w:r>
          </w:p>
        </w:tc>
        <w:tc>
          <w:tcPr>
            <w:tcW w:w="13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w:t>
            </w:r>
          </w:p>
        </w:tc>
        <w:tc>
          <w:tcPr>
            <w:tcW w:w="281"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62" w:type="pct"/>
            <w:tcBorders>
              <w:top w:val="nil"/>
              <w:left w:val="nil"/>
              <w:bottom w:val="single" w:sz="4" w:space="0" w:color="auto"/>
              <w:right w:val="single" w:sz="4" w:space="0" w:color="auto"/>
            </w:tcBorders>
            <w:shd w:val="clear" w:color="auto" w:fill="auto"/>
            <w:noWrap/>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10</w:t>
            </w:r>
          </w:p>
        </w:tc>
        <w:tc>
          <w:tcPr>
            <w:tcW w:w="131"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10</w:t>
            </w:r>
          </w:p>
        </w:tc>
        <w:tc>
          <w:tcPr>
            <w:tcW w:w="1232" w:type="pct"/>
            <w:tcBorders>
              <w:top w:val="nil"/>
              <w:left w:val="nil"/>
              <w:bottom w:val="single" w:sz="4" w:space="0" w:color="auto"/>
              <w:right w:val="single" w:sz="4" w:space="0" w:color="auto"/>
            </w:tcBorders>
            <w:shd w:val="clear" w:color="auto" w:fill="auto"/>
            <w:vAlign w:val="center"/>
          </w:tcPr>
          <w:p>
            <w:pPr>
              <w:widowControl/>
              <w:jc w:val="center"/>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238"/>
        </w:trPr>
        <w:tc>
          <w:tcPr>
            <w:tcW w:w="347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合计</w:t>
            </w:r>
          </w:p>
        </w:tc>
        <w:tc>
          <w:tcPr>
            <w:tcW w:w="162"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c>
          <w:tcPr>
            <w:tcW w:w="131" w:type="pct"/>
            <w:tcBorders>
              <w:top w:val="nil"/>
              <w:left w:val="nil"/>
              <w:bottom w:val="single" w:sz="4" w:space="0" w:color="auto"/>
              <w:right w:val="single" w:sz="4" w:space="0" w:color="auto"/>
            </w:tcBorders>
            <w:shd w:val="clear" w:color="auto" w:fill="auto"/>
            <w:vAlign w:val="center"/>
          </w:tcPr>
          <w:p>
            <w:pPr>
              <w:widowControl/>
              <w:jc w:val="right"/>
              <w:rPr>
                <w:rFonts w:ascii="宋体" w:cs="宋体" w:hAnsi="宋体"/>
                <w:color w:val="000000"/>
                <w:kern w:val="0"/>
                <w:sz w:val="18"/>
                <w:szCs w:val="18"/>
              </w:rPr>
            </w:pPr>
            <w:r>
              <w:rPr>
                <w:rFonts w:ascii="宋体" w:cs="宋体" w:hAnsi="宋体" w:hint="eastAsia"/>
                <w:color w:val="000000"/>
                <w:kern w:val="0"/>
                <w:sz w:val="18"/>
                <w:szCs w:val="18"/>
              </w:rPr>
              <w:t>85</w:t>
            </w:r>
          </w:p>
        </w:tc>
        <w:tc>
          <w:tcPr>
            <w:tcW w:w="1232" w:type="pct"/>
            <w:tcBorders>
              <w:top w:val="nil"/>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　</w:t>
            </w:r>
          </w:p>
        </w:tc>
      </w:tr>
      <w:tr>
        <w:trPr>
          <w:trHeight w:val="406"/>
        </w:trPr>
        <w:tc>
          <w:tcPr>
            <w:tcW w:w="364"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自评结论</w:t>
            </w:r>
          </w:p>
        </w:tc>
        <w:tc>
          <w:tcPr>
            <w:tcW w:w="4635" w:type="pct"/>
            <w:gridSpan w:val="10"/>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6"/>
                <w:szCs w:val="16"/>
              </w:rPr>
            </w:pPr>
            <w:r>
              <w:rPr>
                <w:rFonts w:ascii="宋体" w:cs="宋体" w:hAnsi="宋体" w:hint="eastAsia"/>
                <w:color w:val="000000"/>
                <w:kern w:val="0"/>
                <w:sz w:val="16"/>
                <w:szCs w:val="16"/>
              </w:rPr>
              <w:t xml:space="preserve"> 项目支出绩效目标设置了数量、质量、经济效益、社会效益、可持续影响、服务满意度等指标。通过绩效自评，年初设置的绩效目标已基本完成，自评分95分。</w:t>
            </w:r>
          </w:p>
        </w:tc>
      </w:tr>
      <w:tr>
        <w:trPr>
          <w:trHeight w:val="645"/>
        </w:trPr>
        <w:tc>
          <w:tcPr>
            <w:tcW w:w="364"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自评存在问题</w:t>
            </w:r>
          </w:p>
        </w:tc>
        <w:tc>
          <w:tcPr>
            <w:tcW w:w="4635"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after="240"/>
              <w:jc w:val="left"/>
              <w:rPr>
                <w:rFonts w:ascii="宋体" w:cs="宋体" w:hAnsi="宋体"/>
                <w:color w:val="000000"/>
                <w:kern w:val="0"/>
                <w:sz w:val="16"/>
                <w:szCs w:val="16"/>
              </w:rPr>
            </w:pPr>
            <w:r>
              <w:rPr>
                <w:rFonts w:ascii="宋体" w:cs="宋体" w:hAnsi="宋体" w:hint="eastAsia"/>
                <w:color w:val="000000"/>
                <w:kern w:val="0"/>
                <w:sz w:val="16"/>
                <w:szCs w:val="16"/>
              </w:rPr>
              <w:t>1.预算绩效目标编制还不够完善，科学性、合理性、严谨性和可控性有所缺乏。</w:t>
              <w:br/>
              <w:t>2.在资金安排和使用上，及时性和规范性还有待加强。</w:t>
            </w:r>
          </w:p>
        </w:tc>
      </w:tr>
      <w:tr>
        <w:trPr>
          <w:trHeight w:val="1106"/>
        </w:trPr>
        <w:tc>
          <w:tcPr>
            <w:tcW w:w="364" w:type="pc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hAnsi="宋体"/>
                <w:b/>
                <w:bCs/>
                <w:color w:val="000000"/>
                <w:kern w:val="0"/>
                <w:sz w:val="18"/>
                <w:szCs w:val="18"/>
              </w:rPr>
            </w:pPr>
            <w:r>
              <w:rPr>
                <w:rFonts w:ascii="宋体" w:cs="宋体" w:hAnsi="宋体" w:hint="eastAsia"/>
                <w:b/>
                <w:bCs/>
                <w:color w:val="000000"/>
                <w:kern w:val="0"/>
                <w:sz w:val="18"/>
                <w:szCs w:val="18"/>
              </w:rPr>
              <w:t>自评改进措施</w:t>
            </w:r>
          </w:p>
        </w:tc>
        <w:tc>
          <w:tcPr>
            <w:tcW w:w="4635" w:type="pct"/>
            <w:gridSpan w:val="10"/>
            <w:tcBorders>
              <w:top w:val="single" w:sz="4" w:space="0" w:color="auto"/>
              <w:left w:val="nil"/>
              <w:bottom w:val="single" w:sz="4" w:space="0" w:color="auto"/>
              <w:right w:val="single" w:sz="4" w:space="0" w:color="auto"/>
            </w:tcBorders>
            <w:shd w:val="clear" w:color="auto" w:fill="auto"/>
            <w:vAlign w:val="center"/>
          </w:tcPr>
          <w:p>
            <w:pPr>
              <w:widowControl/>
              <w:spacing w:after="240"/>
              <w:jc w:val="left"/>
              <w:rPr>
                <w:rFonts w:ascii="宋体" w:cs="宋体" w:hAnsi="宋体"/>
                <w:color w:val="000000"/>
                <w:kern w:val="0"/>
                <w:sz w:val="16"/>
                <w:szCs w:val="16"/>
              </w:rPr>
            </w:pPr>
            <w:r>
              <w:rPr>
                <w:rFonts w:ascii="宋体" w:cs="宋体" w:hAnsi="宋体" w:hint="eastAsia"/>
                <w:color w:val="000000"/>
                <w:kern w:val="0"/>
                <w:sz w:val="16"/>
                <w:szCs w:val="16"/>
              </w:rPr>
              <w:t>1.细化预算工作，认真做好预算，进一步加强内部机构的预算管理意识，严格按照预算的相关制度和要求，本着“勤俭节约、保障运转”的原则进行预算，尽可能的全面不漏项，进一步提高预算的科学性、合理性、严谨性和可控性；</w:t>
              <w:br/>
              <w:t>2.按照预算规定的项目和用途严格财务审核，经费支出严格按预算规定项目的财务支出内容进行财务核算，在预算金额内严格控制费用的支出；</w:t>
              <w:br/>
              <w:t>3.预算财务分析常态化，定期做好预算支出财务分析，做好单位整体支出预算评价工作。</w:t>
            </w:r>
          </w:p>
        </w:tc>
      </w:tr>
      <w:tr>
        <w:trPr>
          <w:trHeight w:val="238"/>
        </w:trPr>
        <w:tc>
          <w:tcPr>
            <w:tcW w:w="250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项目负责人：</w:t>
            </w:r>
          </w:p>
        </w:tc>
        <w:tc>
          <w:tcPr>
            <w:tcW w:w="2490" w:type="pct"/>
            <w:gridSpan w:val="6"/>
            <w:tcBorders>
              <w:top w:val="single" w:sz="4" w:space="0" w:color="auto"/>
              <w:left w:val="nil"/>
              <w:bottom w:val="single" w:sz="4" w:space="0" w:color="auto"/>
              <w:right w:val="single" w:sz="4" w:space="0" w:color="auto"/>
            </w:tcBorders>
            <w:shd w:val="clear" w:color="auto" w:fill="auto"/>
            <w:vAlign w:val="center"/>
          </w:tcPr>
          <w:p>
            <w:pPr>
              <w:widowControl/>
              <w:jc w:val="left"/>
              <w:rPr>
                <w:rFonts w:ascii="宋体" w:cs="宋体" w:hAnsi="宋体"/>
                <w:color w:val="000000"/>
                <w:kern w:val="0"/>
                <w:sz w:val="18"/>
                <w:szCs w:val="18"/>
              </w:rPr>
            </w:pPr>
            <w:r>
              <w:rPr>
                <w:rFonts w:ascii="宋体" w:cs="宋体" w:hAnsi="宋体" w:hint="eastAsia"/>
                <w:color w:val="000000"/>
                <w:kern w:val="0"/>
                <w:sz w:val="18"/>
                <w:szCs w:val="18"/>
              </w:rPr>
              <w:t>财务负责人：</w:t>
            </w:r>
          </w:p>
        </w:tc>
      </w:tr>
      <w:tr>
        <w:trPr>
          <w:trHeight w:val="238"/>
        </w:trPr>
        <w:tc>
          <w:tcPr>
            <w:tcW w:w="364"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37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61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97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9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55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3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28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62"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3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232"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r>
      <w:tr>
        <w:trPr>
          <w:trHeight w:val="231"/>
        </w:trPr>
        <w:tc>
          <w:tcPr>
            <w:tcW w:w="364"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37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61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97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9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550"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3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28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62"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31"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c>
          <w:tcPr>
            <w:tcW w:w="1232" w:type="pct"/>
            <w:tcBorders>
              <w:top w:val="nil"/>
              <w:left w:val="nil"/>
              <w:bottom w:val="nil"/>
              <w:right w:val="nil"/>
            </w:tcBorders>
            <w:shd w:val="clear" w:color="auto" w:fill="auto"/>
            <w:vAlign w:val="center"/>
          </w:tcPr>
          <w:p>
            <w:pPr>
              <w:widowControl/>
              <w:jc w:val="left"/>
              <w:rPr>
                <w:rFonts w:ascii="宋体" w:cs="宋体" w:hAnsi="宋体"/>
                <w:kern w:val="0"/>
                <w:sz w:val="18"/>
                <w:szCs w:val="18"/>
              </w:rPr>
            </w:pPr>
          </w:p>
        </w:tc>
      </w:tr>
    </w:tbl>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pPr>
    </w:p>
    <w:p>
      <w:pPr>
        <w:pStyle w:val="15"/>
        <w:spacing w:beforeLines="0" w:before="93"/>
        <w:sectPr>
          <w:pgSz w:w="16838" w:h="11906" w:orient="landscape"/>
          <w:pgMar w:top="1587" w:right="2098" w:bottom="1474" w:left="1984" w:header="851" w:footer="992" w:gutter="0"/>
          <w:cols w:num="1" w:space="0"/>
          <w:titlePg/>
          <w:docGrid w:type="lines" w:linePitch="312" w:charSpace="0"/>
        </w:sectPr>
      </w:pPr>
    </w:p>
    <w:p>
      <w:pPr>
        <w:widowControl/>
        <w:ind w:firstLineChars="250" w:firstLine="1100"/>
        <w:jc w:val="left"/>
        <w:rPr>
          <w:rFonts w:ascii="方正仿宋简体" w:eastAsia="方正仿宋简体" w:cs="方正仿宋简体" w:hAnsi="方正仿宋简体"/>
          <w:bCs/>
          <w:kern w:val="44"/>
          <w:sz w:val="44"/>
          <w:szCs w:val="44"/>
        </w:rPr>
      </w:pPr>
      <w:bookmarkStart w:id="59" w:name="_Toc15377226"/>
      <w:bookmarkStart w:id="60" w:name="_Toc15396618"/>
      <w:r>
        <w:rPr>
          <w:rFonts w:ascii="方正仿宋简体" w:eastAsia="方正仿宋简体" w:cs="方正仿宋简体" w:hAnsi="方正仿宋简体" w:hint="eastAsia"/>
          <w:sz w:val="44"/>
          <w:szCs w:val="44"/>
        </w:rPr>
        <w:t>第</w:t>
      </w:r>
      <w:r>
        <w:rPr>
          <w:rStyle w:val="1Char"/>
          <w:rFonts w:ascii="方正仿宋简体" w:eastAsia="方正仿宋简体" w:cs="方正仿宋简体" w:hAnsi="方正仿宋简体" w:hint="eastAsia"/>
          <w:b w:val="0"/>
        </w:rPr>
        <w:t>五部分 附表</w:t>
      </w:r>
      <w:bookmarkStart w:id="61" w:name="_Toc15396619"/>
      <w:bookmarkEnd w:id="59"/>
      <w:bookmarkEnd w:id="60"/>
    </w:p>
    <w:p>
      <w:pPr>
        <w:pStyle w:val="2"/>
        <w:rPr>
          <w:rFonts w:ascii="方正仿宋简体" w:eastAsia="方正仿宋简体" w:cs="方正仿宋简体" w:hAnsi="方正仿宋简体"/>
        </w:rPr>
      </w:pPr>
      <w:r>
        <w:rPr>
          <w:rFonts w:ascii="方正仿宋简体" w:eastAsia="方正仿宋简体" w:cs="方正仿宋简体" w:hAnsi="方正仿宋简体" w:hint="eastAsia"/>
          <w:b w:val="0"/>
        </w:rPr>
        <w:t>一、收</w:t>
      </w:r>
      <w:r>
        <w:rPr>
          <w:rStyle w:val="2Char"/>
          <w:rFonts w:ascii="方正仿宋简体" w:eastAsia="方正仿宋简体" w:cs="方正仿宋简体" w:hAnsi="方正仿宋简体" w:hint="eastAsia"/>
        </w:rPr>
        <w:t>入支出决算总表</w:t>
      </w:r>
      <w:bookmarkEnd w:id="61"/>
    </w:p>
    <w:p>
      <w:pPr>
        <w:pStyle w:val="2"/>
        <w:rPr>
          <w:rFonts w:ascii="方正仿宋简体" w:eastAsia="方正仿宋简体" w:cs="方正仿宋简体" w:hAnsi="方正仿宋简体"/>
        </w:rPr>
      </w:pPr>
      <w:bookmarkStart w:id="62" w:name="_Toc15396620"/>
      <w:r>
        <w:rPr>
          <w:rFonts w:ascii="方正仿宋简体" w:eastAsia="方正仿宋简体" w:cs="方正仿宋简体" w:hAnsi="方正仿宋简体" w:hint="eastAsia"/>
          <w:b w:val="0"/>
        </w:rPr>
        <w:t>二、收</w:t>
      </w:r>
      <w:r>
        <w:rPr>
          <w:rStyle w:val="2Char"/>
          <w:rFonts w:ascii="方正仿宋简体" w:eastAsia="方正仿宋简体" w:cs="方正仿宋简体" w:hAnsi="方正仿宋简体" w:hint="eastAsia"/>
        </w:rPr>
        <w:t>入决算表</w:t>
      </w:r>
      <w:bookmarkEnd w:id="62"/>
    </w:p>
    <w:p>
      <w:pPr>
        <w:pStyle w:val="2"/>
        <w:rPr>
          <w:rFonts w:ascii="方正仿宋简体" w:eastAsia="方正仿宋简体" w:cs="方正仿宋简体" w:hAnsi="方正仿宋简体"/>
        </w:rPr>
      </w:pPr>
      <w:bookmarkStart w:id="63" w:name="_Toc15396621"/>
      <w:r>
        <w:rPr>
          <w:rStyle w:val="2Char"/>
          <w:rFonts w:ascii="方正仿宋简体" w:eastAsia="方正仿宋简体" w:cs="方正仿宋简体" w:hAnsi="方正仿宋简体" w:hint="eastAsia"/>
        </w:rPr>
        <w:t>三、</w:t>
      </w:r>
      <w:r>
        <w:rPr>
          <w:rFonts w:ascii="方正仿宋简体" w:eastAsia="方正仿宋简体" w:cs="方正仿宋简体" w:hAnsi="方正仿宋简体" w:hint="eastAsia"/>
          <w:b w:val="0"/>
        </w:rPr>
        <w:t>支</w:t>
      </w:r>
      <w:r>
        <w:rPr>
          <w:rStyle w:val="2Char"/>
          <w:rFonts w:ascii="方正仿宋简体" w:eastAsia="方正仿宋简体" w:cs="方正仿宋简体" w:hAnsi="方正仿宋简体" w:hint="eastAsia"/>
        </w:rPr>
        <w:t>出决算表</w:t>
      </w:r>
      <w:bookmarkEnd w:id="63"/>
    </w:p>
    <w:p>
      <w:pPr>
        <w:pStyle w:val="2"/>
        <w:rPr>
          <w:rFonts w:ascii="方正仿宋简体" w:eastAsia="方正仿宋简体" w:cs="方正仿宋简体" w:hAnsi="方正仿宋简体"/>
          <w:b w:val="0"/>
        </w:rPr>
      </w:pPr>
      <w:bookmarkStart w:id="64" w:name="_Toc15396622"/>
      <w:r>
        <w:rPr>
          <w:rStyle w:val="2Char"/>
          <w:rFonts w:ascii="方正仿宋简体" w:eastAsia="方正仿宋简体" w:cs="方正仿宋简体" w:hAnsi="方正仿宋简体" w:hint="eastAsia"/>
        </w:rPr>
        <w:t>四、</w:t>
      </w:r>
      <w:r>
        <w:rPr>
          <w:rFonts w:ascii="方正仿宋简体" w:eastAsia="方正仿宋简体" w:cs="方正仿宋简体" w:hAnsi="方正仿宋简体" w:hint="eastAsia"/>
          <w:b w:val="0"/>
        </w:rPr>
        <w:t>财</w:t>
      </w:r>
      <w:r>
        <w:rPr>
          <w:rStyle w:val="2Char"/>
          <w:rFonts w:ascii="方正仿宋简体" w:eastAsia="方正仿宋简体" w:cs="方正仿宋简体" w:hAnsi="方正仿宋简体" w:hint="eastAsia"/>
        </w:rPr>
        <w:t>政拨款收入支出决算总表</w:t>
      </w:r>
      <w:bookmarkEnd w:id="64"/>
    </w:p>
    <w:p>
      <w:pPr>
        <w:pStyle w:val="2"/>
        <w:rPr>
          <w:rStyle w:val="2Char"/>
          <w:rFonts w:ascii="方正仿宋简体" w:eastAsia="方正仿宋简体" w:cs="方正仿宋简体" w:hAnsi="方正仿宋简体"/>
        </w:rPr>
      </w:pPr>
      <w:bookmarkStart w:id="65" w:name="_Toc15396623"/>
      <w:r>
        <w:rPr>
          <w:rStyle w:val="2Char"/>
          <w:rFonts w:ascii="方正仿宋简体" w:eastAsia="方正仿宋简体" w:cs="方正仿宋简体" w:hAnsi="方正仿宋简体" w:hint="eastAsia"/>
        </w:rPr>
        <w:t>五、</w:t>
      </w:r>
      <w:r>
        <w:rPr>
          <w:rFonts w:ascii="方正仿宋简体" w:eastAsia="方正仿宋简体" w:cs="方正仿宋简体" w:hAnsi="方正仿宋简体" w:hint="eastAsia"/>
          <w:b w:val="0"/>
        </w:rPr>
        <w:t>财</w:t>
      </w:r>
      <w:r>
        <w:rPr>
          <w:rStyle w:val="2Char"/>
          <w:rFonts w:ascii="方正仿宋简体" w:eastAsia="方正仿宋简体" w:cs="方正仿宋简体" w:hAnsi="方正仿宋简体" w:hint="eastAsia"/>
        </w:rPr>
        <w:t>政拨款支出决算明细表</w:t>
      </w:r>
      <w:bookmarkStart w:id="66" w:name="_Toc15396624"/>
      <w:bookmarkEnd w:id="65"/>
    </w:p>
    <w:p>
      <w:pPr>
        <w:pStyle w:val="2"/>
        <w:rPr>
          <w:rFonts w:ascii="方正仿宋简体" w:eastAsia="方正仿宋简体" w:cs="方正仿宋简体" w:hAnsi="方正仿宋简体"/>
        </w:rPr>
      </w:pPr>
      <w:r>
        <w:rPr>
          <w:rStyle w:val="2Char"/>
          <w:rFonts w:ascii="方正仿宋简体" w:eastAsia="方正仿宋简体" w:cs="方正仿宋简体" w:hAnsi="方正仿宋简体" w:hint="eastAsia"/>
        </w:rPr>
        <w:t>六、</w:t>
      </w:r>
      <w:r>
        <w:rPr>
          <w:rFonts w:ascii="方正仿宋简体" w:eastAsia="方正仿宋简体" w:cs="方正仿宋简体" w:hAnsi="方正仿宋简体" w:hint="eastAsia"/>
          <w:b w:val="0"/>
        </w:rPr>
        <w:t>一</w:t>
      </w:r>
      <w:r>
        <w:rPr>
          <w:rStyle w:val="2Char"/>
          <w:rFonts w:ascii="方正仿宋简体" w:eastAsia="方正仿宋简体" w:cs="方正仿宋简体" w:hAnsi="方正仿宋简体" w:hint="eastAsia"/>
        </w:rPr>
        <w:t>般公共预算财政拨款支出决算表</w:t>
      </w:r>
      <w:bookmarkEnd w:id="66"/>
    </w:p>
    <w:p>
      <w:pPr>
        <w:pStyle w:val="2"/>
        <w:rPr>
          <w:rFonts w:ascii="方正仿宋简体" w:eastAsia="方正仿宋简体" w:cs="方正仿宋简体" w:hAnsi="方正仿宋简体"/>
        </w:rPr>
      </w:pPr>
      <w:bookmarkStart w:id="67" w:name="_Toc15396625"/>
      <w:r>
        <w:rPr>
          <w:rStyle w:val="2Char"/>
          <w:rFonts w:ascii="方正仿宋简体" w:eastAsia="方正仿宋简体" w:cs="方正仿宋简体" w:hAnsi="方正仿宋简体" w:hint="eastAsia"/>
        </w:rPr>
        <w:t>七、</w:t>
      </w:r>
      <w:r>
        <w:rPr>
          <w:rFonts w:ascii="方正仿宋简体" w:eastAsia="方正仿宋简体" w:cs="方正仿宋简体" w:hAnsi="方正仿宋简体" w:hint="eastAsia"/>
          <w:b w:val="0"/>
        </w:rPr>
        <w:t>一</w:t>
      </w:r>
      <w:r>
        <w:rPr>
          <w:rStyle w:val="2Char"/>
          <w:rFonts w:ascii="方正仿宋简体" w:eastAsia="方正仿宋简体" w:cs="方正仿宋简体" w:hAnsi="方正仿宋简体" w:hint="eastAsia"/>
        </w:rPr>
        <w:t>般公共预算财政拨款支出决算明细表</w:t>
      </w:r>
      <w:bookmarkEnd w:id="67"/>
    </w:p>
    <w:p>
      <w:pPr>
        <w:pStyle w:val="2"/>
        <w:rPr>
          <w:rFonts w:ascii="方正仿宋简体" w:eastAsia="方正仿宋简体" w:cs="方正仿宋简体" w:hAnsi="方正仿宋简体"/>
        </w:rPr>
      </w:pPr>
      <w:bookmarkStart w:id="68" w:name="_Toc15396626"/>
      <w:r>
        <w:rPr>
          <w:rStyle w:val="2Char"/>
          <w:rFonts w:ascii="方正仿宋简体" w:eastAsia="方正仿宋简体" w:cs="方正仿宋简体" w:hAnsi="方正仿宋简体" w:hint="eastAsia"/>
        </w:rPr>
        <w:t>八、</w:t>
      </w:r>
      <w:r>
        <w:rPr>
          <w:rFonts w:ascii="方正仿宋简体" w:eastAsia="方正仿宋简体" w:cs="方正仿宋简体" w:hAnsi="方正仿宋简体" w:hint="eastAsia"/>
          <w:b w:val="0"/>
        </w:rPr>
        <w:t>一</w:t>
      </w:r>
      <w:r>
        <w:rPr>
          <w:rStyle w:val="2Char"/>
          <w:rFonts w:ascii="方正仿宋简体" w:eastAsia="方正仿宋简体" w:cs="方正仿宋简体" w:hAnsi="方正仿宋简体" w:hint="eastAsia"/>
        </w:rPr>
        <w:t>般公共预算财政拨款基本支出决算表</w:t>
      </w:r>
      <w:bookmarkEnd w:id="68"/>
    </w:p>
    <w:p>
      <w:pPr>
        <w:pStyle w:val="2"/>
        <w:rPr>
          <w:rFonts w:ascii="方正仿宋简体" w:eastAsia="方正仿宋简体" w:cs="方正仿宋简体" w:hAnsi="方正仿宋简体"/>
        </w:rPr>
      </w:pPr>
      <w:bookmarkStart w:id="69" w:name="_Toc15396627"/>
      <w:r>
        <w:rPr>
          <w:rStyle w:val="2Char"/>
          <w:rFonts w:ascii="方正仿宋简体" w:eastAsia="方正仿宋简体" w:cs="方正仿宋简体" w:hAnsi="方正仿宋简体" w:hint="eastAsia"/>
        </w:rPr>
        <w:t>九、</w:t>
      </w:r>
      <w:r>
        <w:rPr>
          <w:rFonts w:ascii="方正仿宋简体" w:eastAsia="方正仿宋简体" w:cs="方正仿宋简体" w:hAnsi="方正仿宋简体" w:hint="eastAsia"/>
          <w:b w:val="0"/>
        </w:rPr>
        <w:t>一</w:t>
      </w:r>
      <w:r>
        <w:rPr>
          <w:rStyle w:val="2Char"/>
          <w:rFonts w:ascii="方正仿宋简体" w:eastAsia="方正仿宋简体" w:cs="方正仿宋简体" w:hAnsi="方正仿宋简体" w:hint="eastAsia"/>
        </w:rPr>
        <w:t>般公共预算财政拨款项目支出决算表</w:t>
      </w:r>
      <w:bookmarkEnd w:id="69"/>
    </w:p>
    <w:p>
      <w:pPr>
        <w:pStyle w:val="2"/>
        <w:rPr>
          <w:rFonts w:ascii="方正仿宋简体" w:eastAsia="方正仿宋简体" w:cs="方正仿宋简体" w:hAnsi="方正仿宋简体"/>
        </w:rPr>
      </w:pPr>
      <w:bookmarkStart w:id="70" w:name="_Toc15396628"/>
      <w:r>
        <w:rPr>
          <w:rStyle w:val="2Char"/>
          <w:rFonts w:ascii="方正仿宋简体" w:eastAsia="方正仿宋简体" w:cs="方正仿宋简体" w:hAnsi="方正仿宋简体" w:hint="eastAsia"/>
        </w:rPr>
        <w:t>十、</w:t>
      </w:r>
      <w:bookmarkEnd w:id="70"/>
      <w:r>
        <w:rPr>
          <w:rFonts w:ascii="方正仿宋简体" w:eastAsia="方正仿宋简体" w:cs="方正仿宋简体" w:hAnsi="方正仿宋简体" w:hint="eastAsia"/>
          <w:b w:val="0"/>
        </w:rPr>
        <w:t>政</w:t>
      </w:r>
      <w:r>
        <w:rPr>
          <w:rStyle w:val="2Char"/>
          <w:rFonts w:ascii="方正仿宋简体" w:eastAsia="方正仿宋简体" w:cs="方正仿宋简体" w:hAnsi="方正仿宋简体" w:hint="eastAsia"/>
        </w:rPr>
        <w:t>府性基金预算财政拨款收入支出决算表</w:t>
      </w:r>
    </w:p>
    <w:p>
      <w:pPr>
        <w:pStyle w:val="2"/>
        <w:rPr>
          <w:rFonts w:ascii="方正仿宋简体" w:eastAsia="方正仿宋简体" w:cs="方正仿宋简体" w:hAnsi="方正仿宋简体"/>
        </w:rPr>
      </w:pPr>
      <w:bookmarkStart w:id="71" w:name="_Toc15396629"/>
      <w:r>
        <w:rPr>
          <w:rStyle w:val="2Char"/>
          <w:rFonts w:ascii="方正仿宋简体" w:eastAsia="方正仿宋简体" w:cs="方正仿宋简体" w:hAnsi="方正仿宋简体" w:hint="eastAsia"/>
        </w:rPr>
        <w:t>十一、</w:t>
      </w:r>
      <w:bookmarkEnd w:id="71"/>
      <w:r>
        <w:rPr>
          <w:rFonts w:ascii="方正仿宋简体" w:eastAsia="方正仿宋简体" w:cs="方正仿宋简体" w:hAnsi="方正仿宋简体" w:hint="eastAsia"/>
          <w:b w:val="0"/>
        </w:rPr>
        <w:t>国</w:t>
      </w:r>
      <w:r>
        <w:rPr>
          <w:rStyle w:val="2Char"/>
          <w:rFonts w:ascii="方正仿宋简体" w:eastAsia="方正仿宋简体" w:cs="方正仿宋简体" w:hAnsi="方正仿宋简体" w:hint="eastAsia"/>
        </w:rPr>
        <w:t>有资本经营预算财政拨款收入支出决算表</w:t>
      </w:r>
    </w:p>
    <w:p>
      <w:pPr>
        <w:pStyle w:val="2"/>
        <w:rPr>
          <w:rFonts w:ascii="方正仿宋简体" w:eastAsia="方正仿宋简体" w:cs="方正仿宋简体" w:hAnsi="方正仿宋简体"/>
        </w:rPr>
      </w:pPr>
      <w:bookmarkStart w:id="72" w:name="_Toc15396630"/>
      <w:r>
        <w:rPr>
          <w:rStyle w:val="2Char"/>
          <w:rFonts w:ascii="方正仿宋简体" w:eastAsia="方正仿宋简体" w:cs="方正仿宋简体" w:hAnsi="方正仿宋简体" w:hint="eastAsia"/>
        </w:rPr>
        <w:t>十二、</w:t>
      </w:r>
      <w:bookmarkEnd w:id="72"/>
      <w:r>
        <w:rPr>
          <w:rStyle w:val="2Char"/>
          <w:rFonts w:ascii="方正仿宋简体" w:eastAsia="方正仿宋简体" w:cs="方正仿宋简体" w:hAnsi="方正仿宋简体" w:hint="eastAsia"/>
        </w:rPr>
        <w:t>国有资本经营预算财政拨款支出决算表</w:t>
      </w:r>
    </w:p>
    <w:p>
      <w:pPr>
        <w:pStyle w:val="2"/>
        <w:rPr>
          <w:rFonts w:ascii="方正仿宋简体" w:eastAsia="方正仿宋简体" w:cs="方正仿宋简体" w:hAnsi="方正仿宋简体"/>
        </w:rPr>
      </w:pPr>
      <w:bookmarkStart w:id="73" w:name="_Toc15396631"/>
      <w:r>
        <w:rPr>
          <w:rStyle w:val="2Char"/>
          <w:rFonts w:ascii="方正仿宋简体" w:eastAsia="方正仿宋简体" w:cs="方正仿宋简体" w:hAnsi="方正仿宋简体" w:hint="eastAsia"/>
        </w:rPr>
        <w:t>十三、</w:t>
      </w:r>
      <w:bookmarkEnd w:id="73"/>
      <w:r>
        <w:rPr>
          <w:rStyle w:val="2Char"/>
          <w:rFonts w:ascii="方正仿宋简体" w:eastAsia="方正仿宋简体" w:cs="方正仿宋简体" w:hAnsi="方正仿宋简体" w:hint="eastAsia"/>
        </w:rPr>
        <w:t>财政拨款“三公”经费支出决算表</w:t>
      </w:r>
    </w:p>
    <w:sectPr>
      <w:pgSz w:w="11906" w:h="16838"/>
      <w:pgMar w:top="2098" w:right="1474" w:bottom="1984" w:left="1587" w:header="851" w:footer="992" w:gutter="0"/>
      <w:cols w:num="1" w:space="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0000000000000000000"/>
    <w:charset w:val="86"/>
    <w:family w:val="auto"/>
    <w:pitch w:val="variable"/>
    <w:sig w:usb0="00000000" w:usb1="080E0000" w:usb2="0000000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仿宋_GB2312"/>
    <w:panose1 w:val="00000000000000000000"/>
    <w:charset w:val="86"/>
    <w:family w:val="modern"/>
    <w:pitch w:val="variable"/>
    <w:sig w:usb0="00000000"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方正仿宋简体">
    <w:altName w:val="Arial Unicode MS"/>
    <w:panose1 w:val="00000000000000000000"/>
    <w:charset w:val="86"/>
    <w:family w:val="auto"/>
    <w:pitch w:val="variable"/>
    <w:sig w:usb0="00000000" w:usb1="080E0000" w:usb2="00000000" w:usb3="00000000" w:csb0="00040000" w:csb1="00000000"/>
  </w:font>
  <w:font w:name="方正黑体简体">
    <w:altName w:val="Arial Unicode MS"/>
    <w:panose1 w:val="00000000000000000000"/>
    <w:charset w:val="86"/>
    <w:family w:val="auto"/>
    <w:pitch w:val="variable"/>
    <w:sig w:usb0="00000000" w:usb1="080E0000" w:usb2="00000000" w:usb3="00000000" w:csb0="00040000" w:csb1="00000000"/>
  </w:font>
  <w:font w:name="楷体_GB2312">
    <w:panose1 w:val="02010609030101010101"/>
    <w:charset w:val="86"/>
    <w:family w:val="modern"/>
    <w:pitch w:val="variable"/>
    <w:sig w:usb0="00000001" w:usb1="080E0000" w:usb2="00000010" w:usb3="00000000" w:csb0="00040000" w:csb1="00000000"/>
  </w:font>
  <w:font w:name="方正楷体简体">
    <w:altName w:val="Arial Unicode MS"/>
    <w:panose1 w:val="00000000000000000000"/>
    <w:charset w:val="86"/>
    <w:family w:val="auto"/>
    <w:pitch w:val="variable"/>
    <w:sig w:usb0="00000000" w:usb1="080E0000" w:usb2="00000000" w:usb3="00000000" w:csb0="00040000" w:csb1="00000000"/>
  </w:font>
  <w:font w:name="楷体">
    <w:altName w:val="楷体_GB2312"/>
    <w:panose1 w:val="00000000000000000000"/>
    <w:charset w:val="86"/>
    <w:family w:val="modern"/>
    <w:pitch w:val="variable"/>
    <w:sig w:usb0="00000000"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0000009F" w:csb1="00000000"/>
  </w:font>
  <w:font w:name="Calibri">
    <w:altName w:val="Times New Roman"/>
    <w:panose1 w:val="020F0502020204030204"/>
    <w:charset w:val="00"/>
    <w:family w:val="swiss"/>
    <w:pitch w:val="variable"/>
    <w:sig w:usb0="A00002EF" w:usb1="4000207B" w:usb2="00000000" w:usb3="00000000" w:csb0="0000009F" w:csb1="00000000"/>
  </w:font>
  <w:font w:name="??">
    <w:altName w:val="Times New Roman"/>
    <w:panose1 w:val="00000000000000000000"/>
    <w:charset w:val="00"/>
    <w:family w:val="roman"/>
    <w:pitch w:val="variable"/>
    <w:sig w:usb0="00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微软雅黑">
    <w:altName w:val="黑体"/>
    <w:panose1 w:val="020B0703020204020201"/>
    <w:charset w:val="86"/>
    <w:family w:val="swiss"/>
    <w:pitch w:val="variable"/>
    <w:sig w:usb0="80000287" w:usb1="2A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8" distR="114298" simplePos="0" relativeHeight="33" behindDoc="0" locked="0" layoutInCell="1" hidden="0" allowOverlap="1">
              <wp:simplePos x="0" y="0"/>
              <wp:positionH relativeFrom="margin">
                <wp:align>center</wp:align>
              </wp:positionH>
              <wp:positionV relativeFrom="paragraph">
                <wp:posOffset>0</wp:posOffset>
              </wp:positionV>
              <wp:extent cx="76198" cy="129616"/>
              <wp:effectExtent l="0" t="0" r="0" b="0"/>
              <wp:wrapNone/>
              <wp:docPr id="1" name="_x0000_s3073"/>
              <wp:cNvGraphicFramePr>
                <a:graphicFrameLocks noChangeAspect="0"/>
              </wp:cNvGraphicFramePr>
              <a:graphic>
                <a:graphicData uri="http://schemas.microsoft.com/office/word/2010/wordprocessingShape">
                  <wps:wsp>
                    <wps:cNvSpPr/>
                    <wps:spPr>
                      <a:xfrm rot="0">
                        <a:off x="0" y="0"/>
                        <a:ext cx="76198" cy="129616"/>
                      </a:xfrm>
                      <a:prstGeom prst="rect"/>
                      <a:noFill/>
                      <a:ln w="9525" cmpd="sng" cap="flat">
                        <a:noFill/>
                        <a:prstDash val="solid"/>
                        <a:miter/>
                      </a:ln>
                    </wps:spPr>
                    <wps:txbx id="2">
                      <w:txbxContent>
                        <w:p>
                          <w:pPr>
                            <w:pStyle w:val="20"/>
                            <w:tabs>
                              <w:tab w:val="center" w:pos="4153"/>
                              <w:tab w:val="right" w:pos="8306"/>
                            </w:tabs>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1">
                      <a:spAutoFit/>
                    </wps:bodyPr>
                  </wps:wsp>
                </a:graphicData>
              </a:graphic>
            </wp:anchor>
          </w:drawing>
        </mc:Choice>
        <mc:Fallback>
          <w:pict>
            <v:shape type="#_x0000_t202" id="_x0000_s3073 3" o:spid="_x0000_s3" filled="f" stroked="f" style="position:absolute;margin-left:0.0pt;margin-top:0.0pt;width:5.9999084pt;height:10.206006pt;z-index:33;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8" distR="114298" simplePos="0" relativeHeight="37" behindDoc="0" locked="0" layoutInCell="1" hidden="0" allowOverlap="1">
              <wp:simplePos x="0" y="0"/>
              <wp:positionH relativeFrom="margin">
                <wp:align>center</wp:align>
              </wp:positionH>
              <wp:positionV relativeFrom="paragraph">
                <wp:posOffset>0</wp:posOffset>
              </wp:positionV>
              <wp:extent cx="76198" cy="129616"/>
              <wp:effectExtent l="0" t="0" r="0" b="0"/>
              <wp:wrapNone/>
              <wp:docPr id="4" name="_x0000_s3074"/>
              <wp:cNvGraphicFramePr>
                <a:graphicFrameLocks noChangeAspect="0"/>
              </wp:cNvGraphicFramePr>
              <a:graphic>
                <a:graphicData uri="http://schemas.microsoft.com/office/word/2010/wordprocessingShape">
                  <wps:wsp>
                    <wps:cNvSpPr/>
                    <wps:spPr>
                      <a:xfrm rot="0">
                        <a:off x="0" y="0"/>
                        <a:ext cx="76198" cy="129616"/>
                      </a:xfrm>
                      <a:prstGeom prst="rect"/>
                      <a:noFill/>
                      <a:ln w="9525" cmpd="sng" cap="flat">
                        <a:noFill/>
                        <a:prstDash val="solid"/>
                        <a:miter/>
                      </a:ln>
                    </wps:spPr>
                    <wps:txbx id="5">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type="#_x0000_t202" id="_x0000_s3074 6" o:spid="_x0000_s6" filled="f" stroked="f" style="position:absolute;margin-left:0.0pt;margin-top:0.0pt;width:5.9999084pt;height:10.206006pt;z-index:37;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8" distR="114298" simplePos="0" relativeHeight="41" behindDoc="0" locked="0" layoutInCell="1" hidden="0" allowOverlap="1">
              <wp:simplePos x="0" y="0"/>
              <wp:positionH relativeFrom="margin">
                <wp:align>outside</wp:align>
              </wp:positionH>
              <wp:positionV relativeFrom="paragraph">
                <wp:posOffset>0</wp:posOffset>
              </wp:positionV>
              <wp:extent cx="457200" cy="131559"/>
              <wp:effectExtent l="0" t="0" r="0" b="0"/>
              <wp:wrapNone/>
              <wp:docPr id="7" name="_x0000_s3075"/>
              <wp:cNvGraphicFramePr>
                <a:graphicFrameLocks noChangeAspect="0"/>
              </wp:cNvGraphicFramePr>
              <a:graphic>
                <a:graphicData uri="http://schemas.microsoft.com/office/word/2010/wordprocessingShape">
                  <wps:wsp>
                    <wps:cNvSpPr/>
                    <wps:spPr>
                      <a:xfrm rot="0">
                        <a:off x="0" y="0"/>
                        <a:ext cx="457200" cy="131559"/>
                      </a:xfrm>
                      <a:prstGeom prst="rect"/>
                      <a:noFill/>
                      <a:ln w="9525" cmpd="sng" cap="flat">
                        <a:noFill/>
                        <a:prstDash val="solid"/>
                        <a:miter/>
                      </a:ln>
                    </wps:spPr>
                    <wps:txbx id="8">
                      <w:txbxContent>
                        <w:p>
                          <w:pPr>
                            <w:pStyle w:val="20"/>
                            <w:tabs>
                              <w:tab w:val="center" w:pos="4153"/>
                              <w:tab w:val="right" w:pos="8306"/>
                            </w:tabs>
                          </w:pPr>
                          <w:r>
                            <w:t xml:space="preserve">— </w:t>
                          </w:r>
                          <w:r>
                            <w:fldChar w:fldCharType="begin"/>
                          </w:r>
                          <w:r>
                            <w:instrText xml:space="preserve"> PAGE  \* MERGEFORMAT </w:instrText>
                          </w:r>
                          <w:r>
                            <w:fldChar w:fldCharType="separate"/>
                          </w:r>
                          <w:r>
                            <w:t>15</w:t>
                          </w:r>
                          <w:r>
                            <w:fldChar w:fldCharType="end"/>
                          </w:r>
                          <w:r>
                            <w:t xml:space="preserve"> —</w:t>
                          </w:r>
                        </w:p>
                      </w:txbxContent>
                    </wps:txbx>
                    <wps:bodyPr vert="horz" wrap="none" lIns="0" tIns="0" rIns="0" bIns="0" anchor="t" anchorCtr="0" upright="1">
                      <a:spAutoFit/>
                    </wps:bodyPr>
                  </wps:wsp>
                </a:graphicData>
              </a:graphic>
            </wp:anchor>
          </w:drawing>
        </mc:Choice>
        <mc:Fallback>
          <w:pict>
            <v:shape type="#_x0000_t202" id="_x0000_s3075 9" o:spid="_x0000_s9" filled="f" stroked="f" style="position:absolute;margin-left:520.0pt;margin-top:0.0pt;width:36.0pt;height:10.359035pt;z-index:41;mso-position-horizontal:outside;mso-position-horizontal-relative:margin;mso-position-vertical:absolute;mso-wrap-distance-left:8.999863pt;mso-wrap-distance-right:8.999863pt;mso-wrap-style:none;">
              <v:stroke color="#000000"/>
              <v:textbox id="858" inset="0mm,0mm,0mm,0mm" o:insetmode="custom" style="layout-flow:horizontal;v-text-anchor:top;mso-fit-shape-to-text:t;">
                <w:txbxContent>
                  <w:p>
                    <w:pPr>
                      <w:pStyle w:val="20"/>
                      <w:tabs>
                        <w:tab w:val="center" w:pos="4153"/>
                        <w:tab w:val="right" w:pos="8306"/>
                      </w:tabs>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8" distR="114298" simplePos="0" relativeHeight="45" behindDoc="0" locked="0" layoutInCell="1" hidden="0" allowOverlap="1">
              <wp:simplePos x="0" y="0"/>
              <wp:positionH relativeFrom="margin">
                <wp:align>outside</wp:align>
              </wp:positionH>
              <wp:positionV relativeFrom="paragraph">
                <wp:posOffset>0</wp:posOffset>
              </wp:positionV>
              <wp:extent cx="514350" cy="131558"/>
              <wp:effectExtent l="0" t="0" r="0" b="0"/>
              <wp:wrapNone/>
              <wp:docPr id="10" name="_x0000_s3076"/>
              <wp:cNvGraphicFramePr>
                <a:graphicFrameLocks noChangeAspect="0"/>
              </wp:cNvGraphicFramePr>
              <a:graphic>
                <a:graphicData uri="http://schemas.microsoft.com/office/word/2010/wordprocessingShape">
                  <wps:wsp>
                    <wps:cNvSpPr/>
                    <wps:spPr>
                      <a:xfrm rot="0">
                        <a:off x="0" y="0"/>
                        <a:ext cx="514350" cy="131558"/>
                      </a:xfrm>
                      <a:prstGeom prst="rect"/>
                      <a:noFill/>
                      <a:ln w="9525" cmpd="sng" cap="flat">
                        <a:noFill/>
                        <a:prstDash val="solid"/>
                        <a:miter/>
                      </a:ln>
                    </wps:spPr>
                    <wps:txbx id="11">
                      <w:txbxContent>
                        <w:p>
                          <w:pPr>
                            <w:pStyle w:val="20"/>
                            <w:tabs>
                              <w:tab w:val="center" w:pos="4153"/>
                              <w:tab w:val="right" w:pos="8306"/>
                            </w:tabs>
                          </w:pPr>
                          <w:r>
                            <w:t xml:space="preserve">— </w:t>
                          </w:r>
                          <w:r>
                            <w:fldChar w:fldCharType="begin"/>
                          </w:r>
                          <w:r>
                            <w:instrText xml:space="preserve"> PAGE  \* MERGEFORMAT </w:instrText>
                          </w:r>
                          <w:r>
                            <w:fldChar w:fldCharType="separate"/>
                          </w:r>
                          <w:r>
                            <w:t>115</w:t>
                          </w:r>
                          <w:r>
                            <w:fldChar w:fldCharType="end"/>
                          </w:r>
                          <w:r>
                            <w:t xml:space="preserve"> —</w:t>
                          </w:r>
                        </w:p>
                      </w:txbxContent>
                    </wps:txbx>
                    <wps:bodyPr vert="horz" wrap="none" lIns="0" tIns="0" rIns="0" bIns="0" anchor="t" anchorCtr="0" upright="1">
                      <a:spAutoFit/>
                    </wps:bodyPr>
                  </wps:wsp>
                </a:graphicData>
              </a:graphic>
            </wp:anchor>
          </w:drawing>
        </mc:Choice>
        <mc:Fallback>
          <w:pict>
            <v:shape type="#_x0000_t202" id="_x0000_s3076 12" o:spid="_x0000_s12" filled="f" stroked="f" style="position:absolute;margin-left:520.0pt;margin-top:0.0pt;width:40.500023pt;height:10.358943pt;z-index:45;mso-position-horizontal:outside;mso-position-horizontal-relative:margin;mso-position-vertical:absolute;mso-wrap-distance-left:8.999863pt;mso-wrap-distance-right:8.999863pt;mso-wrap-style:none;">
              <v:stroke color="#000000"/>
              <v:textbox id="859" inset="0mm,0mm,0mm,0mm" o:insetmode="custom" style="layout-flow:horizontal;v-text-anchor:top;mso-fit-shape-to-text:t;">
                <w:txbxContent>
                  <w:p>
                    <w:pPr>
                      <w:pStyle w:val="20"/>
                      <w:tabs>
                        <w:tab w:val="center" w:pos="4153"/>
                        <w:tab w:val="right" w:pos="8306"/>
                      </w:tabs>
                    </w:pPr>
                    <w:r>
                      <w:t xml:space="preserve">— </w:t>
                    </w:r>
                    <w:r>
                      <w:fldChar w:fldCharType="begin"/>
                    </w:r>
                    <w:r>
                      <w:instrText xml:space="preserve"> PAGE  \* MERGEFORMAT </w:instrText>
                    </w:r>
                    <w:r>
                      <w:fldChar w:fldCharType="separate"/>
                    </w:r>
                    <w:r>
                      <w:t>115</w:t>
                    </w:r>
                    <w:r>
                      <w:fldChar w:fldCharType="end"/>
                    </w:r>
                    <w: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3">
    <w:nsid w:val="FFF674BC"/>
    <w:multiLevelType w:val="singleLevel"/>
    <w:tmpl w:val="FFF674BC"/>
    <w:lvl w:ilvl="0">
      <w:start w:val="1"/>
      <w:numFmt w:val="chineseCounting"/>
      <w:lvlRestart w:val="0"/>
      <w:suff w:val="nothing"/>
      <w:lvlText w:val="%1、"/>
      <w:lvlJc w:val="left"/>
      <w:pPr/>
      <w:rPr>
        <w:rFonts w:hint="eastAsia"/>
      </w:rPr>
    </w:lvl>
  </w:abstractNum>
  <w:abstractNum w:abstractNumId="4">
    <w:nsid w:val="45EE6C30"/>
    <w:multiLevelType w:val="multilevel"/>
    <w:tmpl w:val="45EE6C30"/>
    <w:lvl w:ilvl="0">
      <w:start w:val="4"/>
      <w:numFmt w:val="decimal"/>
      <w:lvlRestart w:val="0"/>
      <w:lvlText w:val="（%1）"/>
      <w:lvlJc w:val="left"/>
      <w:pPr>
        <w:ind w:left="1280" w:hanging="108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nsid w:val="62763450"/>
    <w:multiLevelType w:val="singleLevel"/>
    <w:tmpl w:val="62763450"/>
    <w:lvl w:ilvl="0">
      <w:start w:val="2"/>
      <w:numFmt w:val="chineseCounting"/>
      <w:lvlRestart w:val="0"/>
      <w:suff w:val="nothing"/>
      <w:lvlText w:val="（%1）"/>
      <w:lvlJc w:val="left"/>
      <w:pPr/>
    </w:lvl>
  </w:abstractNum>
  <w:abstractNum w:abstractNumId="6">
    <w:nsid w:val="114C45C6"/>
    <w:multiLevelType w:val="singleLevel"/>
    <w:tmpl w:val="114C45C6"/>
    <w:lvl w:ilvl="0">
      <w:start w:val="1"/>
      <w:numFmt w:val="chineseCounting"/>
      <w:lvlRestart w:val="0"/>
      <w:suff w:val="nothing"/>
      <w:lvlText w:val="%1、"/>
      <w:lvlJc w:val="left"/>
      <w:pPr/>
      <w:rPr>
        <w:rFonts w:hint="eastAsia"/>
      </w:rPr>
    </w:lvl>
  </w:abstractNum>
  <w:abstractNum w:abstractNumId="7">
    <w:nsid w:val="159B1A5B"/>
    <w:multiLevelType w:val="multilevel"/>
    <w:tmpl w:val="159B1A5B"/>
    <w:lvl w:ilvl="0">
      <w:start w:val="1"/>
      <w:numFmt w:val="japaneseCounting"/>
      <w:lvlRestart w:val="0"/>
      <w:lvlText w:val="（%1）"/>
      <w:lvlJc w:val="left"/>
      <w:pPr>
        <w:ind w:left="1710" w:hanging="99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D824D18B"/>
    <w:multiLevelType w:val="singleLevel"/>
    <w:tmpl w:val="D824D18B"/>
    <w:lvl w:ilvl="0">
      <w:start w:val="1"/>
      <w:numFmt w:val="chineseCounting"/>
      <w:lvlRestart w:val="0"/>
      <w:suff w:val="nothing"/>
      <w:lvlText w:val="%1、"/>
      <w:lvlJc w:val="left"/>
      <w:pPr/>
      <w:rPr>
        <w:rFonts w:hint="eastAsia"/>
      </w:rPr>
    </w:lvl>
  </w:abstractNum>
  <w:abstractNum w:abstractNumId="9">
    <w:nsid w:val="509F3762"/>
    <w:multiLevelType w:val="multilevel"/>
    <w:tmpl w:val="509F3762"/>
    <w:lvl w:ilvl="0">
      <w:start w:val="1"/>
      <w:numFmt w:val="decimal"/>
      <w:lvlRestart w:val="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0">
    <w:nsid w:val="1EEC3D9E"/>
    <w:multiLevelType w:val="singleLevel"/>
    <w:tmpl w:val="1EEC3D9E"/>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YjA1YzNlNmE0ZDFkNDE3MDUxNWYxNjE3MDc3Yjk2MG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Salutation"/>
    <w:basedOn w:val="0"/>
    <w:next w:val="0"/>
    <w:pPr>
      <w:spacing w:line="540" w:lineRule="exact"/>
    </w:pPr>
    <w:rPr>
      <w:rFonts w:eastAsia="仿宋_GB2312"/>
      <w:spacing w:val="-2"/>
      <w:sz w:val="32"/>
      <w:szCs w:val="20"/>
    </w:rPr>
  </w:style>
  <w:style w:type="paragraph" w:styleId="17">
    <w:name w:val="Body Text Indent"/>
    <w:basedOn w:val="0"/>
    <w:pPr>
      <w:spacing w:after="120"/>
      <w:ind w:leftChars="200" w:left="200"/>
    </w:pPr>
    <w:rPr>
      <w:rFonts w:ascii="仿宋_GB2312" w:hAnsi="仿宋_GB2312"/>
      <w:szCs w:val="32"/>
    </w:r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hAnsi="仿宋"/>
      <w:sz w:val="28"/>
      <w:szCs w:val="28"/>
    </w:rPr>
  </w:style>
  <w:style w:type="paragraph" w:styleId="23">
    <w:name w:val="table of figures"/>
    <w:basedOn w:val="0"/>
    <w:next w:val="0"/>
    <w:pPr>
      <w:ind w:leftChars="200" w:left="400" w:hangingChars="200" w:hanging="200"/>
    </w:pPr>
  </w:style>
  <w:style w:type="paragraph" w:styleId="24">
    <w:name w:val="toc 2"/>
    <w:basedOn w:val="0"/>
    <w:next w:val="0"/>
    <w:pPr>
      <w:tabs>
        <w:tab w:val="right" w:leader="dot" w:pos="8296"/>
      </w:tabs>
      <w:ind w:leftChars="200" w:left="200"/>
    </w:pPr>
  </w:style>
  <w:style w:type="paragraph" w:styleId="25">
    <w:name w:val="Normal (Web)"/>
    <w:basedOn w:val="0"/>
    <w:pPr>
      <w:widowControl/>
      <w:spacing w:before="100" w:beforeAutospacing="1" w:after="100" w:afterAutospacing="1"/>
      <w:jc w:val="left"/>
    </w:pPr>
    <w:rPr>
      <w:rFonts w:ascii="宋体" w:cs="宋体" w:hAnsi="宋体"/>
      <w:kern w:val="0"/>
      <w:sz w:val="24"/>
    </w:rPr>
  </w:style>
  <w:style w:type="paragraph" w:styleId="26">
    <w:name w:val="Title"/>
    <w:basedOn w:val="0"/>
    <w:next w:val="17"/>
    <w:pPr>
      <w:spacing w:before="240" w:after="60"/>
      <w:jc w:val="center"/>
      <w:outlineLvl w:val="0"/>
    </w:pPr>
    <w:rPr>
      <w:rFonts w:ascii="Cambria" w:eastAsia="仿宋_GB2312" w:hAnsi="Cambria"/>
      <w:bCs/>
      <w:kern w:val="0"/>
      <w:sz w:val="32"/>
      <w:szCs w:val="32"/>
    </w:rPr>
  </w:style>
  <w:style w:type="paragraph" w:styleId="27">
    <w:name w:val="Body Text First Indent 2"/>
    <w:basedOn w:val="17"/>
    <w:pPr>
      <w:ind w:firstLineChars="200" w:firstLine="200"/>
    </w:pPr>
  </w:style>
  <w:style w:type="character" w:styleId="28">
    <w:name w:val="Strong"/>
    <w:basedOn w:val="10"/>
    <w:rPr>
      <w:b/>
    </w:rPr>
  </w:style>
  <w:style w:type="character" w:styleId="29">
    <w:name w:val="Hyperlink"/>
    <w:basedOn w:val="10"/>
    <w:rPr>
      <w:color w:val="0000FF"/>
      <w:u w:val="single"/>
    </w:rPr>
  </w:style>
  <w:style w:type="paragraph" w:customStyle="1" w:styleId="30">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31">
    <w:name w:val="Header Char"/>
    <w:basedOn w:val="10"/>
    <w:rPr>
      <w:rFonts w:ascii="Times New Roman" w:hAnsi="Times New Roman"/>
      <w:sz w:val="18"/>
      <w:szCs w:val="18"/>
    </w:rPr>
  </w:style>
  <w:style w:type="character" w:customStyle="1" w:styleId="32">
    <w:name w:val="Footer Char"/>
    <w:basedOn w:val="10"/>
    <w:rPr>
      <w:rFonts w:ascii="Times New Roman" w:hAnsi="Times New Roman"/>
      <w:sz w:val="18"/>
      <w:szCs w:val="18"/>
    </w:rPr>
  </w:style>
  <w:style w:type="character" w:customStyle="1" w:styleId="33">
    <w:name w:val="Body Text Char"/>
    <w:basedOn w:val="10"/>
    <w:rPr>
      <w:rFonts w:ascii="Times New Roman" w:hAnsi="Times New Roman"/>
      <w:szCs w:val="24"/>
    </w:rPr>
  </w:style>
  <w:style w:type="paragraph" w:customStyle="1" w:styleId="34">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5">
    <w:name w:val="List Paragraph"/>
    <w:basedOn w:val="0"/>
    <w:pPr>
      <w:ind w:firstLineChars="200" w:firstLine="200"/>
    </w:p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7">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8">
    <w:name w:val="四号正文"/>
    <w:basedOn w:val="0"/>
    <w:pPr>
      <w:spacing w:line="360" w:lineRule="auto"/>
    </w:pPr>
    <w:rPr>
      <w:rFonts w:ascii="??" w:hAnsi="??"/>
      <w:color w:val="000000"/>
      <w:kern w:val="0"/>
      <w:sz w:val="28"/>
      <w:szCs w:val="21"/>
      <w:lang w:val="zh-CN"/>
    </w:rPr>
  </w:style>
  <w:style w:type="paragraph" w:styleId="39">
    <w:name w:val="No Spacing"/>
    <w:pPr>
      <w:adjustRightInd w:val="0"/>
      <w:snapToGrid w:val="0"/>
    </w:pPr>
    <w:rPr>
      <w:rFonts w:ascii="Tahoma" w:eastAsia="微软雅黑" w:cs="Arial" w:hAnsi="Tahoma"/>
      <w:sz w:val="22"/>
      <w:szCs w:val="2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image" Target="media/21.emf"/><Relationship Id="rId15" Type="http://schemas.openxmlformats.org/officeDocument/2006/relationships/oleObject" Target="embeddings/oleObject1.bin"/><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50" b="1" i="0" u="none" strike="noStrike" baseline="0">
                <a:solidFill>
                  <a:srgbClr val="000000"/>
                </a:solidFill>
                <a:latin typeface="宋体"/>
                <a:ea typeface="宋体"/>
                <a:cs typeface="Lucida Sans"/>
              </a:defRPr>
            </a:pPr>
            <a:r>
              <a:rPr lang="zh-CN" sz="1450" b="0" i="0" u="none" strike="noStrike" baseline="0">
                <a:solidFill>
                  <a:srgbClr val="000000"/>
                </a:solidFill>
                <a:latin typeface="宋体"/>
                <a:ea typeface="宋体"/>
                <a:cs typeface="Lucida Sans"/>
              </a:rPr>
              <a:t>收支决算总</a:t>
            </a:r>
            <a:r>
              <a:rPr lang="zh-CN" sz="1450" b="0" i="0" u="none" strike="noStrike" baseline="0">
                <a:solidFill>
                  <a:srgbClr val="000000"/>
                </a:solidFill>
                <a:latin typeface="宋体"/>
                <a:ea typeface="宋体"/>
                <a:cs typeface="Lucida Sans"/>
              </a:rPr>
              <a:t>计变动情况图</a:t>
            </a:r>
          </a:p>
        </c:rich>
      </c:tx>
      <c:layout/>
      <c:overlay val="0"/>
      <c:spPr>
        <a:noFill/>
        <a:ln>
          <a:noFill/>
        </a:ln>
      </c:spPr>
    </c:title>
    <c:autoTitleDeleted val="1"/>
    <c:plotArea>
      <c:layout/>
      <c:barChart>
        <c:barDir val="col"/>
        <c:grouping val="clustered"/>
        <c:varyColors val="0"/>
        <c:ser>
          <c:idx val="0"/>
          <c:order val="0"/>
          <c:tx>
            <c:strRef>
              <c:f>'Sheet1'!$B$1</c:f>
              <c:strCache>
                <c:ptCount val="1"/>
                <c:pt idx="0">
                  <c:v>2021</c:v>
                </c:pt>
              </c:strCache>
            </c:strRef>
          </c:tx>
          <c:spPr>
            <a:solidFill>
              <a:srgbClr val="4F81BD"/>
            </a:solidFill>
            <a:ln>
              <a:noFill/>
            </a:ln>
          </c:spPr>
          <c:invertIfNegative val="0"/>
          <c:dLbls>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numFmt formatCode="General" sourceLinked="1"/>
            <c:dLbl>
              <c:idx val="0"/>
              <c:layout>
                <c:manualLayout>
                  <c:x val="-0.03874896"/>
                  <c:y val="-0.0042662118"/>
                </c:manualLayout>
              </c:layout>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c:f>
              <c:strCache>
                <c:ptCount val="1"/>
                <c:pt idx="0">
                  <c:v>收支总计</c:v>
                </c:pt>
              </c:strCache>
            </c:strRef>
          </c:cat>
          <c:val>
            <c:numRef>
              <c:f>Sheet1!$B$2</c:f>
              <c:numCache>
                <c:formatCode>General</c:formatCode>
                <c:ptCount val="1"/>
                <c:pt idx="0">
                  <c:v>2563.96</c:v>
                </c:pt>
              </c:numCache>
            </c:numRef>
          </c:val>
        </c:ser>
        <c:ser>
          <c:idx val="1"/>
          <c:order val="1"/>
          <c:tx>
            <c:strRef>
              <c:f>'Sheet1'!$C$1</c:f>
              <c:strCache>
                <c:ptCount val="1"/>
                <c:pt idx="0">
                  <c:v>2022</c:v>
                </c:pt>
              </c:strCache>
            </c:strRef>
          </c:tx>
          <c:spPr>
            <a:solidFill>
              <a:srgbClr val="C0504D"/>
            </a:solidFill>
            <a:ln>
              <a:noFill/>
            </a:ln>
          </c:spPr>
          <c:invertIfNegative val="0"/>
          <c:dLbls>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c:f>
              <c:strCache>
                <c:ptCount val="1"/>
                <c:pt idx="0">
                  <c:v>收支总计</c:v>
                </c:pt>
              </c:strCache>
            </c:strRef>
          </c:cat>
          <c:val>
            <c:numRef>
              <c:f>Sheet1!$C$2</c:f>
              <c:numCache>
                <c:formatCode>General</c:formatCode>
                <c:ptCount val="1"/>
                <c:pt idx="0">
                  <c:v>2639.76</c:v>
                </c:pt>
              </c:numCache>
            </c:numRef>
          </c:val>
        </c:ser>
        <c:ser>
          <c:idx val="2"/>
          <c:order val="2"/>
          <c:spPr>
            <a:solidFill>
              <a:srgbClr val="9BBB59"/>
            </a:solidFill>
            <a:ln>
              <a:noFill/>
            </a:ln>
          </c:spPr>
          <c:invertIfNegative val="0"/>
          <c:dLbls>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c:f>
              <c:strCache>
                <c:ptCount val="1"/>
                <c:pt idx="0">
                  <c:v>收支总计</c:v>
                </c:pt>
              </c:strCache>
            </c:strRef>
          </c:cat>
          <c:val>
            <c:numRef>
              <c:f/>
              <c:numCache>
                <c:formatCode>General</c:formatCode>
                <c:ptCount val="1"/>
                <c:pt idx="0">
                  <c:v>1.0</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12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1200" b="0" i="0" u="none" strike="noStrike" baseline="0">
                <a:solidFill>
                  <a:srgbClr val="000000"/>
                </a:solidFill>
                <a:latin typeface="宋体"/>
                <a:ea typeface="宋体"/>
                <a:cs typeface="Lucida Sans"/>
              </a:defRPr>
            </a:pPr>
            <a:endParaRPr lang="zh-CN"/>
          </a:p>
        </c:txPr>
        <c:crossesAt val="1.0"/>
        <c:crossBetween val="between"/>
        <c:crossAx val="0"/>
      </c:valAx>
      <c:spPr>
        <a:noFill/>
        <a:ln>
          <a:noFill/>
        </a:ln>
      </c:spPr>
    </c:plotArea>
    <c:legend>
      <c:legendPos val="b"/>
      <c:layout>
        <c:manualLayout>
          <c:xMode val="edge"/>
          <c:yMode val="edge"/>
          <c:x val="0.24605592"/>
          <c:y val="0.8799061"/>
          <c:w val="0.5189593"/>
          <c:h val="0.094496585"/>
        </c:manualLayout>
      </c:layout>
      <c:overlay val="0"/>
      <c:spPr>
        <a:noFill/>
        <a:ln>
          <a:noFill/>
        </a:ln>
      </c:spPr>
      <c:txPr>
        <a:bodyPr/>
        <a:lstStyle/>
        <a:p>
          <a:pPr>
            <a:defRPr sz="1200" b="0" i="0" u="none" strike="noStrike" baseline="0">
              <a:solidFill>
                <a:srgbClr val="000000"/>
              </a:solidFill>
              <a:latin typeface="宋体"/>
              <a:ea typeface="宋体"/>
              <a:cs typeface="Lucida Sans"/>
            </a:defRPr>
          </a:pPr>
          <a:endParaRPr lang="zh-CN"/>
        </a:p>
      </c:txPr>
      <c:legendEntry>
        <c:idx val="2"/>
        <c:delete val="1"/>
      </c:legendEntry>
      <c:legendEntry>
        <c:idx val="0"/>
        <c:txPr>
          <a:bodyPr/>
          <a:lstStyle/>
          <a:p>
            <a:pPr>
              <a:defRPr sz="1200" b="0" i="0" u="none" strike="noStrike" baseline="0">
                <a:solidFill>
                  <a:srgbClr val="000000"/>
                </a:solidFill>
                <a:latin typeface="宋体"/>
                <a:ea typeface="宋体"/>
                <a:cs typeface="Lucida Sans"/>
              </a:defRPr>
            </a:pPr>
            <a:endParaRPr lang="zh-CN"/>
          </a:p>
        </c:txPr>
      </c:legendEntry>
      <c:legendEntry>
        <c:idx val="1"/>
        <c:txPr>
          <a:bodyPr/>
          <a:lstStyle/>
          <a:p>
            <a:pPr>
              <a:defRPr sz="1200" b="0" i="0" u="none" strike="noStrike" baseline="0">
                <a:solidFill>
                  <a:srgbClr val="000000"/>
                </a:solidFill>
                <a:latin typeface="宋体"/>
                <a:ea typeface="宋体"/>
                <a:cs typeface="Lucida Sans"/>
              </a:defRPr>
            </a:pPr>
            <a:endParaRPr lang="zh-CN"/>
          </a:p>
        </c:txPr>
      </c:legendEntry>
    </c:legend>
    <c:plotVisOnly val="1"/>
    <c:dispBlanksAs val="gap"/>
    <c:showDLblsOverMax val="0"/>
  </c:chart>
  <c:spPr>
    <a:solidFill>
      <a:srgbClr val="FFFFFF"/>
    </a:solidFill>
    <a:ln w="6350">
      <a:solidFill>
        <a:srgbClr val="D9D9D9"/>
      </a:solidFill>
      <a:prstDash val="solid"/>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收入决算结构图</a:t>
            </a:r>
          </a:p>
        </c:rich>
      </c:tx>
      <c:layout>
        <c:manualLayout>
          <c:xMode val="edge"/>
          <c:yMode val="edge"/>
          <c:x val="0.33751568"/>
          <c:y val="0.03180723"/>
        </c:manualLayout>
      </c:layout>
      <c:overlay val="0"/>
      <c:spPr>
        <a:noFill/>
        <a:ln>
          <a:noFill/>
        </a:ln>
      </c:spPr>
    </c:title>
    <c:autoTitleDeleted val="1"/>
    <c:plotArea>
      <c:layout/>
      <c:pieChart>
        <c:varyColors val="1"/>
        <c:ser>
          <c:idx val="0"/>
          <c:order val="0"/>
          <c:tx>
            <c:strRef>
              <c:f>'Sheet1 (2)'!$B$1</c:f>
              <c:strCache>
                <c:ptCount val="1"/>
                <c:pt idx="0">
                  <c:v>收入决算结构图</c:v>
                </c:pt>
              </c:strCache>
            </c:strRef>
          </c:tx>
          <c:spPr>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
              <c:idx val="0"/>
              <c:layout>
                <c:manualLayout>
                  <c:x val="-0.0048199943"/>
                  <c:y val="-0.22199228"/>
                </c:manualLayout>
              </c:layout>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showLegendKey val="0"/>
            <c:showVal val="1"/>
            <c:showCatName val="0"/>
            <c:showSerName val="0"/>
            <c:showPercent val="0"/>
            <c:showBubbleSize val="0"/>
            <c:showLeaderLines val="1"/>
          </c:dLbls>
          <c:cat>
            <c:strRef>
              <c:f>'Sheet1 (2)'!$A$2:$A$3</c:f>
              <c:strCache>
                <c:ptCount val="2"/>
                <c:pt idx="0">
                  <c:v>一般公共预算财政拨款收入</c:v>
                </c:pt>
              </c:strCache>
            </c:strRef>
          </c:cat>
          <c:val>
            <c:numRef>
              <c:f>'Sheet1 (2)'!$B$2:$B$3</c:f>
              <c:numCache>
                <c:formatCode>General</c:formatCode>
                <c:ptCount val="2"/>
                <c:pt idx="0">
                  <c:v>1.0</c:v>
                </c:pt>
              </c:numCache>
            </c:numRef>
          </c:val>
        </c:ser>
        <c:firstSliceAng val="0"/>
      </c:pieChart>
      <c:spPr>
        <a:noFill/>
        <a:ln>
          <a:noFill/>
        </a:ln>
      </c:spPr>
    </c:plotArea>
    <c:legend>
      <c:legendPos val="b"/>
      <c:layout>
        <c:manualLayout>
          <c:xMode val="edge"/>
          <c:yMode val="edge"/>
          <c:x val="0.19785132"/>
          <c:y val="0.8908434"/>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000000"/>
                </a:solidFill>
                <a:latin typeface="Times New Roman"/>
                <a:ea typeface="宋体"/>
                <a:cs typeface="Lucida Sans"/>
              </a:defRPr>
            </a:pPr>
            <a:r>
              <a:rPr lang="zh-CN"/>
              <a:t>支出决算结构图</a:t>
            </a:r>
          </a:p>
        </c:rich>
      </c:tx>
      <c:layout>
        <c:manualLayout>
          <c:xMode val="edge"/>
          <c:yMode val="edge"/>
          <c:x val="0.36941198"/>
          <c:y val="0.023819905"/>
        </c:manualLayout>
      </c:layout>
      <c:overlay val="0"/>
      <c:spPr>
        <a:noFill/>
        <a:ln>
          <a:noFill/>
        </a:ln>
      </c:spPr>
    </c:title>
    <c:autoTitleDeleted val="1"/>
    <c:plotArea>
      <c:layout>
        <c:manualLayout>
          <c:layoutTarget val="inner"/>
          <c:xMode val="edge"/>
          <c:yMode val="edge"/>
          <c:x val="0.28076777"/>
          <c:y val="0.15929979"/>
          <c:w val="0.47031662"/>
          <c:h val="0.6913589"/>
        </c:manualLayout>
      </c:layout>
      <c:pieChart>
        <c:varyColors val="1"/>
        <c:ser>
          <c:idx val="0"/>
          <c:order val="0"/>
          <c:tx>
            <c:strRef>
              <c:f>'Sheet1 (3)'!$B$1</c:f>
              <c:strCache>
                <c:ptCount val="1"/>
                <c:pt idx="0">
                  <c:v>支出决算结构图</c:v>
                </c:pt>
              </c:strCache>
            </c:strRef>
          </c:tx>
          <c:spPr>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dLbl>
              <c:idx val="0"/>
              <c:layout>
                <c:manualLayout>
                  <c:x val="-0.22581859"/>
                  <c:y val="-0.15629323"/>
                </c:manualLayout>
              </c:layout>
              <c:txPr>
                <a:bodyPr/>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dLbl>
              <c:idx val="1"/>
              <c:txPr>
                <a:bodyPr/>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showLegendKey val="0"/>
            <c:showVal val="0"/>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1090.6</c:v>
                </c:pt>
                <c:pt idx="1">
                  <c:v>1549.16</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50" b="0" i="0" u="none" strike="noStrike" baseline="0">
                <a:solidFill>
                  <a:srgbClr val="000000"/>
                </a:solidFill>
                <a:latin typeface="宋体"/>
                <a:ea typeface="宋体"/>
                <a:cs typeface="Lucida Sans"/>
              </a:defRPr>
            </a:pPr>
            <a:r>
              <a:rPr lang="zh-CN"/>
              <a:t>财政拨款收、支决算总计变动情况</a:t>
            </a:r>
          </a:p>
        </c:rich>
      </c:tx>
      <c:layout>
        <c:manualLayout>
          <c:xMode val="edge"/>
          <c:yMode val="edge"/>
          <c:x val="0.20328788"/>
          <c:y val="0.02226345"/>
        </c:manualLayout>
      </c:layout>
      <c:overlay val="0"/>
      <c:spPr>
        <a:noFill/>
        <a:ln>
          <a:noFill/>
        </a:ln>
      </c:spPr>
    </c:title>
    <c:autoTitleDeleted val="1"/>
    <c:plotArea>
      <c:layout/>
      <c:barChart>
        <c:barDir val="col"/>
        <c:grouping val="clustered"/>
        <c:varyColors val="0"/>
        <c:ser>
          <c:idx val="0"/>
          <c:order val="0"/>
          <c:tx>
            <c:strRef>
              <c:f>'Sheet1 (4)'!$B$1</c:f>
              <c:strCache>
                <c:ptCount val="1"/>
                <c:pt idx="0">
                  <c:v>2021</c:v>
                </c:pt>
              </c:strCache>
            </c:strRef>
          </c:tx>
          <c:spPr>
            <a:solidFill>
              <a:srgbClr val="4F81BD"/>
            </a:solidFill>
            <a:ln>
              <a:noFill/>
            </a:ln>
          </c:spPr>
          <c:invertIfNegative val="0"/>
          <c:dLbls>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c:f>
              <c:strCache>
                <c:ptCount val="1"/>
                <c:pt idx="0">
                  <c:v>支出</c:v>
                </c:pt>
              </c:strCache>
            </c:strRef>
          </c:cat>
          <c:val>
            <c:numRef>
              <c:f>Sheet1 (4)!$B$2</c:f>
              <c:numCache>
                <c:formatCode>General</c:formatCode>
                <c:ptCount val="1"/>
                <c:pt idx="0">
                  <c:v>2563.97</c:v>
                </c:pt>
              </c:numCache>
            </c:numRef>
          </c:val>
        </c:ser>
        <c:ser>
          <c:idx val="1"/>
          <c:order val="1"/>
          <c:tx>
            <c:strRef>
              <c:f>'Sheet1 (4)'!$C$1</c:f>
              <c:strCache>
                <c:ptCount val="1"/>
                <c:pt idx="0">
                  <c:v>2022</c:v>
                </c:pt>
              </c:strCache>
            </c:strRef>
          </c:tx>
          <c:spPr>
            <a:solidFill>
              <a:srgbClr val="C0504D"/>
            </a:solidFill>
            <a:ln>
              <a:noFill/>
            </a:ln>
          </c:spPr>
          <c:invertIfNegative val="0"/>
          <c:dLbls>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c:f>
              <c:strCache>
                <c:ptCount val="1"/>
                <c:pt idx="0">
                  <c:v>支出</c:v>
                </c:pt>
              </c:strCache>
            </c:strRef>
          </c:cat>
          <c:val>
            <c:numRef>
              <c:f>Sheet1 (4)!$C$2</c:f>
              <c:numCache>
                <c:formatCode>General</c:formatCode>
                <c:ptCount val="1"/>
                <c:pt idx="0">
                  <c:v>2639.76</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12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min val="0.0"/>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1200" b="0" i="0" u="none" strike="noStrike" baseline="0">
                <a:solidFill>
                  <a:srgbClr val="000000"/>
                </a:solidFill>
                <a:latin typeface="宋体"/>
                <a:ea typeface="宋体"/>
                <a:cs typeface="Lucida Sans"/>
              </a:defRPr>
            </a:pPr>
            <a:endParaRPr lang="zh-CN"/>
          </a:p>
        </c:txPr>
        <c:crossesAt val="1.0"/>
        <c:crossBetween val="between"/>
        <c:minorUnit val="5.0"/>
        <c:crossAx val="0"/>
      </c:valAx>
      <c:spPr>
        <a:noFill/>
        <a:ln>
          <a:noFill/>
        </a:ln>
      </c:spPr>
    </c:plotArea>
    <c:legend>
      <c:legendPos val="b"/>
      <c:layout>
        <c:manualLayout>
          <c:xMode val="edge"/>
          <c:yMode val="edge"/>
          <c:x val="0.35110933"/>
          <c:y val="0.8871985"/>
          <c:w val="0.4271585"/>
          <c:h val="0.09053803"/>
        </c:manualLayout>
      </c:layout>
      <c:overlay val="0"/>
      <c:spPr>
        <a:noFill/>
        <a:ln>
          <a:noFill/>
        </a:ln>
      </c:spPr>
      <c:txPr>
        <a:bodyPr/>
        <a:lstStyle/>
        <a:p>
          <a:pPr>
            <a:defRPr sz="1200" b="0" i="0" u="none" strike="noStrike" baseline="0">
              <a:solidFill>
                <a:srgbClr val="000000"/>
              </a:solidFill>
              <a:latin typeface="宋体"/>
              <a:ea typeface="宋体"/>
              <a:cs typeface="Lucida Sans"/>
            </a:defRPr>
          </a:pPr>
          <a:endParaRPr lang="zh-CN"/>
        </a:p>
      </c:txPr>
      <c:legendEntry>
        <c:idx val="0"/>
        <c:txPr>
          <a:bodyPr/>
          <a:lstStyle/>
          <a:p>
            <a:pPr>
              <a:defRPr sz="1200" b="0" i="0" u="none" strike="noStrike" baseline="0">
                <a:solidFill>
                  <a:srgbClr val="000000"/>
                </a:solidFill>
                <a:latin typeface="宋体"/>
                <a:ea typeface="宋体"/>
                <a:cs typeface="Lucida Sans"/>
              </a:defRPr>
            </a:pPr>
            <a:endParaRPr lang="zh-CN"/>
          </a:p>
        </c:txPr>
      </c:legendEntry>
      <c:legendEntry>
        <c:idx val="1"/>
        <c:txPr>
          <a:bodyPr/>
          <a:lstStyle/>
          <a:p>
            <a:pPr>
              <a:defRPr sz="1200" b="0" i="0" u="none" strike="noStrike" baseline="0">
                <a:solidFill>
                  <a:srgbClr val="000000"/>
                </a:solidFill>
                <a:latin typeface="宋体"/>
                <a:ea typeface="宋体"/>
                <a:cs typeface="Lucida Sans"/>
              </a:defRPr>
            </a:pPr>
            <a:endParaRPr lang="zh-CN"/>
          </a:p>
        </c:txPr>
      </c:legendEntry>
    </c:legend>
    <c:plotVisOnly val="1"/>
    <c:dispBlanksAs val="gap"/>
    <c:showDLblsOverMax val="0"/>
  </c:chart>
  <c:spPr>
    <a:solidFill>
      <a:srgbClr val="FFFFFF"/>
    </a:solidFill>
    <a:ln w="6350">
      <a:solidFill>
        <a:srgbClr val="D9D9D9"/>
      </a:solidFill>
      <a:prstDash val="solid"/>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0" i="0" u="none" strike="noStrike" baseline="0">
                <a:solidFill>
                  <a:srgbClr val="595959"/>
                </a:solidFill>
                <a:latin typeface="宋体"/>
                <a:ea typeface="宋体"/>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tx>
            <c:strRef>
              <c:f>'Sheet1 (5)'!$B$1</c:f>
              <c:strCache>
                <c:ptCount val="1"/>
                <c:pt idx="0">
                  <c:v>2021</c:v>
                </c:pt>
              </c:strCache>
            </c:strRef>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支出</c:v>
                </c:pt>
              </c:strCache>
            </c:strRef>
          </c:cat>
          <c:val>
            <c:numRef>
              <c:f>Sheet1 (5)!$B$2</c:f>
              <c:numCache>
                <c:formatCode>General</c:formatCode>
                <c:ptCount val="1"/>
                <c:pt idx="0">
                  <c:v>2563.97</c:v>
                </c:pt>
              </c:numCache>
            </c:numRef>
          </c:val>
        </c:ser>
        <c:ser>
          <c:idx val="1"/>
          <c:order val="1"/>
          <c:tx>
            <c:strRef>
              <c:f>'Sheet1 (5)'!$C$1</c:f>
              <c:strCache>
                <c:ptCount val="1"/>
                <c:pt idx="0">
                  <c:v>2022</c:v>
                </c:pt>
              </c:strCache>
            </c:strRef>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支出</c:v>
                </c:pt>
              </c:strCache>
            </c:strRef>
          </c:cat>
          <c:val>
            <c:numRef>
              <c:f>Sheet1 (5)!$C$2</c:f>
              <c:numCache>
                <c:formatCode>General</c:formatCode>
                <c:ptCount val="1"/>
                <c:pt idx="0">
                  <c:v>2639.76</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0.0"/>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manualLayout>
          <c:xMode val="edge"/>
          <c:yMode val="edge"/>
          <c:x val="0.26436782"/>
          <c:y val="0.87333333"/>
          <c:w val="0.44096133"/>
          <c:h val="0.11388889"/>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一般公共预算财政拨款支出决算结构图</a:t>
            </a:r>
          </a:p>
        </c:rich>
      </c:tx>
      <c:layout>
        <c:manualLayout>
          <c:xMode val="edge"/>
          <c:yMode val="edge"/>
          <c:x val="0.17951225"/>
          <c:y val="0.075414784"/>
        </c:manualLayout>
      </c:layout>
      <c:overlay val="0"/>
      <c:spPr>
        <a:noFill/>
        <a:ln>
          <a:noFill/>
        </a:ln>
      </c:spPr>
    </c:title>
    <c:autoTitleDeleted val="1"/>
    <c:plotArea>
      <c:layout/>
      <c:pieChart>
        <c:varyColors val="1"/>
        <c:ser>
          <c:idx val="0"/>
          <c:order val="0"/>
          <c:tx>
            <c:strRef>
              <c:f>'Sheet1 (6)'!$B$1</c:f>
              <c:strCache>
                <c:ptCount val="1"/>
                <c:pt idx="0">
                  <c:v>列1</c:v>
                </c:pt>
              </c:strCache>
            </c:strRef>
          </c:tx>
          <c:spPr>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c:spPr>
          </c:dPt>
          <c:dPt>
            <c:idx val="4"/>
            <c:bubble3D val="0"/>
            <c:spPr>
              <a:solidFill>
                <a:srgbClr val="4BACC6"/>
              </a:solidFill>
            </c:spPr>
          </c:dPt>
          <c:dLbls>
            <c:txPr>
              <a:bodyPr/>
              <a:lstStyle/>
              <a:p>
                <a:pPr>
                  <a:defRPr sz="1000" b="0" i="0" u="none" strike="noStrike" baseline="0">
                    <a:solidFill>
                      <a:srgbClr val="000000"/>
                    </a:solidFill>
                    <a:latin typeface="Times New Roman"/>
                    <a:ea typeface="宋体"/>
                    <a:cs typeface="Lucida Sans"/>
                  </a:defRPr>
                </a:pPr>
                <a:endParaRPr lang="zh-CN"/>
              </a:p>
            </c:txPr>
            <c:numFmt formatCode="0.00%" sourceLinked="1"/>
            <c:dLbl>
              <c:idx val="0"/>
              <c:txPr>
                <a:bodyPr/>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dLbl>
              <c:idx val="1"/>
              <c:txPr>
                <a:bodyPr/>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dLbl>
              <c:idx val="2"/>
              <c:txPr>
                <a:bodyPr/>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dLbl>
              <c:idx val="4"/>
              <c:txPr>
                <a:bodyPr/>
                <a:lstStyle/>
                <a:p>
                  <a:pPr>
                    <a:defRPr sz="1000" b="0" i="0" u="none" strike="noStrike" baseline="0">
                      <a:solidFill>
                        <a:srgbClr val="000000"/>
                      </a:solidFill>
                      <a:latin typeface="Times New Roman"/>
                      <a:ea typeface="宋体"/>
                      <a:cs typeface="Lucida Sans"/>
                    </a:defRPr>
                  </a:pPr>
                  <a:endParaRPr lang="zh-CN"/>
                </a:p>
              </c:txPr>
              <c:showLegendKey val="0"/>
              <c:showVal val="1"/>
              <c:showCatName val="0"/>
              <c:showSerName val="0"/>
              <c:showPercent val="0"/>
              <c:showBubbleSize val="0"/>
            </c:dLbl>
            <c:showLegendKey val="0"/>
            <c:showVal val="0"/>
            <c:showCatName val="0"/>
            <c:showSerName val="0"/>
            <c:showPercent val="0"/>
            <c:showBubbleSize val="0"/>
            <c:showLeaderLines val="1"/>
          </c:dLbls>
          <c:cat>
            <c:strRef>
              <c:f>'Sheet1 (6)'!$A$2:$A$6</c:f>
              <c:strCache>
                <c:ptCount val="5"/>
                <c:pt idx="0">
                  <c:v>社会保障和就业类</c:v>
                </c:pt>
                <c:pt idx="1">
                  <c:v>卫生健康支出</c:v>
                </c:pt>
                <c:pt idx="2">
                  <c:v>住房保障支出</c:v>
                </c:pt>
                <c:pt idx="3">
                  <c:v>自然气象</c:v>
                </c:pt>
                <c:pt idx="4">
                  <c:v>灾害防治及应急管理支出</c:v>
                </c:pt>
              </c:strCache>
            </c:strRef>
          </c:cat>
          <c:val>
            <c:numRef>
              <c:f>'Sheet1 (6)'!$B$2:$B$6</c:f>
              <c:numCache>
                <c:formatCode>0.00%</c:formatCode>
                <c:ptCount val="5"/>
                <c:pt idx="0">
                  <c:v>0.03</c:v>
                </c:pt>
                <c:pt idx="1">
                  <c:v>0.02</c:v>
                </c:pt>
                <c:pt idx="2">
                  <c:v>0.02</c:v>
                </c:pt>
                <c:pt idx="3">
                  <c:v>0.01</c:v>
                </c:pt>
                <c:pt idx="4">
                  <c:v>0.92</c:v>
                </c:pt>
              </c:numCache>
            </c:numRef>
          </c:val>
        </c:ser>
        <c:firstSliceAng val="0"/>
      </c:pieChart>
      <c:spPr>
        <a:noFill/>
        <a:ln>
          <a:noFill/>
        </a:ln>
      </c:spPr>
    </c:plotArea>
    <c:legend>
      <c:legendPos val="b"/>
      <c:layout>
        <c:manualLayout>
          <c:xMode val="edge"/>
          <c:yMode val="edge"/>
          <c:x val="0.21499477"/>
          <c:y val="0.8734319"/>
          <c:w val="0.67058516"/>
          <c:h val="0.104100354"/>
        </c:manualLayou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Entry>
        <c:idx val="0"/>
        <c:txPr>
          <a:bodyPr/>
          <a:lstStyle/>
          <a:p>
            <a:pPr>
              <a:defRPr sz="1000" b="1" i="0" u="none" strike="noStrike" baseline="0">
                <a:solidFill>
                  <a:srgbClr val="595959"/>
                </a:solidFill>
                <a:latin typeface="宋体"/>
                <a:ea typeface="宋体"/>
                <a:cs typeface="Lucida Sans"/>
              </a:defRPr>
            </a:pPr>
            <a:endParaRPr lang="zh-CN"/>
          </a:p>
        </c:txPr>
      </c:legendEntry>
      <c:legendEntry>
        <c:idx val="1"/>
        <c:txPr>
          <a:bodyPr/>
          <a:lstStyle/>
          <a:p>
            <a:pPr>
              <a:defRPr sz="1000" b="1" i="0" u="none" strike="noStrike" baseline="0">
                <a:solidFill>
                  <a:srgbClr val="595959"/>
                </a:solidFill>
                <a:latin typeface="宋体"/>
                <a:ea typeface="宋体"/>
                <a:cs typeface="Lucida Sans"/>
              </a:defRPr>
            </a:pPr>
            <a:endParaRPr lang="zh-CN"/>
          </a:p>
        </c:txPr>
      </c:legendEntry>
      <c:legendEntry>
        <c:idx val="2"/>
        <c:txPr>
          <a:bodyPr/>
          <a:lstStyle/>
          <a:p>
            <a:pPr>
              <a:defRPr sz="1000" b="1" i="0" u="none" strike="noStrike" baseline="0">
                <a:solidFill>
                  <a:srgbClr val="595959"/>
                </a:solidFill>
                <a:latin typeface="宋体"/>
                <a:ea typeface="宋体"/>
                <a:cs typeface="Lucida Sans"/>
              </a:defRPr>
            </a:pPr>
            <a:endParaRPr lang="zh-CN"/>
          </a:p>
        </c:txPr>
      </c:legendEntry>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595959"/>
                </a:solidFill>
                <a:latin typeface="宋体"/>
                <a:ea typeface="宋体"/>
                <a:cs typeface="Lucida Sans"/>
              </a:defRPr>
            </a:pPr>
            <a:r>
              <a:rPr lang="zh-CN"/>
              <a:t>“三公”经费财政拨款支出结构</a:t>
            </a:r>
          </a:p>
        </c:rich>
      </c:tx>
      <c:layout/>
      <c:overlay val="0"/>
      <c:spPr>
        <a:noFill/>
        <a:ln>
          <a:noFill/>
        </a:ln>
      </c:spPr>
    </c:title>
    <c:autoTitleDeleted val="1"/>
    <c:plotArea>
      <c:layout/>
      <c:pieChart>
        <c:varyColors val="1"/>
        <c:ser>
          <c:idx val="0"/>
          <c:order val="0"/>
          <c:tx>
            <c:strRef>
              <c:f>'Sheet1 (7)'!$B$1</c:f>
              <c:strCache>
                <c:ptCount val="1"/>
                <c:pt idx="0">
                  <c:v>“三公”经费财政拨款支出结构</c:v>
                </c:pt>
              </c:strCache>
            </c:strRef>
          </c:tx>
          <c:spPr>
            <a:ln>
              <a:noFill/>
            </a:ln>
          </c:spPr>
          <c:explosion val="11"/>
          <c:dPt>
            <c:idx val="0"/>
            <c:bubble3D val="0"/>
            <c:spPr>
              <a:solidFill>
                <a:srgbClr val="4F81B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1"/>
            <c:dLbl>
              <c:idx val="0"/>
              <c:layout>
                <c:manualLayout>
                  <c:x val="-0.00801495"/>
                  <c:y val="-0.23415913"/>
                </c:manualLayout>
              </c:layout>
              <c:spPr>
                <a:noFill/>
                <a:ln>
                  <a:noFill/>
                </a:ln>
              </c:spPr>
              <c:txPr>
                <a:bodyPr vert="horz"/>
                <a:lstStyle/>
                <a:p>
                  <a:pPr>
                    <a:defRPr sz="1600" b="1" i="0" u="none" strike="noStrike" baseline="0">
                      <a:solidFill>
                        <a:srgbClr val="404040"/>
                      </a:solidFill>
                      <a:latin typeface="宋体"/>
                      <a:ea typeface="宋体"/>
                      <a:cs typeface="Lucida Sans"/>
                    </a:defRPr>
                  </a:pPr>
                  <a:endParaRPr lang="zh-CN"/>
                </a:p>
              </c:txPr>
              <c:tx>
                <c:rich>
                  <a:bodyPr vert="horz"/>
                  <a:lstStyle/>
                  <a:p>
                    <a:pPr>
                      <a:defRPr sz="1600" b="1" i="0" u="none" strike="noStrike" baseline="0">
                        <a:solidFill>
                          <a:srgbClr val="404040"/>
                        </a:solidFill>
                        <a:latin typeface="宋体"/>
                        <a:ea typeface="宋体"/>
                        <a:cs typeface="Lucida Sans"/>
                      </a:defRPr>
                    </a:pPr>
                    <a:r>
                      <a:rPr lang="zh-CN"/>
                      <a:t>100%</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 (7)'!$A$2</c:f>
              <c:strCache>
                <c:ptCount val="1"/>
                <c:pt idx="0">
                  <c:v>公务接待</c:v>
                </c:pt>
              </c:strCache>
            </c:strRef>
          </c:cat>
          <c:val>
            <c:numRef>
              <c:f>Sheet1 (7)!$B$2</c:f>
              <c:numCache>
                <c:formatCode>0%</c:formatCode>
                <c:ptCount val="1"/>
                <c:pt idx="0">
                  <c:v>1.0</c:v>
                </c:pt>
              </c:numCache>
            </c:numRef>
          </c:val>
        </c:ser>
        <c:firstSliceAng val="0"/>
      </c:pieChart>
      <c:spPr>
        <a:noFill/>
        <a:ln>
          <a:noFill/>
        </a:ln>
      </c:spPr>
    </c:plotArea>
    <c:legend>
      <c:legendPos val="b"/>
      <c:layout>
        <c:manualLayout>
          <c:xMode val="edge"/>
          <c:yMode val="edge"/>
          <c:x val="0.28406054"/>
          <c:y val="0.8095883"/>
          <c:w val="0.44363314"/>
          <c:h val="0.15790899"/>
        </c:manualLayout>
      </c:layout>
      <c:overlay val="0"/>
      <c:spPr>
        <a:noFill/>
        <a:ln>
          <a:noFill/>
        </a:ln>
      </c:spPr>
      <c:txPr>
        <a:bodyPr/>
        <a:lstStyle/>
        <a:p>
          <a:pPr>
            <a:defRPr sz="1200" b="1" i="0" u="none" strike="noStrike" baseline="0">
              <a:solidFill>
                <a:srgbClr val="595959"/>
              </a:solidFill>
              <a:latin typeface="宋体"/>
              <a:ea typeface="宋体"/>
              <a:cs typeface="Lucida Sans"/>
            </a:defRPr>
          </a:pPr>
          <a:endParaRPr lang="zh-CN"/>
        </a:p>
      </c:txPr>
      <c:legendEntry>
        <c:idx val="0"/>
        <c:txPr>
          <a:bodyPr/>
          <a:lstStyle/>
          <a:p>
            <a:pPr>
              <a:defRPr sz="1200" b="1" i="0" u="none" strike="noStrike" baseline="0">
                <a:solidFill>
                  <a:srgbClr val="595959"/>
                </a:solidFill>
                <a:latin typeface="宋体"/>
                <a:ea typeface="宋体"/>
                <a:cs typeface="Lucida Sans"/>
              </a:defRPr>
            </a:pPr>
            <a:endParaRPr lang="zh-CN"/>
          </a:p>
        </c:txPr>
      </c:legendEntry>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6EEF9F90-52D8-4EF0-92D0-D879573737F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61</TotalTime>
  <Application>Yozo_Office27021597764231179</Application>
  <Pages>119</Pages>
  <Words>0</Words>
  <Characters>43876</Characters>
  <Lines>0</Lines>
  <Paragraphs>982</Paragraphs>
  <CharactersWithSpaces>58502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163</cp:revision>
  <cp:lastPrinted>2023-07-31T02:35:00Z</cp:lastPrinted>
  <dcterms:created xsi:type="dcterms:W3CDTF">2023-09-04T07:26:00Z</dcterms:created>
  <dcterms:modified xsi:type="dcterms:W3CDTF">2023-10-16T06:53:37Z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E779A94C8AC64F65976FDBBB44AE9B54_13</vt:lpwstr>
  </property>
</Properties>
</file>