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9"/>
        <w:rPr>
          <w:rFonts w:ascii="方正小标宋简体" w:eastAsia="方正小标宋简体" w:hAnsi="宋体"/>
          <w:color w:val="auto"/>
          <w:sz w:val="72"/>
          <w:szCs w:val="72"/>
          <w:highlight w:val="auto"/>
        </w:rPr>
      </w:pPr>
      <w:bookmarkStart w:id="0" w:name="_Toc15306267"/>
      <w:bookmarkStart w:id="1" w:name="_Toc15377425"/>
      <w:bookmarkStart w:id="2" w:name="_Toc15378441"/>
      <w:bookmarkStart w:id="3" w:name="_Toc15396475"/>
      <w:bookmarkStart w:id="4" w:name="_Toc15396597"/>
      <w:bookmarkStart w:id="5" w:name="_Toc15377193"/>
      <w:bookmarkStart w:id="6" w:name="_GoBack"/>
      <w:bookmarkEnd w:id="6"/>
    </w:p>
    <w:p>
      <w:pPr>
        <w:spacing w:line="600" w:lineRule="exact"/>
        <w:jc w:val="center"/>
        <w:outlineLvl w:val="9"/>
        <w:rPr>
          <w:rFonts w:ascii="方正小标宋简体" w:eastAsia="方正小标宋简体" w:hAnsi="宋体"/>
          <w:color w:val="auto"/>
          <w:sz w:val="72"/>
          <w:szCs w:val="72"/>
          <w:highlight w:val="auto"/>
        </w:rPr>
      </w:pPr>
    </w:p>
    <w:p>
      <w:pPr>
        <w:spacing w:line="600" w:lineRule="exact"/>
        <w:jc w:val="center"/>
        <w:outlineLvl w:val="9"/>
        <w:rPr>
          <w:rFonts w:ascii="方正小标宋简体" w:eastAsia="方正小标宋简体" w:hAnsi="宋体"/>
          <w:color w:val="auto"/>
          <w:sz w:val="72"/>
          <w:szCs w:val="72"/>
          <w:highlight w:val="auto"/>
        </w:rPr>
      </w:pPr>
    </w:p>
    <w:p>
      <w:pPr>
        <w:adjustRightInd w:val="0"/>
        <w:snapToGrid w:val="0"/>
        <w:spacing w:line="360" w:lineRule="auto"/>
        <w:jc w:val="center"/>
        <w:outlineLvl w:val="9"/>
        <w:rPr>
          <w:rFonts w:ascii="方正小标宋简体" w:eastAsia="方正小标宋简体" w:cs="方正小标宋简体" w:hAnsi="方正小标宋简体" w:hint="eastAsia"/>
          <w:b w:val="0"/>
          <w:bCs w:val="0"/>
          <w:color w:val="000000"/>
          <w:spacing w:val="0"/>
          <w:kern w:val="2"/>
          <w:sz w:val="48"/>
          <w:szCs w:val="48"/>
          <w:lang w:val="en-US" w:eastAsia="zh-CN" w:bidi="ar-SA"/>
        </w:rPr>
      </w:pPr>
      <w:r>
        <w:rPr>
          <w:rFonts w:ascii="方正小标宋简体" w:eastAsia="方正小标宋简体" w:cs="方正小标宋简体" w:hAnsi="方正小标宋简体" w:hint="eastAsia"/>
          <w:b w:val="0"/>
          <w:bCs w:val="0"/>
          <w:color w:val="000000"/>
          <w:spacing w:val="0"/>
          <w:kern w:val="2"/>
          <w:sz w:val="48"/>
          <w:szCs w:val="48"/>
          <w:lang w:val="en-US" w:eastAsia="zh-CN" w:bidi="ar-SA"/>
        </w:rPr>
        <w:t>2022年度</w:t>
      </w:r>
    </w:p>
    <w:p>
      <w:pPr>
        <w:adjustRightInd w:val="0"/>
        <w:snapToGrid w:val="0"/>
        <w:spacing w:line="360" w:lineRule="auto"/>
        <w:jc w:val="center"/>
        <w:outlineLvl w:val="9"/>
        <w:rPr>
          <w:rFonts w:ascii="方正小标宋简体" w:eastAsia="方正小标宋简体" w:cs="方正小标宋简体" w:hAnsi="方正小标宋简体" w:hint="eastAsia"/>
          <w:b w:val="0"/>
          <w:bCs w:val="0"/>
          <w:color w:val="000000"/>
          <w:spacing w:val="0"/>
          <w:kern w:val="2"/>
          <w:sz w:val="48"/>
          <w:szCs w:val="48"/>
          <w:lang w:val="en-US" w:eastAsia="zh-CN" w:bidi="ar-SA"/>
        </w:rPr>
      </w:pPr>
      <w:r>
        <w:rPr>
          <w:rFonts w:ascii="方正小标宋简体" w:eastAsia="方正小标宋简体" w:cs="方正小标宋简体" w:hAnsi="方正小标宋简体" w:hint="eastAsia"/>
          <w:b w:val="0"/>
          <w:bCs w:val="0"/>
          <w:color w:val="000000"/>
          <w:spacing w:val="0"/>
          <w:kern w:val="2"/>
          <w:sz w:val="48"/>
          <w:szCs w:val="48"/>
          <w:lang w:val="en-US" w:eastAsia="zh-CN" w:bidi="ar-SA"/>
        </w:rPr>
        <w:t>广元市利州区人力资源和社会保障局</w:t>
      </w:r>
    </w:p>
    <w:p>
      <w:pPr>
        <w:adjustRightInd w:val="0"/>
        <w:snapToGrid w:val="0"/>
        <w:spacing w:line="360" w:lineRule="auto"/>
        <w:jc w:val="center"/>
        <w:outlineLvl w:val="9"/>
        <w:rPr>
          <w:rFonts w:ascii="方正小标宋简体" w:eastAsia="方正小标宋简体" w:cs="方正小标宋简体" w:hAnsi="方正小标宋简体" w:hint="eastAsia"/>
          <w:color w:val="auto"/>
          <w:spacing w:val="0"/>
          <w:sz w:val="48"/>
          <w:szCs w:val="48"/>
          <w:highlight w:val="auto"/>
        </w:rPr>
      </w:pPr>
      <w:r>
        <w:rPr>
          <w:rFonts w:ascii="方正小标宋简体" w:eastAsia="方正小标宋简体" w:cs="方正小标宋简体" w:hAnsi="方正小标宋简体" w:hint="eastAsia"/>
          <w:b w:val="0"/>
          <w:bCs w:val="0"/>
          <w:color w:val="000000"/>
          <w:spacing w:val="0"/>
          <w:kern w:val="2"/>
          <w:sz w:val="48"/>
          <w:szCs w:val="48"/>
          <w:lang w:val="en-US" w:eastAsia="zh-CN" w:bidi="ar-SA"/>
        </w:rPr>
        <w:t>部门决算</w:t>
      </w:r>
    </w:p>
    <w:p>
      <w:pPr>
        <w:adjustRightInd w:val="0"/>
        <w:snapToGrid w:val="0"/>
        <w:spacing w:line="360" w:lineRule="auto"/>
        <w:jc w:val="center"/>
        <w:outlineLvl w:val="9"/>
        <w:rPr>
          <w:rFonts w:ascii="方正小标宋简体" w:eastAsia="方正小标宋简体" w:hAnsi="宋体"/>
          <w:color w:val="auto"/>
          <w:sz w:val="52"/>
          <w:szCs w:val="52"/>
          <w:highlight w:val="auto"/>
        </w:rPr>
      </w:pPr>
      <w:bookmarkEnd w:id="0"/>
      <w:bookmarkEnd w:id="1"/>
      <w:bookmarkEnd w:id="2"/>
      <w:bookmarkEnd w:id="3"/>
      <w:bookmarkEnd w:id="4"/>
      <w:bookmarkEnd w:id="5"/>
    </w:p>
    <w:p>
      <w:pPr>
        <w:widowControl/>
        <w:jc w:val="center"/>
        <w:rPr>
          <w:rFonts w:ascii="黑体" w:eastAsia="黑体" w:hAnsi="黑体" w:hint="eastAsia"/>
          <w:color w:val="auto"/>
          <w:sz w:val="48"/>
          <w:szCs w:val="48"/>
          <w:highlight w:val="auto"/>
        </w:rPr>
        <w:sectPr>
          <w:headerReference w:type="default" r:id="rId2"/>
          <w:footerReference w:type="default" r:id="rId3"/>
          <w:footerReference w:type="first" r:id="rId4"/>
          <w:pgSz w:w="11906" w:h="16838"/>
          <w:pgMar w:top="1440" w:right="1800" w:bottom="1440" w:left="1800" w:header="851" w:footer="992" w:gutter="0"/>
          <w:pgNumType w:start="1"/>
          <w:cols w:num="1" w:space="425"/>
          <w:titlePg/>
          <w:docGrid w:type="lines" w:linePitch="312" w:charSpace="0"/>
        </w:sectPr>
      </w:pPr>
    </w:p>
    <w:p>
      <w:pPr>
        <w:widowControl/>
        <w:jc w:val="center"/>
        <w:rPr>
          <w:rFonts w:ascii="黑体" w:eastAsia="黑体" w:hAnsi="黑体"/>
          <w:color w:val="auto"/>
          <w:sz w:val="48"/>
          <w:szCs w:val="48"/>
          <w:highlight w:val="auto"/>
        </w:rPr>
      </w:pPr>
      <w:r>
        <w:rPr>
          <w:rFonts w:ascii="黑体" w:eastAsia="黑体" w:hAnsi="黑体" w:hint="eastAsia"/>
          <w:color w:val="auto"/>
          <w:sz w:val="48"/>
          <w:szCs w:val="48"/>
          <w:highlight w:val="auto"/>
        </w:rPr>
        <w:t>目录</w:t>
      </w:r>
    </w:p>
    <w:p>
      <w:pPr>
        <w:widowControl/>
        <w:jc w:val="center"/>
        <w:rPr>
          <w:rFonts w:ascii="黑体" w:eastAsia="黑体" w:cs="Arial" w:hAnsi="黑体"/>
          <w:color w:val="auto"/>
          <w:sz w:val="28"/>
          <w:szCs w:val="28"/>
          <w:highlight w:val="auto"/>
        </w:rPr>
      </w:pPr>
    </w:p>
    <w:p>
      <w:pPr>
        <w:pStyle w:val="23"/>
        <w:tabs>
          <w:tab w:val="center" w:pos="4213"/>
          <w:tab w:val="left" w:pos="7315"/>
          <w:tab w:val="right" w:leader="dot" w:pos="8296"/>
        </w:tabs>
        <w:jc w:val="left"/>
        <w:rPr>
          <w:rFonts w:eastAsia="仿宋" w:hint="eastAsia"/>
          <w:color w:val="auto"/>
          <w:lang w:eastAsia="zh-CN"/>
          <w:highlight w:val="auto"/>
        </w:rPr>
      </w:pPr>
      <w:r>
        <w:rPr>
          <w:rFonts w:hint="eastAsia"/>
          <w:color w:val="auto"/>
          <w:lang w:eastAsia="zh-CN"/>
          <w:highlight w:val="auto"/>
        </w:rPr>
        <w:tab/>
      </w:r>
      <w:r>
        <w:rPr>
          <w:rFonts w:hint="eastAsia"/>
          <w:color w:val="auto"/>
          <w:highlight w:val="auto"/>
        </w:rPr>
        <w:t>公开时间：20</w:t>
      </w:r>
      <w:r>
        <w:rPr>
          <w:rFonts w:hint="eastAsia"/>
          <w:color w:val="auto"/>
          <w:lang w:val="en-US" w:eastAsia="zh-CN"/>
          <w:highlight w:val="auto"/>
        </w:rPr>
        <w:t>23</w:t>
      </w:r>
      <w:r>
        <w:rPr>
          <w:rFonts w:hint="eastAsia"/>
          <w:color w:val="auto"/>
          <w:highlight w:val="auto"/>
        </w:rPr>
        <w:t>年</w:t>
      </w:r>
      <w:r>
        <w:rPr>
          <w:rFonts w:hint="eastAsia"/>
          <w:color w:val="auto"/>
          <w:lang w:val="en-US" w:eastAsia="zh-CN"/>
          <w:highlight w:val="auto"/>
        </w:rPr>
        <w:t>10</w:t>
      </w:r>
      <w:r>
        <w:rPr>
          <w:rFonts w:hint="eastAsia"/>
          <w:color w:val="auto"/>
          <w:highlight w:val="auto"/>
        </w:rPr>
        <w:t>月</w:t>
      </w:r>
      <w:r>
        <w:rPr>
          <w:rFonts w:hint="eastAsia"/>
          <w:color w:val="auto"/>
          <w:lang w:val="en-US" w:eastAsia="zh-CN"/>
          <w:highlight w:val="auto"/>
        </w:rPr>
        <w:t>7</w:t>
      </w:r>
      <w:r>
        <w:rPr>
          <w:rFonts w:hint="eastAsia"/>
          <w:color w:val="auto"/>
          <w:highlight w:val="auto"/>
        </w:rPr>
        <w:t>日</w:t>
      </w:r>
      <w:r>
        <w:rPr>
          <w:rFonts w:hint="eastAsia"/>
          <w:color w:val="auto"/>
          <w:lang w:eastAsia="zh-CN"/>
          <w:highlight w:val="auto"/>
        </w:rPr>
        <w:tab/>
      </w:r>
    </w:p>
    <w:p>
      <w:pPr>
        <w:rPr>
          <w:color w:val="auto"/>
          <w:highlight w:val="auto"/>
        </w:rPr>
      </w:pPr>
    </w:p>
    <w:sdt>
      <w:sdtPr>
        <w:rPr>
          <w:rFonts w:ascii="宋体" w:eastAsia="宋体" w:cs="Times New Roman" w:hAnsi="宋体"/>
          <w:kern w:val="2"/>
          <w:sz w:val="21"/>
          <w:szCs w:val="24"/>
          <w:lang w:val="en-US" w:eastAsia="zh-CN" w:bidi="ar-SA"/>
        </w:rPr>
        <w:id w:val="-765869013"/>
        <w15:color w:val="DBDBDB"/>
        <w:docPartObj>
          <w:docPartGallery w:val="Table of Contents"/>
          <w:docPartUnique/>
        </w:docPartObj>
      </w:sdtPr>
      <w:sdtEndPr>
        <w:rPr>
          <w:b/>
        </w:rPr>
      </w:sdtEndPr>
      <w:sdtContent>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left"/>
            <w:textAlignment w:val="auto"/>
            <w:rPr>
              <w:rFonts w:ascii="宋体" w:eastAsia="宋体" w:cs="宋体" w:hAnsi="宋体" w:hint="eastAsia"/>
              <w:kern w:val="2"/>
              <w:sz w:val="24"/>
              <w:szCs w:val="24"/>
              <w:lang w:val="en-US" w:eastAsia="zh-CN" w:bidi="ar-SA"/>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TOC \o "1-2" \h \u </w:instrText>
          </w:r>
          <w:r>
            <w:rPr>
              <w:rFonts w:ascii="宋体" w:eastAsia="宋体" w:cs="宋体" w:hAnsi="宋体" w:hint="eastAsia"/>
              <w:sz w:val="24"/>
              <w:szCs w:val="24"/>
            </w:rPr>
            <w:fldChar w:fldCharType="separate"/>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_Toc4092 </w:instrText>
          </w:r>
          <w:r>
            <w:rPr>
              <w:rFonts w:ascii="宋体" w:eastAsia="宋体" w:cs="宋体" w:hAnsi="宋体" w:hint="eastAsia"/>
              <w:sz w:val="24"/>
              <w:szCs w:val="24"/>
            </w:rPr>
            <w:fldChar w:fldCharType="separate"/>
          </w:r>
          <w:r>
            <w:rPr>
              <w:rFonts w:ascii="仿宋" w:eastAsia="仿宋" w:cs="仿宋" w:hAnsi="仿宋" w:hint="eastAsia"/>
              <w:sz w:val="24"/>
              <w:szCs w:val="24"/>
              <w:highlight w:val="auto"/>
            </w:rPr>
            <w:t xml:space="preserve">第一部分 </w:t>
          </w:r>
          <w:r>
            <w:rPr>
              <w:rFonts w:ascii="仿宋" w:eastAsia="仿宋" w:cs="仿宋" w:hAnsi="仿宋" w:hint="eastAsia"/>
              <w:bCs w:val="0"/>
              <w:sz w:val="24"/>
              <w:szCs w:val="24"/>
              <w:highlight w:val="auto"/>
            </w:rPr>
            <w:t>部门概况</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_Toc4092 \h </w:instrText>
          </w:r>
          <w:r>
            <w:rPr>
              <w:rFonts w:ascii="宋体" w:eastAsia="宋体" w:cs="宋体" w:hAnsi="宋体" w:hint="eastAsia"/>
              <w:sz w:val="24"/>
              <w:szCs w:val="24"/>
            </w:rPr>
            <w:fldChar w:fldCharType="separate"/>
          </w:r>
          <w:r>
            <w:rPr>
              <w:rFonts w:ascii="宋体" w:eastAsia="宋体" w:cs="宋体" w:hAnsi="宋体" w:hint="eastAsia"/>
              <w:sz w:val="24"/>
              <w:szCs w:val="24"/>
            </w:rPr>
            <w:t>4</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_Toc23014 </w:instrText>
          </w:r>
          <w:r>
            <w:rPr>
              <w:rFonts w:ascii="宋体" w:eastAsia="宋体" w:cs="宋体" w:hAnsi="宋体" w:hint="eastAsia"/>
              <w:sz w:val="24"/>
              <w:szCs w:val="24"/>
            </w:rPr>
            <w:fldChar w:fldCharType="separate"/>
          </w:r>
          <w:r>
            <w:rPr>
              <w:rFonts w:ascii="宋体" w:eastAsia="宋体" w:cs="宋体" w:hAnsi="宋体" w:hint="eastAsia"/>
              <w:sz w:val="24"/>
              <w:szCs w:val="24"/>
              <w:lang w:eastAsia="zh-CN"/>
            </w:rPr>
            <w:t>一、</w:t>
          </w:r>
          <w:r>
            <w:rPr>
              <w:rFonts w:ascii="宋体" w:eastAsia="宋体" w:cs="宋体" w:hAnsi="宋体" w:hint="eastAsia"/>
              <w:sz w:val="24"/>
              <w:szCs w:val="24"/>
              <w:lang w:eastAsia="zh-CN"/>
              <w:highlight w:val="auto"/>
            </w:rPr>
            <w:t>部门职责</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_Toc23014 \h </w:instrText>
          </w:r>
          <w:r>
            <w:rPr>
              <w:rFonts w:ascii="宋体" w:eastAsia="宋体" w:cs="宋体" w:hAnsi="宋体" w:hint="eastAsia"/>
              <w:sz w:val="24"/>
              <w:szCs w:val="24"/>
            </w:rPr>
            <w:fldChar w:fldCharType="separate"/>
          </w:r>
          <w:r>
            <w:rPr>
              <w:rFonts w:ascii="宋体" w:eastAsia="宋体" w:cs="宋体" w:hAnsi="宋体" w:hint="eastAsia"/>
              <w:sz w:val="24"/>
              <w:szCs w:val="24"/>
            </w:rPr>
            <w:t>4</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_Toc18069 </w:instrText>
          </w:r>
          <w:r>
            <w:rPr>
              <w:rFonts w:ascii="宋体" w:eastAsia="宋体" w:cs="宋体" w:hAnsi="宋体" w:hint="eastAsia"/>
              <w:sz w:val="24"/>
              <w:szCs w:val="24"/>
            </w:rPr>
            <w:fldChar w:fldCharType="separate"/>
          </w:r>
          <w:r>
            <w:rPr>
              <w:rFonts w:ascii="宋体" w:eastAsia="宋体" w:cs="宋体" w:hAnsi="宋体" w:hint="eastAsia"/>
              <w:sz w:val="24"/>
              <w:szCs w:val="24"/>
              <w:highlight w:val="auto"/>
            </w:rPr>
            <w:t>二、机</w:t>
          </w:r>
          <w:r>
            <w:rPr>
              <w:rFonts w:ascii="宋体" w:eastAsia="宋体" w:cs="宋体" w:hAnsi="宋体" w:hint="eastAsia"/>
              <w:bCs w:val="0"/>
              <w:sz w:val="24"/>
              <w:szCs w:val="24"/>
              <w:highlight w:val="auto"/>
            </w:rPr>
            <w:t>构设置</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_Toc18069 \h </w:instrText>
          </w:r>
          <w:r>
            <w:rPr>
              <w:rFonts w:ascii="宋体" w:eastAsia="宋体" w:cs="宋体" w:hAnsi="宋体" w:hint="eastAsia"/>
              <w:sz w:val="24"/>
              <w:szCs w:val="24"/>
            </w:rPr>
            <w:fldChar w:fldCharType="separate"/>
          </w:r>
          <w:r>
            <w:rPr>
              <w:rFonts w:ascii="宋体" w:eastAsia="宋体" w:cs="宋体" w:hAnsi="宋体" w:hint="eastAsia"/>
              <w:sz w:val="24"/>
              <w:szCs w:val="24"/>
            </w:rPr>
            <w:t>4</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_Toc54 </w:instrText>
          </w:r>
          <w:r>
            <w:rPr>
              <w:rFonts w:ascii="宋体" w:eastAsia="宋体" w:cs="宋体" w:hAnsi="宋体" w:hint="eastAsia"/>
              <w:sz w:val="24"/>
              <w:szCs w:val="24"/>
            </w:rPr>
            <w:fldChar w:fldCharType="separate"/>
          </w:r>
          <w:r>
            <w:rPr>
              <w:rFonts w:ascii="仿宋" w:eastAsia="仿宋" w:cs="仿宋" w:hAnsi="仿宋" w:hint="eastAsia"/>
              <w:bCs/>
              <w:sz w:val="24"/>
              <w:szCs w:val="24"/>
              <w:highlight w:val="auto"/>
            </w:rPr>
            <w:t xml:space="preserve">第二部分 </w:t>
          </w:r>
          <w:r>
            <w:rPr>
              <w:rFonts w:ascii="仿宋" w:eastAsia="仿宋" w:cs="仿宋" w:hAnsi="仿宋" w:hint="eastAsia"/>
              <w:bCs/>
              <w:sz w:val="24"/>
              <w:szCs w:val="24"/>
              <w:lang w:val="en-US" w:eastAsia="zh-CN"/>
              <w:highlight w:val="auto"/>
            </w:rPr>
            <w:t>2022年度</w:t>
          </w:r>
          <w:r>
            <w:rPr>
              <w:rFonts w:ascii="仿宋" w:eastAsia="仿宋" w:cs="仿宋" w:hAnsi="仿宋" w:hint="eastAsia"/>
              <w:bCs/>
              <w:sz w:val="24"/>
              <w:szCs w:val="24"/>
              <w:highlight w:val="auto"/>
            </w:rPr>
            <w:t>部门决算情况说明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_Toc54 \h </w:instrText>
          </w:r>
          <w:r>
            <w:rPr>
              <w:rFonts w:ascii="宋体" w:eastAsia="宋体" w:cs="宋体" w:hAnsi="宋体" w:hint="eastAsia"/>
              <w:sz w:val="24"/>
              <w:szCs w:val="24"/>
            </w:rPr>
            <w:fldChar w:fldCharType="separate"/>
          </w:r>
          <w:r>
            <w:rPr>
              <w:rFonts w:ascii="宋体" w:eastAsia="宋体" w:cs="宋体" w:hAnsi="宋体" w:hint="eastAsia"/>
              <w:sz w:val="24"/>
              <w:szCs w:val="24"/>
            </w:rPr>
            <w:t>6</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_Toc30581 </w:instrText>
          </w:r>
          <w:r>
            <w:rPr>
              <w:rFonts w:ascii="宋体" w:eastAsia="宋体" w:cs="宋体" w:hAnsi="宋体" w:hint="eastAsia"/>
              <w:sz w:val="24"/>
              <w:szCs w:val="24"/>
            </w:rPr>
            <w:fldChar w:fldCharType="separate"/>
          </w:r>
          <w:r>
            <w:rPr>
              <w:rFonts w:ascii="宋体" w:eastAsia="宋体" w:cs="宋体" w:hAnsi="宋体" w:hint="eastAsia"/>
              <w:sz w:val="24"/>
              <w:szCs w:val="24"/>
            </w:rPr>
            <w:t xml:space="preserve">一、 </w:t>
          </w:r>
          <w:r>
            <w:rPr>
              <w:rFonts w:ascii="宋体" w:eastAsia="宋体" w:cs="宋体" w:hAnsi="宋体" w:hint="eastAsia"/>
              <w:sz w:val="24"/>
              <w:szCs w:val="24"/>
              <w:highlight w:val="auto"/>
            </w:rPr>
            <w:t>收入支出决算总体情况说明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_Toc30581 \h </w:instrText>
          </w:r>
          <w:r>
            <w:rPr>
              <w:rFonts w:ascii="宋体" w:eastAsia="宋体" w:cs="宋体" w:hAnsi="宋体" w:hint="eastAsia"/>
              <w:sz w:val="24"/>
              <w:szCs w:val="24"/>
            </w:rPr>
            <w:fldChar w:fldCharType="separate"/>
          </w:r>
          <w:r>
            <w:rPr>
              <w:rFonts w:ascii="宋体" w:eastAsia="宋体" w:cs="宋体" w:hAnsi="宋体" w:hint="eastAsia"/>
              <w:sz w:val="24"/>
              <w:szCs w:val="24"/>
            </w:rPr>
            <w:t>6</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_Toc31682 </w:instrText>
          </w:r>
          <w:r>
            <w:rPr>
              <w:rFonts w:ascii="宋体" w:eastAsia="宋体" w:cs="宋体" w:hAnsi="宋体" w:hint="eastAsia"/>
              <w:sz w:val="24"/>
              <w:szCs w:val="24"/>
            </w:rPr>
            <w:fldChar w:fldCharType="separate"/>
          </w:r>
          <w:r>
            <w:rPr>
              <w:rFonts w:ascii="宋体" w:eastAsia="宋体" w:cs="宋体" w:hAnsi="宋体" w:hint="eastAsia"/>
              <w:sz w:val="24"/>
              <w:szCs w:val="24"/>
            </w:rPr>
            <w:t xml:space="preserve">二、 </w:t>
          </w:r>
          <w:r>
            <w:rPr>
              <w:rFonts w:ascii="宋体" w:eastAsia="宋体" w:cs="宋体" w:hAnsi="宋体" w:hint="eastAsia"/>
              <w:sz w:val="24"/>
              <w:szCs w:val="24"/>
              <w:highlight w:val="auto"/>
            </w:rPr>
            <w:t>收入决算情况说明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_Toc31682 \h </w:instrText>
          </w:r>
          <w:r>
            <w:rPr>
              <w:rFonts w:ascii="宋体" w:eastAsia="宋体" w:cs="宋体" w:hAnsi="宋体" w:hint="eastAsia"/>
              <w:sz w:val="24"/>
              <w:szCs w:val="24"/>
            </w:rPr>
            <w:fldChar w:fldCharType="separate"/>
          </w:r>
          <w:r>
            <w:rPr>
              <w:rFonts w:ascii="宋体" w:eastAsia="宋体" w:cs="宋体" w:hAnsi="宋体" w:hint="eastAsia"/>
              <w:sz w:val="24"/>
              <w:szCs w:val="24"/>
            </w:rPr>
            <w:t>6</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_Toc28020 </w:instrText>
          </w:r>
          <w:r>
            <w:rPr>
              <w:rFonts w:ascii="宋体" w:eastAsia="宋体" w:cs="宋体" w:hAnsi="宋体" w:hint="eastAsia"/>
              <w:sz w:val="24"/>
              <w:szCs w:val="24"/>
            </w:rPr>
            <w:fldChar w:fldCharType="separate"/>
          </w:r>
          <w:r>
            <w:rPr>
              <w:rFonts w:ascii="宋体" w:eastAsia="宋体" w:cs="宋体" w:hAnsi="宋体" w:hint="eastAsia"/>
              <w:sz w:val="24"/>
              <w:szCs w:val="24"/>
            </w:rPr>
            <w:t xml:space="preserve">三、 </w:t>
          </w:r>
          <w:r>
            <w:rPr>
              <w:rFonts w:ascii="宋体" w:eastAsia="宋体" w:cs="宋体" w:hAnsi="宋体" w:hint="eastAsia"/>
              <w:sz w:val="24"/>
              <w:szCs w:val="24"/>
              <w:highlight w:val="auto"/>
            </w:rPr>
            <w:t>支出决算情况说明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_Toc28020 \h </w:instrText>
          </w:r>
          <w:r>
            <w:rPr>
              <w:rFonts w:ascii="宋体" w:eastAsia="宋体" w:cs="宋体" w:hAnsi="宋体" w:hint="eastAsia"/>
              <w:sz w:val="24"/>
              <w:szCs w:val="24"/>
            </w:rPr>
            <w:fldChar w:fldCharType="separate"/>
          </w:r>
          <w:r>
            <w:rPr>
              <w:rFonts w:ascii="宋体" w:eastAsia="宋体" w:cs="宋体" w:hAnsi="宋体" w:hint="eastAsia"/>
              <w:sz w:val="24"/>
              <w:szCs w:val="24"/>
            </w:rPr>
            <w:t>7</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_Toc9855 </w:instrText>
          </w:r>
          <w:r>
            <w:rPr>
              <w:rFonts w:ascii="宋体" w:eastAsia="宋体" w:cs="宋体" w:hAnsi="宋体" w:hint="eastAsia"/>
              <w:sz w:val="24"/>
              <w:szCs w:val="24"/>
            </w:rPr>
            <w:fldChar w:fldCharType="separate"/>
          </w:r>
          <w:r>
            <w:rPr>
              <w:rFonts w:ascii="宋体" w:eastAsia="宋体" w:cs="宋体" w:hAnsi="宋体" w:hint="eastAsia"/>
              <w:sz w:val="24"/>
              <w:szCs w:val="24"/>
              <w:highlight w:val="auto"/>
            </w:rPr>
            <w:t>四、财政拨款收入支出决算总体情况说明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_Toc9855 \h </w:instrText>
          </w:r>
          <w:r>
            <w:rPr>
              <w:rFonts w:ascii="宋体" w:eastAsia="宋体" w:cs="宋体" w:hAnsi="宋体" w:hint="eastAsia"/>
              <w:sz w:val="24"/>
              <w:szCs w:val="24"/>
            </w:rPr>
            <w:fldChar w:fldCharType="separate"/>
          </w:r>
          <w:r>
            <w:rPr>
              <w:rFonts w:ascii="宋体" w:eastAsia="宋体" w:cs="宋体" w:hAnsi="宋体" w:hint="eastAsia"/>
              <w:sz w:val="24"/>
              <w:szCs w:val="24"/>
            </w:rPr>
            <w:t>7</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_Toc29478 </w:instrText>
          </w:r>
          <w:r>
            <w:rPr>
              <w:rFonts w:ascii="宋体" w:eastAsia="宋体" w:cs="宋体" w:hAnsi="宋体" w:hint="eastAsia"/>
              <w:sz w:val="24"/>
              <w:szCs w:val="24"/>
            </w:rPr>
            <w:fldChar w:fldCharType="separate"/>
          </w:r>
          <w:r>
            <w:rPr>
              <w:rFonts w:ascii="宋体" w:eastAsia="宋体" w:cs="宋体" w:hAnsi="宋体" w:hint="eastAsia"/>
              <w:sz w:val="24"/>
              <w:szCs w:val="24"/>
              <w:highlight w:val="auto"/>
            </w:rPr>
            <w:t>五、一般公共预算财政拨款支出决算情况说明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_Toc29478 \h </w:instrText>
          </w:r>
          <w:r>
            <w:rPr>
              <w:rFonts w:ascii="宋体" w:eastAsia="宋体" w:cs="宋体" w:hAnsi="宋体" w:hint="eastAsia"/>
              <w:sz w:val="24"/>
              <w:szCs w:val="24"/>
            </w:rPr>
            <w:fldChar w:fldCharType="separate"/>
          </w:r>
          <w:r>
            <w:rPr>
              <w:rFonts w:ascii="宋体" w:eastAsia="宋体" w:cs="宋体" w:hAnsi="宋体" w:hint="eastAsia"/>
              <w:sz w:val="24"/>
              <w:szCs w:val="24"/>
            </w:rPr>
            <w:t>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_Toc32585 </w:instrText>
          </w:r>
          <w:r>
            <w:rPr>
              <w:rFonts w:ascii="宋体" w:eastAsia="宋体" w:cs="宋体" w:hAnsi="宋体" w:hint="eastAsia"/>
              <w:sz w:val="24"/>
              <w:szCs w:val="24"/>
            </w:rPr>
            <w:fldChar w:fldCharType="separate"/>
          </w:r>
          <w:r>
            <w:rPr>
              <w:rFonts w:ascii="宋体" w:eastAsia="宋体" w:cs="宋体" w:hAnsi="宋体" w:hint="eastAsia"/>
              <w:sz w:val="24"/>
              <w:szCs w:val="24"/>
              <w:highlight w:val="auto"/>
            </w:rPr>
            <w:t>六、一般公共预算财政拨款基本支出决算情况说明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_Toc32585 \h </w:instrText>
          </w:r>
          <w:r>
            <w:rPr>
              <w:rFonts w:ascii="宋体" w:eastAsia="宋体" w:cs="宋体" w:hAnsi="宋体" w:hint="eastAsia"/>
              <w:sz w:val="24"/>
              <w:szCs w:val="24"/>
            </w:rPr>
            <w:fldChar w:fldCharType="separate"/>
          </w:r>
          <w:r>
            <w:rPr>
              <w:rFonts w:ascii="宋体" w:eastAsia="宋体" w:cs="宋体" w:hAnsi="宋体" w:hint="eastAsia"/>
              <w:sz w:val="24"/>
              <w:szCs w:val="24"/>
            </w:rPr>
            <w:t>12</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_Toc14406 </w:instrText>
          </w:r>
          <w:r>
            <w:rPr>
              <w:rFonts w:ascii="宋体" w:eastAsia="宋体" w:cs="宋体" w:hAnsi="宋体" w:hint="eastAsia"/>
              <w:sz w:val="24"/>
              <w:szCs w:val="24"/>
            </w:rPr>
            <w:fldChar w:fldCharType="separate"/>
          </w:r>
          <w:r>
            <w:rPr>
              <w:rFonts w:ascii="宋体" w:eastAsia="宋体" w:cs="宋体" w:hAnsi="宋体" w:hint="eastAsia"/>
              <w:sz w:val="24"/>
              <w:szCs w:val="24"/>
              <w:highlight w:val="auto"/>
            </w:rPr>
            <w:t>七、财政拨款“三公”经费支出决算情况说明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_Toc14406 \h </w:instrText>
          </w:r>
          <w:r>
            <w:rPr>
              <w:rFonts w:ascii="宋体" w:eastAsia="宋体" w:cs="宋体" w:hAnsi="宋体" w:hint="eastAsia"/>
              <w:sz w:val="24"/>
              <w:szCs w:val="24"/>
            </w:rPr>
            <w:fldChar w:fldCharType="separate"/>
          </w:r>
          <w:r>
            <w:rPr>
              <w:rFonts w:ascii="宋体" w:eastAsia="宋体" w:cs="宋体" w:hAnsi="宋体" w:hint="eastAsia"/>
              <w:sz w:val="24"/>
              <w:szCs w:val="24"/>
            </w:rPr>
            <w:t>12</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_Toc6675 </w:instrText>
          </w:r>
          <w:r>
            <w:rPr>
              <w:rFonts w:ascii="宋体" w:eastAsia="宋体" w:cs="宋体" w:hAnsi="宋体" w:hint="eastAsia"/>
              <w:sz w:val="24"/>
              <w:szCs w:val="24"/>
            </w:rPr>
            <w:fldChar w:fldCharType="separate"/>
          </w:r>
          <w:r>
            <w:rPr>
              <w:rFonts w:ascii="宋体" w:eastAsia="宋体" w:cs="宋体" w:hAnsi="宋体" w:hint="eastAsia"/>
              <w:sz w:val="24"/>
              <w:szCs w:val="24"/>
              <w:highlight w:val="auto"/>
            </w:rPr>
            <w:t>八、政府性基金预算支出决算情况说明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_Toc6675 \h </w:instrText>
          </w:r>
          <w:r>
            <w:rPr>
              <w:rFonts w:ascii="宋体" w:eastAsia="宋体" w:cs="宋体" w:hAnsi="宋体" w:hint="eastAsia"/>
              <w:sz w:val="24"/>
              <w:szCs w:val="24"/>
            </w:rPr>
            <w:fldChar w:fldCharType="separate"/>
          </w:r>
          <w:r>
            <w:rPr>
              <w:rFonts w:ascii="宋体" w:eastAsia="宋体" w:cs="宋体" w:hAnsi="宋体" w:hint="eastAsia"/>
              <w:sz w:val="24"/>
              <w:szCs w:val="24"/>
            </w:rPr>
            <w:t>14</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_Toc8083 </w:instrText>
          </w:r>
          <w:r>
            <w:rPr>
              <w:rFonts w:ascii="宋体" w:eastAsia="宋体" w:cs="宋体" w:hAnsi="宋体" w:hint="eastAsia"/>
              <w:sz w:val="24"/>
              <w:szCs w:val="24"/>
            </w:rPr>
            <w:fldChar w:fldCharType="separate"/>
          </w:r>
          <w:r>
            <w:rPr>
              <w:rFonts w:ascii="宋体" w:eastAsia="宋体" w:cs="宋体" w:hAnsi="宋体" w:hint="eastAsia"/>
              <w:sz w:val="24"/>
              <w:szCs w:val="24"/>
            </w:rPr>
            <w:t xml:space="preserve">九、 </w:t>
          </w:r>
          <w:r>
            <w:rPr>
              <w:rFonts w:ascii="宋体" w:eastAsia="宋体" w:cs="宋体" w:hAnsi="宋体" w:hint="eastAsia"/>
              <w:sz w:val="24"/>
              <w:szCs w:val="24"/>
              <w:highlight w:val="auto"/>
            </w:rPr>
            <w:t>国有资本经营预算支出决算情况说明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_Toc8083 \h </w:instrText>
          </w:r>
          <w:r>
            <w:rPr>
              <w:rFonts w:ascii="宋体" w:eastAsia="宋体" w:cs="宋体" w:hAnsi="宋体" w:hint="eastAsia"/>
              <w:sz w:val="24"/>
              <w:szCs w:val="24"/>
            </w:rPr>
            <w:fldChar w:fldCharType="separate"/>
          </w:r>
          <w:r>
            <w:rPr>
              <w:rFonts w:ascii="宋体" w:eastAsia="宋体" w:cs="宋体" w:hAnsi="宋体" w:hint="eastAsia"/>
              <w:sz w:val="24"/>
              <w:szCs w:val="24"/>
            </w:rPr>
            <w:t>14</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_Toc23242 </w:instrText>
          </w:r>
          <w:r>
            <w:rPr>
              <w:rFonts w:ascii="宋体" w:eastAsia="宋体" w:cs="宋体" w:hAnsi="宋体" w:hint="eastAsia"/>
              <w:sz w:val="24"/>
              <w:szCs w:val="24"/>
            </w:rPr>
            <w:fldChar w:fldCharType="separate"/>
          </w:r>
          <w:r>
            <w:rPr>
              <w:rFonts w:ascii="宋体" w:eastAsia="宋体" w:cs="宋体" w:hAnsi="宋体" w:hint="eastAsia"/>
              <w:sz w:val="24"/>
              <w:szCs w:val="24"/>
            </w:rPr>
            <w:t xml:space="preserve">十、 </w:t>
          </w:r>
          <w:r>
            <w:rPr>
              <w:rFonts w:ascii="宋体" w:eastAsia="宋体" w:cs="宋体" w:hAnsi="宋体" w:hint="eastAsia"/>
              <w:sz w:val="24"/>
              <w:szCs w:val="24"/>
              <w:highlight w:val="auto"/>
            </w:rPr>
            <w:t>其他重要事项的情况说明</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_Toc23242 \h </w:instrText>
          </w:r>
          <w:r>
            <w:rPr>
              <w:rFonts w:ascii="宋体" w:eastAsia="宋体" w:cs="宋体" w:hAnsi="宋体" w:hint="eastAsia"/>
              <w:sz w:val="24"/>
              <w:szCs w:val="24"/>
            </w:rPr>
            <w:fldChar w:fldCharType="separate"/>
          </w:r>
          <w:r>
            <w:rPr>
              <w:rFonts w:ascii="宋体" w:eastAsia="宋体" w:cs="宋体" w:hAnsi="宋体" w:hint="eastAsia"/>
              <w:sz w:val="24"/>
              <w:szCs w:val="24"/>
            </w:rPr>
            <w:t>14</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_Toc8367 </w:instrText>
          </w:r>
          <w:r>
            <w:rPr>
              <w:rFonts w:ascii="仿宋" w:eastAsia="仿宋" w:cs="仿宋" w:hAnsi="仿宋" w:hint="eastAsia"/>
              <w:sz w:val="24"/>
              <w:szCs w:val="24"/>
            </w:rPr>
            <w:fldChar w:fldCharType="separate"/>
          </w:r>
          <w:r>
            <w:rPr>
              <w:rFonts w:ascii="仿宋" w:eastAsia="仿宋" w:cs="仿宋" w:hAnsi="仿宋" w:hint="eastAsia"/>
              <w:sz w:val="24"/>
              <w:szCs w:val="24"/>
            </w:rPr>
            <w:t xml:space="preserve">第三部分 </w:t>
          </w:r>
          <w:r>
            <w:rPr>
              <w:rFonts w:ascii="仿宋" w:eastAsia="仿宋" w:cs="仿宋" w:hAnsi="仿宋" w:hint="eastAsia"/>
              <w:sz w:val="24"/>
              <w:szCs w:val="24"/>
              <w:highlight w:val="auto"/>
            </w:rPr>
            <w:t>名词解释</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_Toc8367 \h </w:instrText>
          </w:r>
          <w:r>
            <w:rPr>
              <w:rFonts w:ascii="仿宋" w:eastAsia="仿宋" w:cs="仿宋" w:hAnsi="仿宋" w:hint="eastAsia"/>
              <w:sz w:val="24"/>
              <w:szCs w:val="24"/>
            </w:rPr>
            <w:fldChar w:fldCharType="separate"/>
          </w:r>
          <w:r>
            <w:rPr>
              <w:rFonts w:ascii="仿宋" w:eastAsia="仿宋" w:cs="仿宋" w:hAnsi="仿宋" w:hint="eastAsia"/>
              <w:sz w:val="24"/>
              <w:szCs w:val="24"/>
            </w:rPr>
            <w:t>19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_Toc6224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第四部分 附件</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_Toc6224 \h </w:instrText>
          </w:r>
          <w:r>
            <w:rPr>
              <w:rFonts w:ascii="仿宋" w:eastAsia="仿宋" w:cs="仿宋" w:hAnsi="仿宋" w:hint="eastAsia"/>
              <w:sz w:val="24"/>
              <w:szCs w:val="24"/>
            </w:rPr>
            <w:fldChar w:fldCharType="separate"/>
          </w:r>
          <w:r>
            <w:rPr>
              <w:rFonts w:ascii="仿宋" w:eastAsia="仿宋" w:cs="仿宋" w:hAnsi="仿宋" w:hint="eastAsia"/>
              <w:sz w:val="24"/>
              <w:szCs w:val="24"/>
            </w:rPr>
            <w:t>23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_Toc1459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第五部分 附表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_Toc1459 \h </w:instrText>
          </w:r>
          <w:r>
            <w:rPr>
              <w:rFonts w:ascii="仿宋" w:eastAsia="仿宋" w:cs="仿宋" w:hAnsi="仿宋" w:hint="eastAsia"/>
              <w:sz w:val="24"/>
              <w:szCs w:val="24"/>
            </w:rPr>
            <w:fldChar w:fldCharType="separate"/>
          </w:r>
          <w:r>
            <w:rPr>
              <w:rFonts w:ascii="仿宋" w:eastAsia="仿宋" w:cs="仿宋" w:hAnsi="仿宋" w:hint="eastAsia"/>
              <w:sz w:val="24"/>
              <w:szCs w:val="24"/>
            </w:rPr>
            <w:t>88</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_Toc28714 </w:instrText>
          </w:r>
          <w:r>
            <w:rPr>
              <w:rFonts w:ascii="宋体" w:eastAsia="宋体" w:cs="宋体" w:hAnsi="宋体" w:hint="eastAsia"/>
              <w:sz w:val="24"/>
              <w:szCs w:val="24"/>
            </w:rPr>
            <w:fldChar w:fldCharType="separate"/>
          </w:r>
          <w:r>
            <w:rPr>
              <w:rFonts w:ascii="宋体" w:eastAsia="宋体" w:cs="宋体" w:hAnsi="宋体" w:hint="eastAsia"/>
              <w:bCs/>
              <w:kern w:val="2"/>
              <w:sz w:val="24"/>
              <w:szCs w:val="24"/>
              <w:lang w:val="en-US" w:eastAsia="zh-CN" w:bidi="ar-SA"/>
              <w:highlight w:val="auto"/>
            </w:rPr>
            <w:t>一、收入支出决算总表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_Toc28714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_Toc19089 </w:instrText>
          </w:r>
          <w:r>
            <w:rPr>
              <w:rFonts w:ascii="宋体" w:eastAsia="宋体" w:cs="宋体" w:hAnsi="宋体" w:hint="eastAsia"/>
              <w:sz w:val="24"/>
              <w:szCs w:val="24"/>
            </w:rPr>
            <w:fldChar w:fldCharType="separate"/>
          </w:r>
          <w:r>
            <w:rPr>
              <w:rFonts w:ascii="宋体" w:eastAsia="宋体" w:cs="宋体" w:hAnsi="宋体" w:hint="eastAsia"/>
              <w:sz w:val="24"/>
              <w:szCs w:val="24"/>
              <w:highlight w:val="auto"/>
            </w:rPr>
            <w:t>二、收</w:t>
          </w:r>
          <w:r>
            <w:rPr>
              <w:rFonts w:ascii="宋体" w:eastAsia="宋体" w:cs="宋体" w:hAnsi="宋体" w:hint="eastAsia"/>
              <w:bCs w:val="0"/>
              <w:sz w:val="24"/>
              <w:szCs w:val="24"/>
              <w:highlight w:val="auto"/>
            </w:rPr>
            <w:t>入决算表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_Toc19089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_Toc6371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三、</w:t>
          </w:r>
          <w:r>
            <w:rPr>
              <w:rFonts w:ascii="宋体" w:eastAsia="宋体" w:cs="宋体" w:hAnsi="宋体" w:hint="eastAsia"/>
              <w:sz w:val="24"/>
              <w:szCs w:val="24"/>
              <w:highlight w:val="auto"/>
            </w:rPr>
            <w:t>支</w:t>
          </w:r>
          <w:r>
            <w:rPr>
              <w:rFonts w:ascii="宋体" w:eastAsia="宋体" w:cs="宋体" w:hAnsi="宋体" w:hint="eastAsia"/>
              <w:bCs w:val="0"/>
              <w:sz w:val="24"/>
              <w:szCs w:val="24"/>
              <w:highlight w:val="auto"/>
            </w:rPr>
            <w:t>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_Toc6371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_Toc21643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四、</w:t>
          </w:r>
          <w:r>
            <w:rPr>
              <w:rFonts w:ascii="宋体" w:eastAsia="宋体" w:cs="宋体" w:hAnsi="宋体" w:hint="eastAsia"/>
              <w:sz w:val="24"/>
              <w:szCs w:val="24"/>
              <w:highlight w:val="auto"/>
            </w:rPr>
            <w:t>财</w:t>
          </w:r>
          <w:r>
            <w:rPr>
              <w:rFonts w:ascii="宋体" w:eastAsia="宋体" w:cs="宋体" w:hAnsi="宋体" w:hint="eastAsia"/>
              <w:bCs w:val="0"/>
              <w:sz w:val="24"/>
              <w:szCs w:val="24"/>
              <w:highlight w:val="auto"/>
            </w:rPr>
            <w:t>政拨款收入支出决算总表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_Toc21643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_Toc12330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五、</w:t>
          </w:r>
          <w:r>
            <w:rPr>
              <w:rFonts w:ascii="宋体" w:eastAsia="宋体" w:cs="宋体" w:hAnsi="宋体" w:hint="eastAsia"/>
              <w:sz w:val="24"/>
              <w:szCs w:val="24"/>
              <w:highlight w:val="auto"/>
            </w:rPr>
            <w:t>财</w:t>
          </w:r>
          <w:r>
            <w:rPr>
              <w:rFonts w:ascii="宋体" w:eastAsia="宋体" w:cs="宋体" w:hAnsi="宋体" w:hint="eastAsia"/>
              <w:bCs w:val="0"/>
              <w:sz w:val="24"/>
              <w:szCs w:val="24"/>
              <w:highlight w:val="auto"/>
            </w:rPr>
            <w:t>政拨款支出决算明细表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_Toc12330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_Toc10811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六、</w:t>
          </w:r>
          <w:r>
            <w:rPr>
              <w:rFonts w:ascii="宋体" w:eastAsia="宋体" w:cs="宋体" w:hAnsi="宋体" w:hint="eastAsia"/>
              <w:sz w:val="24"/>
              <w:szCs w:val="24"/>
              <w:highlight w:val="auto"/>
            </w:rPr>
            <w:t>一</w:t>
          </w:r>
          <w:r>
            <w:rPr>
              <w:rFonts w:ascii="宋体" w:eastAsia="宋体" w:cs="宋体" w:hAnsi="宋体" w:hint="eastAsia"/>
              <w:bCs w:val="0"/>
              <w:sz w:val="24"/>
              <w:szCs w:val="24"/>
              <w:highlight w:val="auto"/>
            </w:rPr>
            <w:t>般公共预算财政拨款支出决算表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_Toc10811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_Toc11057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七、</w:t>
          </w:r>
          <w:r>
            <w:rPr>
              <w:rFonts w:ascii="宋体" w:eastAsia="宋体" w:cs="宋体" w:hAnsi="宋体" w:hint="eastAsia"/>
              <w:sz w:val="24"/>
              <w:szCs w:val="24"/>
              <w:highlight w:val="auto"/>
            </w:rPr>
            <w:t>一</w:t>
          </w:r>
          <w:r>
            <w:rPr>
              <w:rFonts w:ascii="宋体" w:eastAsia="宋体" w:cs="宋体" w:hAnsi="宋体" w:hint="eastAsia"/>
              <w:bCs w:val="0"/>
              <w:sz w:val="24"/>
              <w:szCs w:val="24"/>
              <w:highlight w:val="auto"/>
            </w:rPr>
            <w:t>般公共预算财政拨款支出决算明细表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_Toc11057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_Toc22786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八、</w:t>
          </w:r>
          <w:r>
            <w:rPr>
              <w:rFonts w:ascii="宋体" w:eastAsia="宋体" w:cs="宋体" w:hAnsi="宋体" w:hint="eastAsia"/>
              <w:sz w:val="24"/>
              <w:szCs w:val="24"/>
              <w:highlight w:val="auto"/>
            </w:rPr>
            <w:t>一</w:t>
          </w:r>
          <w:r>
            <w:rPr>
              <w:rFonts w:ascii="宋体" w:eastAsia="宋体" w:cs="宋体" w:hAnsi="宋体" w:hint="eastAsia"/>
              <w:bCs w:val="0"/>
              <w:sz w:val="24"/>
              <w:szCs w:val="24"/>
              <w:highlight w:val="auto"/>
            </w:rPr>
            <w:t>般公共预算财政拨款基本支出决算表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_Toc22786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_Toc743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九、</w:t>
          </w:r>
          <w:r>
            <w:rPr>
              <w:rFonts w:ascii="宋体" w:eastAsia="宋体" w:cs="宋体" w:hAnsi="宋体" w:hint="eastAsia"/>
              <w:sz w:val="24"/>
              <w:szCs w:val="24"/>
              <w:highlight w:val="auto"/>
            </w:rPr>
            <w:t>一</w:t>
          </w:r>
          <w:r>
            <w:rPr>
              <w:rFonts w:ascii="宋体" w:eastAsia="宋体" w:cs="宋体" w:hAnsi="宋体" w:hint="eastAsia"/>
              <w:bCs w:val="0"/>
              <w:sz w:val="24"/>
              <w:szCs w:val="24"/>
              <w:highlight w:val="auto"/>
            </w:rPr>
            <w:t>般公共预算财政拨款项目支出决算表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_Toc743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_Toc23261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十、</w:t>
          </w:r>
          <w:r>
            <w:rPr>
              <w:rFonts w:ascii="宋体" w:eastAsia="宋体" w:cs="宋体" w:hAnsi="宋体" w:hint="eastAsia"/>
              <w:sz w:val="24"/>
              <w:szCs w:val="24"/>
              <w:highlight w:val="auto"/>
            </w:rPr>
            <w:t>政</w:t>
          </w:r>
          <w:r>
            <w:rPr>
              <w:rFonts w:ascii="宋体" w:eastAsia="宋体" w:cs="宋体" w:hAnsi="宋体" w:hint="eastAsia"/>
              <w:bCs w:val="0"/>
              <w:sz w:val="24"/>
              <w:szCs w:val="24"/>
              <w:highlight w:val="auto"/>
            </w:rPr>
            <w:t>府性基金预算财政拨款收入支出决算表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_Toc23261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_Toc17142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十一、</w:t>
          </w:r>
          <w:r>
            <w:rPr>
              <w:rFonts w:ascii="宋体" w:eastAsia="宋体" w:cs="宋体" w:hAnsi="宋体" w:hint="eastAsia"/>
              <w:sz w:val="24"/>
              <w:szCs w:val="24"/>
              <w:highlight w:val="auto"/>
            </w:rPr>
            <w:t>国</w:t>
          </w:r>
          <w:r>
            <w:rPr>
              <w:rFonts w:ascii="宋体" w:eastAsia="宋体" w:cs="宋体" w:hAnsi="宋体" w:hint="eastAsia"/>
              <w:bCs w:val="0"/>
              <w:sz w:val="24"/>
              <w:szCs w:val="24"/>
              <w:highlight w:val="auto"/>
            </w:rPr>
            <w:t>有资本经营预算</w:t>
          </w:r>
          <w:r>
            <w:rPr>
              <w:rFonts w:ascii="宋体" w:eastAsia="宋体" w:cs="宋体" w:hAnsi="宋体" w:hint="eastAsia"/>
              <w:bCs w:val="0"/>
              <w:sz w:val="24"/>
              <w:szCs w:val="24"/>
              <w:lang w:eastAsia="zh-CN"/>
              <w:highlight w:val="auto"/>
            </w:rPr>
            <w:t>财政拨款收入</w:t>
          </w:r>
          <w:r>
            <w:rPr>
              <w:rFonts w:ascii="宋体" w:eastAsia="宋体" w:cs="宋体" w:hAnsi="宋体" w:hint="eastAsia"/>
              <w:bCs w:val="0"/>
              <w:sz w:val="24"/>
              <w:szCs w:val="24"/>
              <w:highlight w:val="auto"/>
            </w:rPr>
            <w:t>支出决算表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_Toc17142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rPr>
              <w:rFonts w:ascii="宋体" w:eastAsia="宋体" w:cs="宋体" w:hAnsi="宋体" w:hint="eastAsia"/>
              <w:sz w:val="24"/>
              <w:szCs w:val="24"/>
            </w:rPr>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_Toc10224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十二、</w:t>
          </w:r>
          <w:r>
            <w:rPr>
              <w:rFonts w:ascii="宋体" w:eastAsia="宋体" w:cs="宋体" w:hAnsi="宋体" w:hint="eastAsia"/>
              <w:bCs w:val="0"/>
              <w:sz w:val="24"/>
              <w:szCs w:val="24"/>
              <w:lang w:eastAsia="zh-CN"/>
              <w:highlight w:val="auto"/>
            </w:rPr>
            <w:t>国有资本经营预算财政拨款支出决算表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_Toc10224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440" w:lineRule="exact"/>
            <w:textAlignment w:val="auto"/>
          </w:pP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HYPERLINK \l _Toc6567 </w:instrText>
          </w:r>
          <w:r>
            <w:rPr>
              <w:rFonts w:ascii="宋体" w:eastAsia="宋体" w:cs="宋体" w:hAnsi="宋体" w:hint="eastAsia"/>
              <w:sz w:val="24"/>
              <w:szCs w:val="24"/>
            </w:rPr>
            <w:fldChar w:fldCharType="separate"/>
          </w:r>
          <w:r>
            <w:rPr>
              <w:rFonts w:ascii="宋体" w:eastAsia="宋体" w:cs="宋体" w:hAnsi="宋体" w:hint="eastAsia"/>
              <w:bCs w:val="0"/>
              <w:sz w:val="24"/>
              <w:szCs w:val="24"/>
              <w:highlight w:val="auto"/>
            </w:rPr>
            <w:t>十三、</w:t>
          </w:r>
          <w:r>
            <w:rPr>
              <w:rFonts w:ascii="宋体" w:eastAsia="宋体" w:cs="宋体" w:hAnsi="宋体" w:hint="eastAsia"/>
              <w:bCs w:val="0"/>
              <w:sz w:val="24"/>
              <w:szCs w:val="24"/>
              <w:lang w:eastAsia="zh-CN"/>
              <w:highlight w:val="auto"/>
            </w:rPr>
            <w:t>财政拨款“三公”经费支出决算表</w:t>
          </w:r>
          <w:r>
            <w:rPr>
              <w:rFonts w:ascii="宋体" w:eastAsia="宋体" w:cs="宋体" w:hAnsi="宋体" w:hint="eastAsia"/>
              <w:sz w:val="24"/>
              <w:szCs w:val="24"/>
            </w:rPr>
            <w:tab/>
          </w:r>
          <w:r>
            <w:rPr>
              <w:rFonts w:ascii="宋体" w:eastAsia="宋体" w:cs="宋体" w:hAnsi="宋体" w:hint="eastAsia"/>
              <w:sz w:val="24"/>
              <w:szCs w:val="24"/>
            </w:rPr>
            <w:fldChar w:fldCharType="begin"/>
          </w:r>
          <w:r>
            <w:rPr>
              <w:rFonts w:ascii="宋体" w:eastAsia="宋体" w:cs="宋体" w:hAnsi="宋体" w:hint="eastAsia"/>
              <w:sz w:val="24"/>
              <w:szCs w:val="24"/>
            </w:rPr>
            <w:instrText xml:space="preserve"> PAGEREF _Toc6567 \h </w:instrText>
          </w:r>
          <w:r>
            <w:rPr>
              <w:rFonts w:ascii="宋体" w:eastAsia="宋体" w:cs="宋体" w:hAnsi="宋体" w:hint="eastAsia"/>
              <w:sz w:val="24"/>
              <w:szCs w:val="24"/>
            </w:rPr>
            <w:fldChar w:fldCharType="separate"/>
          </w:r>
          <w:r>
            <w:rPr>
              <w:rFonts w:ascii="宋体" w:eastAsia="宋体" w:cs="宋体" w:hAnsi="宋体" w:hint="eastAsia"/>
              <w:sz w:val="24"/>
              <w:szCs w:val="24"/>
            </w:rPr>
            <w:t>88</w:t>
          </w:r>
          <w:r>
            <w:rPr>
              <w:rFonts w:ascii="宋体" w:eastAsia="宋体" w:cs="宋体" w:hAnsi="宋体" w:hint="eastAsia"/>
              <w:sz w:val="24"/>
              <w:szCs w:val="24"/>
            </w:rPr>
            <w:fldChar w:fldCharType="end"/>
          </w:r>
          <w:r>
            <w:rPr>
              <w:rFonts w:ascii="宋体" w:eastAsia="宋体" w:cs="宋体" w:hAnsi="宋体" w:hint="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0"/>
            <w:jc w:val="left"/>
            <w:textAlignment w:val="auto"/>
          </w:pPr>
          <w:r>
            <w:rPr>
              <w:rFonts w:ascii="宋体" w:eastAsia="宋体" w:cs="宋体" w:hAnsi="宋体" w:hint="eastAsia"/>
              <w:sz w:val="24"/>
              <w:szCs w:val="24"/>
            </w:rPr>
            <w:fldChar w:fldCharType="end"/>
          </w:r>
        </w:p>
      </w:sdtContent>
    </w:sdt>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eastAsia="仿宋" w:hAnsi="仿宋"/>
          <w:bCs/>
          <w:color w:val="auto"/>
          <w:kern w:val="44"/>
          <w:sz w:val="24"/>
          <w:highlight w:val="auto"/>
        </w:rPr>
      </w:pPr>
      <w:bookmarkStart w:id="7" w:name="_Toc15377196"/>
      <w:bookmarkStart w:id="8" w:name="_Toc15396599"/>
      <w:r>
        <w:rPr>
          <w:rFonts w:ascii="仿宋" w:eastAsia="仿宋" w:hAnsi="仿宋"/>
          <w:b/>
          <w:color w:val="auto"/>
          <w:sz w:val="24"/>
          <w:highlight w:val="auto"/>
        </w:rPr>
        <w:br w:type="page"/>
      </w:r>
    </w:p>
    <w:p>
      <w:pPr>
        <w:pStyle w:val="1"/>
        <w:jc w:val="center"/>
        <w:outlineLvl w:val="0"/>
        <w:rPr>
          <w:rStyle w:val="1Char"/>
          <w:rFonts w:ascii="黑体" w:eastAsia="黑体" w:hAnsi="黑体"/>
          <w:b/>
          <w:bCs w:val="0"/>
          <w:color w:val="auto"/>
          <w:highlight w:val="auto"/>
        </w:rPr>
      </w:pPr>
      <w:bookmarkStart w:id="9" w:name="_Toc4092"/>
      <w:r>
        <w:rPr>
          <w:rFonts w:ascii="黑体" w:eastAsia="黑体" w:hAnsi="黑体" w:hint="eastAsia"/>
          <w:b w:val="0"/>
          <w:color w:val="auto"/>
          <w:highlight w:val="auto"/>
        </w:rPr>
        <w:t xml:space="preserve">第一部分 </w:t>
      </w:r>
      <w:r>
        <w:rPr>
          <w:rStyle w:val="1Char"/>
          <w:rFonts w:ascii="黑体" w:eastAsia="黑体" w:hAnsi="黑体" w:hint="eastAsia"/>
          <w:b w:val="0"/>
          <w:bCs w:val="0"/>
          <w:color w:val="auto"/>
          <w:highlight w:val="auto"/>
        </w:rPr>
        <w:t>部门概况</w:t>
      </w:r>
      <w:bookmarkEnd w:id="7"/>
      <w:bookmarkEnd w:id="8"/>
      <w:bookmarkEnd w:id="9"/>
    </w:p>
    <w:p>
      <w:pPr>
        <w:widowControl/>
        <w:jc w:val="left"/>
        <w:rPr>
          <w:rFonts w:ascii="黑体" w:eastAsia="黑体"/>
          <w:color w:val="auto"/>
          <w:sz w:val="32"/>
          <w:szCs w:val="32"/>
          <w:highlight w:val="auto"/>
        </w:rPr>
      </w:pPr>
    </w:p>
    <w:p>
      <w:pPr>
        <w:pStyle w:val="2"/>
        <w:numPr>
          <w:ilvl w:val="0"/>
          <w:numId w:val="1"/>
        </w:numPr>
        <w:outlineLvl w:val="1"/>
        <w:rPr>
          <w:rFonts w:ascii="黑体" w:eastAsia="黑体" w:hAnsi="黑体" w:hint="eastAsia"/>
          <w:b w:val="0"/>
          <w:color w:val="auto"/>
          <w:lang w:eastAsia="zh-CN"/>
          <w:highlight w:val="auto"/>
        </w:rPr>
      </w:pPr>
      <w:bookmarkStart w:id="10" w:name="_Toc23014"/>
      <w:r>
        <w:rPr>
          <w:rFonts w:ascii="黑体" w:eastAsia="黑体" w:hAnsi="黑体" w:hint="eastAsia"/>
          <w:b w:val="0"/>
          <w:color w:val="auto"/>
          <w:lang w:eastAsia="zh-CN"/>
          <w:highlight w:val="auto"/>
        </w:rPr>
        <w:t>部门职责</w:t>
      </w:r>
      <w:bookmarkEnd w:id="10"/>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1、贯彻执行人社事业发展的方针政策和法律法规。</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2、组织实施全区人力资源市场发展规划。</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3、负责就业创业促进工作。</w:t>
      </w:r>
    </w:p>
    <w:p>
      <w:pPr>
        <w:ind w:firstLineChars="250" w:firstLine="800"/>
        <w:rPr>
          <w:rFonts w:ascii="仿宋" w:eastAsia="仿宋" w:hAnsi="仿宋" w:hint="eastAsia"/>
          <w:color w:val="auto"/>
          <w:sz w:val="32"/>
          <w:szCs w:val="32"/>
          <w:lang w:val="en-US" w:eastAsia="zh-CN"/>
          <w:highlight w:val="auto"/>
        </w:rPr>
      </w:pPr>
      <w:r>
        <w:rPr>
          <w:rFonts w:ascii="仿宋" w:eastAsia="仿宋" w:hAnsi="仿宋" w:hint="eastAsia"/>
          <w:color w:val="auto"/>
          <w:sz w:val="32"/>
          <w:szCs w:val="32"/>
          <w:lang w:val="en-US" w:eastAsia="zh-CN"/>
          <w:highlight w:val="auto"/>
        </w:rPr>
        <w:t>4、统筹建立覆盖城乡的多层次社会保障体系。</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5、构建和谐劳动关系。</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6、推进深化职称制度改革。</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7、指导事业单位人事制度改革。</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8、贯彻执行事业单位人员工资收入分配政策。</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9、贯彻执行国家表彰奖励制度。</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10、贯彻执行农民工工作相关政策和规划。</w:t>
      </w:r>
    </w:p>
    <w:p>
      <w:pPr>
        <w:ind w:firstLineChars="250" w:firstLine="80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11、负责人社领域对外交流与合作工作。</w:t>
      </w:r>
    </w:p>
    <w:p>
      <w:pPr>
        <w:ind w:firstLineChars="250" w:firstLine="800"/>
        <w:rPr>
          <w:rFonts w:ascii="仿宋" w:eastAsia="仿宋" w:hAnsi="仿宋"/>
          <w:color w:val="auto"/>
          <w:sz w:val="32"/>
          <w:szCs w:val="32"/>
          <w:lang w:val="en-US" w:eastAsia="zh-CN"/>
          <w:highlight w:val="auto"/>
        </w:rPr>
      </w:pPr>
      <w:r>
        <w:rPr>
          <w:rFonts w:ascii="仿宋" w:eastAsia="仿宋" w:hAnsi="仿宋" w:hint="eastAsia"/>
          <w:color w:val="auto"/>
          <w:sz w:val="32"/>
          <w:szCs w:val="32"/>
          <w:lang w:val="en-US" w:eastAsia="zh-CN"/>
          <w:highlight w:val="auto"/>
        </w:rPr>
        <w:t>12、完成区委、区政府和上级业务主管部门交办的其他事项。</w:t>
      </w:r>
    </w:p>
    <w:p>
      <w:pPr>
        <w:pStyle w:val="2"/>
        <w:rPr>
          <w:rStyle w:val="2Char"/>
          <w:b w:val="0"/>
          <w:bCs w:val="0"/>
          <w:color w:val="auto"/>
          <w:highlight w:val="auto"/>
        </w:rPr>
      </w:pPr>
      <w:bookmarkStart w:id="11" w:name="_Toc15396601"/>
      <w:bookmarkStart w:id="12" w:name="_Toc15377200"/>
      <w:bookmarkStart w:id="13" w:name="_Toc18069"/>
      <w:r>
        <w:rPr>
          <w:rFonts w:ascii="黑体" w:eastAsia="黑体" w:hint="eastAsia"/>
          <w:b w:val="0"/>
          <w:color w:val="auto"/>
          <w:highlight w:val="auto"/>
        </w:rPr>
        <w:t>二、</w:t>
      </w:r>
      <w:r>
        <w:rPr>
          <w:rFonts w:ascii="黑体" w:eastAsia="黑体" w:hAnsi="黑体" w:hint="eastAsia"/>
          <w:b w:val="0"/>
          <w:color w:val="auto"/>
          <w:highlight w:val="auto"/>
        </w:rPr>
        <w:t>机</w:t>
      </w:r>
      <w:r>
        <w:rPr>
          <w:rStyle w:val="2Char"/>
          <w:rFonts w:ascii="黑体" w:eastAsia="黑体" w:hAnsi="黑体" w:hint="eastAsia"/>
          <w:b w:val="0"/>
          <w:bCs w:val="0"/>
          <w:color w:val="auto"/>
          <w:highlight w:val="auto"/>
        </w:rPr>
        <w:t>构设置</w:t>
      </w:r>
      <w:bookmarkEnd w:id="11"/>
      <w:bookmarkEnd w:id="12"/>
      <w:bookmarkEnd w:id="13"/>
    </w:p>
    <w:p>
      <w:pPr>
        <w:ind w:firstLineChars="250" w:firstLine="800"/>
        <w:outlineLvl w:val="9"/>
        <w:rPr>
          <w:rFonts w:ascii="仿宋" w:eastAsia="仿宋" w:hAnsi="仿宋"/>
          <w:color w:val="auto"/>
          <w:sz w:val="32"/>
          <w:szCs w:val="32"/>
          <w:highlight w:val="auto"/>
        </w:rPr>
      </w:pPr>
      <w:r>
        <w:rPr>
          <w:rFonts w:ascii="仿宋" w:eastAsia="仿宋" w:cs="Times New Roman" w:hAnsi="仿宋" w:hint="eastAsia"/>
          <w:color w:val="auto"/>
          <w:sz w:val="32"/>
          <w:szCs w:val="32"/>
          <w:lang w:val="en-US" w:eastAsia="zh-CN"/>
          <w:highlight w:val="auto"/>
        </w:rPr>
        <w:t>利州区人力资源和社会保障局</w:t>
      </w:r>
      <w:r>
        <w:rPr>
          <w:rFonts w:ascii="仿宋" w:eastAsia="仿宋" w:hAnsi="仿宋" w:hint="eastAsia"/>
          <w:color w:val="auto"/>
          <w:sz w:val="32"/>
          <w:szCs w:val="32"/>
          <w:highlight w:val="auto"/>
        </w:rPr>
        <w:t>下属二级</w:t>
      </w:r>
      <w:r>
        <w:rPr>
          <w:rFonts w:ascii="仿宋" w:eastAsia="仿宋" w:hAnsi="仿宋" w:hint="eastAsia"/>
          <w:color w:val="auto"/>
          <w:sz w:val="32"/>
          <w:szCs w:val="32"/>
          <w:lang w:eastAsia="zh-CN"/>
          <w:highlight w:val="auto"/>
        </w:rPr>
        <w:t>预算</w:t>
      </w:r>
      <w:r>
        <w:rPr>
          <w:rFonts w:ascii="仿宋" w:eastAsia="仿宋" w:hAnsi="仿宋" w:hint="eastAsia"/>
          <w:color w:val="auto"/>
          <w:sz w:val="32"/>
          <w:szCs w:val="32"/>
          <w:highlight w:val="auto"/>
        </w:rPr>
        <w:t>单位</w:t>
      </w:r>
      <w:r>
        <w:rPr>
          <w:rFonts w:ascii="仿宋" w:eastAsia="仿宋" w:hAnsi="仿宋" w:hint="eastAsia"/>
          <w:color w:val="auto"/>
          <w:sz w:val="32"/>
          <w:szCs w:val="32"/>
          <w:lang w:val="en-US" w:eastAsia="zh-CN"/>
          <w:highlight w:val="auto"/>
        </w:rPr>
        <w:t>8</w:t>
      </w:r>
      <w:r>
        <w:rPr>
          <w:rFonts w:ascii="仿宋" w:eastAsia="仿宋" w:hAnsi="仿宋" w:hint="eastAsia"/>
          <w:color w:val="auto"/>
          <w:sz w:val="32"/>
          <w:szCs w:val="32"/>
          <w:highlight w:val="auto"/>
        </w:rPr>
        <w:t>个，其中行政单位</w:t>
      </w:r>
      <w:r>
        <w:rPr>
          <w:rFonts w:ascii="仿宋" w:eastAsia="仿宋" w:hAnsi="仿宋" w:hint="eastAsia"/>
          <w:color w:val="auto"/>
          <w:sz w:val="32"/>
          <w:szCs w:val="32"/>
          <w:lang w:val="en-US" w:eastAsia="zh-CN"/>
          <w:highlight w:val="auto"/>
        </w:rPr>
        <w:t>1</w:t>
      </w:r>
      <w:r>
        <w:rPr>
          <w:rFonts w:ascii="仿宋" w:eastAsia="仿宋" w:hAnsi="仿宋" w:hint="eastAsia"/>
          <w:color w:val="auto"/>
          <w:sz w:val="32"/>
          <w:szCs w:val="32"/>
          <w:highlight w:val="auto"/>
        </w:rPr>
        <w:t>个（内设10个股室：办公室、规划财务股、政策法规股、就业促进与失业保险股、职业能力建设股、事业单位人事管理股、专业技术人员管理股、工资福利股、社会保险股、劳动关系股），参照公务员法管理的事业单位</w:t>
      </w:r>
      <w:r>
        <w:rPr>
          <w:rFonts w:ascii="仿宋" w:eastAsia="仿宋" w:hAnsi="仿宋" w:hint="eastAsia"/>
          <w:bCs/>
          <w:color w:val="auto"/>
          <w:sz w:val="32"/>
          <w:szCs w:val="32"/>
          <w:lang w:val="en-US" w:eastAsia="zh-CN"/>
          <w:highlight w:val="auto"/>
        </w:rPr>
        <w:t>3</w:t>
      </w:r>
      <w:r>
        <w:rPr>
          <w:rFonts w:ascii="仿宋" w:eastAsia="仿宋" w:hAnsi="仿宋" w:hint="eastAsia"/>
          <w:color w:val="auto"/>
          <w:sz w:val="32"/>
          <w:szCs w:val="32"/>
          <w:highlight w:val="auto"/>
        </w:rPr>
        <w:t>个，其他事业单位</w:t>
      </w:r>
      <w:r>
        <w:rPr>
          <w:rFonts w:ascii="仿宋" w:eastAsia="仿宋" w:hAnsi="仿宋" w:hint="eastAsia"/>
          <w:color w:val="auto"/>
          <w:sz w:val="32"/>
          <w:szCs w:val="32"/>
          <w:lang w:val="en-US" w:eastAsia="zh-CN"/>
          <w:highlight w:val="auto"/>
        </w:rPr>
        <w:t>4</w:t>
      </w:r>
      <w:r>
        <w:rPr>
          <w:rFonts w:ascii="仿宋" w:eastAsia="仿宋" w:hAnsi="仿宋" w:hint="eastAsia"/>
          <w:color w:val="auto"/>
          <w:sz w:val="32"/>
          <w:szCs w:val="32"/>
          <w:highlight w:val="auto"/>
        </w:rPr>
        <w:t>个。</w:t>
      </w:r>
    </w:p>
    <w:p>
      <w:pPr>
        <w:pStyle w:val="17"/>
        <w:adjustRightInd w:val="0"/>
        <w:snapToGrid w:val="0"/>
        <w:spacing w:beforeLines="0" w:before="93" w:line="600" w:lineRule="exact"/>
        <w:ind w:firstLineChars="209" w:firstLine="672"/>
        <w:outlineLvl w:val="9"/>
        <w:rPr>
          <w:rFonts w:ascii="仿宋" w:eastAsia="仿宋" w:hAnsi="仿宋"/>
          <w:color w:val="auto"/>
          <w:sz w:val="32"/>
          <w:szCs w:val="32"/>
          <w:highlight w:val="auto"/>
        </w:rPr>
      </w:pPr>
      <w:r>
        <w:rPr>
          <w:rFonts w:ascii="仿宋" w:eastAsia="仿宋" w:hAnsi="仿宋" w:hint="eastAsia"/>
          <w:color w:val="auto"/>
          <w:sz w:val="32"/>
          <w:szCs w:val="32"/>
          <w:highlight w:val="auto"/>
        </w:rPr>
        <w:t>纳入</w:t>
      </w:r>
      <w:r>
        <w:rPr>
          <w:rFonts w:ascii="仿宋" w:eastAsia="仿宋" w:cs="Times New Roman" w:hAnsi="仿宋" w:hint="eastAsia"/>
          <w:color w:val="auto"/>
          <w:sz w:val="32"/>
          <w:szCs w:val="32"/>
          <w:lang w:val="en-US" w:eastAsia="zh-CN"/>
          <w:highlight w:val="auto"/>
        </w:rPr>
        <w:t>广元市利州区人力资源和社会保障局</w:t>
      </w: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年度部门决算编制范围的二级预算单位包括：</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cs="Times New Roman" w:hAnsi="仿宋" w:hint="eastAsia"/>
          <w:color w:val="auto"/>
          <w:sz w:val="32"/>
          <w:szCs w:val="32"/>
          <w:lang w:val="en-US" w:eastAsia="zh-CN"/>
          <w:highlight w:val="auto"/>
        </w:rPr>
      </w:pPr>
      <w:bookmarkStart w:id="14" w:name="_Toc15378448"/>
      <w:bookmarkStart w:id="15" w:name="_Toc15306275"/>
      <w:bookmarkStart w:id="16" w:name="_Toc15377432"/>
      <w:bookmarkStart w:id="17" w:name="_Toc15377201"/>
      <w:r>
        <w:rPr>
          <w:rFonts w:ascii="仿宋" w:eastAsia="仿宋" w:cs="Times New Roman" w:hAnsi="仿宋" w:hint="eastAsia"/>
          <w:color w:val="auto"/>
          <w:sz w:val="32"/>
          <w:szCs w:val="32"/>
          <w:lang w:val="en-US" w:eastAsia="zh-CN"/>
          <w:highlight w:val="auto"/>
        </w:rPr>
        <w:t>1.广元市利州区人力资源和社会保障局机关</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cs="Times New Roman" w:hAnsi="仿宋" w:hint="eastAsia"/>
          <w:color w:val="auto"/>
          <w:sz w:val="32"/>
          <w:szCs w:val="32"/>
          <w:lang w:val="en-US" w:eastAsia="zh-CN"/>
          <w:highlight w:val="auto"/>
        </w:rPr>
      </w:pPr>
      <w:r>
        <w:rPr>
          <w:rFonts w:ascii="仿宋" w:eastAsia="仿宋" w:cs="Times New Roman" w:hAnsi="仿宋" w:hint="eastAsia"/>
          <w:color w:val="auto"/>
          <w:sz w:val="32"/>
          <w:szCs w:val="32"/>
          <w:lang w:val="en-US" w:eastAsia="zh-CN"/>
          <w:highlight w:val="auto"/>
        </w:rPr>
        <w:t>2.广元市利州区社会保险事务中心（参照公务员法管理）</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cs="Times New Roman" w:hAnsi="仿宋" w:hint="eastAsia"/>
          <w:color w:val="auto"/>
          <w:sz w:val="32"/>
          <w:szCs w:val="32"/>
          <w:lang w:val="en-US" w:eastAsia="zh-CN"/>
          <w:highlight w:val="auto"/>
        </w:rPr>
      </w:pPr>
      <w:r>
        <w:rPr>
          <w:rFonts w:ascii="仿宋" w:eastAsia="仿宋" w:cs="Times New Roman" w:hAnsi="仿宋" w:hint="eastAsia"/>
          <w:color w:val="auto"/>
          <w:sz w:val="32"/>
          <w:szCs w:val="32"/>
          <w:lang w:val="en-US" w:eastAsia="zh-CN"/>
          <w:highlight w:val="auto"/>
        </w:rPr>
        <w:t>3.广元市利州区就业创业促进中心（参照公务员法管理）</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cs="Times New Roman" w:hAnsi="仿宋" w:hint="eastAsia"/>
          <w:color w:val="auto"/>
          <w:sz w:val="32"/>
          <w:szCs w:val="32"/>
          <w:lang w:val="en-US" w:eastAsia="zh-CN"/>
          <w:highlight w:val="auto"/>
        </w:rPr>
      </w:pPr>
      <w:r>
        <w:rPr>
          <w:rFonts w:ascii="仿宋" w:eastAsia="仿宋" w:cs="Times New Roman" w:hAnsi="仿宋" w:hint="eastAsia"/>
          <w:color w:val="auto"/>
          <w:sz w:val="32"/>
          <w:szCs w:val="32"/>
          <w:lang w:val="en-US" w:eastAsia="zh-CN"/>
          <w:highlight w:val="auto"/>
        </w:rPr>
        <w:t>4.广元市利州区劳动监察综合行政执法大队（参照公务员法管理）</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cs="Times New Roman" w:hAnsi="仿宋" w:hint="eastAsia"/>
          <w:color w:val="auto"/>
          <w:sz w:val="32"/>
          <w:szCs w:val="32"/>
          <w:lang w:val="en-US" w:eastAsia="zh-CN"/>
          <w:highlight w:val="auto"/>
        </w:rPr>
      </w:pPr>
      <w:r>
        <w:rPr>
          <w:rFonts w:ascii="仿宋" w:eastAsia="仿宋" w:cs="Times New Roman" w:hAnsi="仿宋" w:hint="eastAsia"/>
          <w:color w:val="auto"/>
          <w:sz w:val="32"/>
          <w:szCs w:val="32"/>
          <w:lang w:val="en-US" w:eastAsia="zh-CN"/>
          <w:highlight w:val="auto"/>
        </w:rPr>
        <w:t>5.广元市利州区劳动人事争议仲裁院</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cs="Times New Roman" w:hAnsi="仿宋" w:hint="eastAsia"/>
          <w:color w:val="auto"/>
          <w:sz w:val="32"/>
          <w:szCs w:val="32"/>
          <w:lang w:val="en-US" w:eastAsia="zh-CN"/>
          <w:highlight w:val="auto"/>
        </w:rPr>
      </w:pPr>
      <w:r>
        <w:rPr>
          <w:rFonts w:ascii="仿宋" w:eastAsia="仿宋" w:cs="Times New Roman" w:hAnsi="仿宋" w:hint="eastAsia"/>
          <w:color w:val="auto"/>
          <w:sz w:val="32"/>
          <w:szCs w:val="32"/>
          <w:lang w:val="en-US" w:eastAsia="zh-CN"/>
          <w:highlight w:val="auto"/>
        </w:rPr>
        <w:t>6.广元市利州区人力资源服务中心</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cs="Times New Roman" w:hAnsi="仿宋" w:hint="eastAsia"/>
          <w:color w:val="auto"/>
          <w:sz w:val="32"/>
          <w:szCs w:val="32"/>
          <w:lang w:val="en-US" w:eastAsia="zh-CN"/>
          <w:highlight w:val="auto"/>
        </w:rPr>
      </w:pPr>
      <w:r>
        <w:rPr>
          <w:rFonts w:ascii="仿宋" w:eastAsia="仿宋" w:cs="Times New Roman" w:hAnsi="仿宋" w:hint="eastAsia"/>
          <w:color w:val="auto"/>
          <w:sz w:val="32"/>
          <w:szCs w:val="32"/>
          <w:lang w:val="en-US" w:eastAsia="zh-CN"/>
          <w:highlight w:val="auto"/>
        </w:rPr>
        <w:t>7.广元市利州区人才交流中心（区人事考试中心）</w:t>
      </w:r>
    </w:p>
    <w:p>
      <w:pPr>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 w:eastAsia="仿宋" w:hAnsi="仿宋"/>
          <w:color w:val="auto"/>
          <w:kern w:val="0"/>
          <w:sz w:val="32"/>
          <w:szCs w:val="32"/>
          <w:highlight w:val="auto"/>
        </w:rPr>
      </w:pPr>
      <w:r>
        <w:rPr>
          <w:rFonts w:ascii="仿宋" w:eastAsia="仿宋" w:cs="Times New Roman" w:hAnsi="仿宋" w:hint="eastAsia"/>
          <w:color w:val="auto"/>
          <w:sz w:val="32"/>
          <w:szCs w:val="32"/>
          <w:lang w:val="en-US" w:eastAsia="zh-CN"/>
          <w:highlight w:val="auto"/>
        </w:rPr>
        <w:t>8.广元市利州区农民工服务中心</w:t>
      </w:r>
      <w:bookmarkEnd w:id="14"/>
      <w:bookmarkEnd w:id="15"/>
      <w:bookmarkEnd w:id="16"/>
      <w:bookmarkEnd w:id="17"/>
      <w:r>
        <w:rPr>
          <w:rFonts w:ascii="仿宋" w:eastAsia="仿宋" w:hAnsi="仿宋"/>
          <w:color w:val="auto"/>
          <w:sz w:val="32"/>
          <w:szCs w:val="32"/>
          <w:highlight w:val="auto"/>
        </w:rPr>
        <w:br w:type="page"/>
      </w:r>
    </w:p>
    <w:p>
      <w:pPr>
        <w:pStyle w:val="1"/>
        <w:ind w:right="440"/>
        <w:jc w:val="center"/>
        <w:rPr>
          <w:rStyle w:val="1Char"/>
          <w:rFonts w:ascii="黑体" w:eastAsia="黑体" w:hAnsi="黑体"/>
          <w:b w:val="0"/>
          <w:bCs/>
          <w:color w:val="auto"/>
          <w:highlight w:val="auto"/>
        </w:rPr>
      </w:pPr>
      <w:bookmarkStart w:id="18" w:name="_Toc54"/>
      <w:bookmarkStart w:id="19" w:name="_Toc15377204"/>
      <w:bookmarkStart w:id="20" w:name="_Toc15396602"/>
      <w:r>
        <w:rPr>
          <w:rFonts w:ascii="黑体" w:eastAsia="黑体" w:hAnsi="黑体" w:hint="eastAsia"/>
          <w:b w:val="0"/>
          <w:bCs/>
          <w:color w:val="auto"/>
          <w:highlight w:val="auto"/>
        </w:rPr>
        <w:t xml:space="preserve">第二部分 </w:t>
      </w:r>
      <w:r>
        <w:rPr>
          <w:rFonts w:ascii="黑体" w:eastAsia="黑体" w:hAnsi="黑体" w:hint="eastAsia"/>
          <w:b w:val="0"/>
          <w:bCs/>
          <w:color w:val="auto"/>
          <w:lang w:val="en-US" w:eastAsia="zh-CN"/>
          <w:highlight w:val="auto"/>
        </w:rPr>
        <w:t>2022年度</w:t>
      </w:r>
      <w:r>
        <w:rPr>
          <w:rStyle w:val="1Char"/>
          <w:rFonts w:ascii="黑体" w:eastAsia="黑体" w:hAnsi="黑体" w:hint="eastAsia"/>
          <w:b w:val="0"/>
          <w:bCs/>
          <w:color w:val="auto"/>
          <w:highlight w:val="auto"/>
        </w:rPr>
        <w:t>部门决算情况说明</w:t>
      </w:r>
      <w:bookmarkEnd w:id="18"/>
      <w:bookmarkEnd w:id="19"/>
      <w:bookmarkEnd w:id="20"/>
    </w:p>
    <w:p>
      <w:pPr>
        <w:rPr>
          <w:color w:val="auto"/>
          <w:highlight w:val="auto"/>
        </w:rPr>
      </w:pPr>
    </w:p>
    <w:p>
      <w:pPr>
        <w:pStyle w:val="33"/>
        <w:numPr>
          <w:ilvl w:val="0"/>
          <w:numId w:val="2"/>
        </w:numPr>
        <w:spacing w:line="600" w:lineRule="exact"/>
        <w:ind w:firstLineChars="0"/>
        <w:outlineLvl w:val="1"/>
        <w:rPr>
          <w:rStyle w:val="2Char"/>
          <w:rFonts w:ascii="黑体" w:eastAsia="黑体" w:hAnsi="黑体"/>
          <w:b w:val="0"/>
          <w:color w:val="auto"/>
          <w:highlight w:val="auto"/>
        </w:rPr>
      </w:pPr>
      <w:bookmarkStart w:id="21" w:name="_Toc30581"/>
      <w:bookmarkStart w:id="22" w:name="_Toc15377205"/>
      <w:bookmarkStart w:id="23" w:name="_Toc15396603"/>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21"/>
      <w:bookmarkEnd w:id="22"/>
      <w:bookmarkEnd w:id="23"/>
    </w:p>
    <w:p>
      <w:pPr>
        <w:spacing w:line="600" w:lineRule="exact"/>
        <w:ind w:firstLineChars="200" w:firstLine="640"/>
        <w:outlineLvl w:val="9"/>
        <w:rPr>
          <w:rFonts w:ascii="仿宋" w:eastAsia="仿宋" w:hAnsi="仿宋" w:hint="eastAsia"/>
          <w:color w:val="auto"/>
          <w:sz w:val="32"/>
          <w:szCs w:val="32"/>
          <w:lang w:eastAsia="zh-CN"/>
          <w:highlight w:val="auto"/>
        </w:rPr>
      </w:pP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年度收</w:t>
      </w:r>
      <w:r>
        <w:rPr>
          <w:rFonts w:ascii="仿宋" w:eastAsia="仿宋" w:hAnsi="仿宋" w:hint="eastAsia"/>
          <w:color w:val="auto"/>
          <w:sz w:val="32"/>
          <w:szCs w:val="32"/>
          <w:lang w:eastAsia="zh-CN"/>
          <w:highlight w:val="auto"/>
        </w:rPr>
        <w:t>入</w:t>
      </w:r>
      <w:r>
        <w:rPr>
          <w:rFonts w:ascii="仿宋" w:eastAsia="仿宋" w:hAnsi="仿宋" w:hint="eastAsia"/>
          <w:color w:val="auto"/>
          <w:sz w:val="32"/>
          <w:szCs w:val="32"/>
          <w:highlight w:val="auto"/>
        </w:rPr>
        <w:t>总计</w:t>
      </w:r>
      <w:r>
        <w:rPr>
          <w:rFonts w:ascii="仿宋" w:eastAsia="仿宋" w:hAnsi="仿宋" w:hint="eastAsia"/>
          <w:color w:val="auto"/>
          <w:sz w:val="32"/>
          <w:szCs w:val="32"/>
          <w:lang w:val="en-US" w:eastAsia="zh-CN"/>
          <w:highlight w:val="auto"/>
        </w:rPr>
        <w:t>9312.69</w:t>
      </w:r>
      <w:r>
        <w:rPr>
          <w:rFonts w:ascii="仿宋" w:eastAsia="仿宋" w:hAnsi="仿宋" w:hint="eastAsia"/>
          <w:color w:val="auto"/>
          <w:sz w:val="32"/>
          <w:szCs w:val="32"/>
          <w:highlight w:val="auto"/>
        </w:rPr>
        <w:t>万元</w:t>
      </w:r>
      <w:r>
        <w:rPr>
          <w:rFonts w:ascii="仿宋" w:eastAsia="仿宋" w:hAnsi="仿宋" w:hint="eastAsia"/>
          <w:color w:val="auto"/>
          <w:sz w:val="32"/>
          <w:szCs w:val="32"/>
          <w:lang w:eastAsia="zh-CN"/>
          <w:highlight w:val="auto"/>
        </w:rPr>
        <w:t>（含上年结转</w:t>
      </w:r>
      <w:r>
        <w:rPr>
          <w:rFonts w:ascii="仿宋" w:eastAsia="仿宋" w:hAnsi="仿宋" w:hint="eastAsia"/>
          <w:color w:val="auto"/>
          <w:sz w:val="32"/>
          <w:szCs w:val="32"/>
          <w:lang w:val="en-US" w:eastAsia="zh-CN"/>
          <w:highlight w:val="auto"/>
        </w:rPr>
        <w:t>48.57万元</w:t>
      </w:r>
      <w:r>
        <w:rPr>
          <w:rFonts w:ascii="仿宋" w:eastAsia="仿宋" w:hAnsi="仿宋" w:hint="eastAsia"/>
          <w:color w:val="auto"/>
          <w:sz w:val="32"/>
          <w:szCs w:val="32"/>
          <w:lang w:eastAsia="zh-CN"/>
          <w:highlight w:val="auto"/>
        </w:rPr>
        <w:t>）</w:t>
      </w:r>
      <w:r>
        <w:rPr>
          <w:rFonts w:ascii="仿宋" w:eastAsia="仿宋" w:hAnsi="仿宋" w:hint="eastAsia"/>
          <w:color w:val="auto"/>
          <w:sz w:val="32"/>
          <w:szCs w:val="32"/>
          <w:highlight w:val="auto"/>
        </w:rPr>
        <w:t>。与20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年相比，收</w:t>
      </w:r>
      <w:r>
        <w:rPr>
          <w:rFonts w:ascii="仿宋" w:eastAsia="仿宋" w:hAnsi="仿宋" w:hint="eastAsia"/>
          <w:color w:val="auto"/>
          <w:sz w:val="32"/>
          <w:szCs w:val="32"/>
          <w:lang w:eastAsia="zh-CN"/>
          <w:highlight w:val="auto"/>
        </w:rPr>
        <w:t>入</w:t>
      </w:r>
      <w:r>
        <w:rPr>
          <w:rFonts w:ascii="仿宋" w:eastAsia="仿宋" w:hAnsi="仿宋" w:hint="eastAsia"/>
          <w:color w:val="auto"/>
          <w:sz w:val="32"/>
          <w:szCs w:val="32"/>
          <w:highlight w:val="auto"/>
        </w:rPr>
        <w:t>总计增加</w:t>
      </w:r>
      <w:r>
        <w:rPr>
          <w:rFonts w:ascii="仿宋" w:eastAsia="仿宋" w:hAnsi="仿宋" w:hint="eastAsia"/>
          <w:color w:val="auto"/>
          <w:sz w:val="32"/>
          <w:szCs w:val="32"/>
          <w:lang w:val="en-US" w:eastAsia="zh-CN"/>
          <w:highlight w:val="auto"/>
        </w:rPr>
        <w:t>4960.92</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114</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val="en-US" w:eastAsia="zh-CN"/>
          <w:highlight w:val="auto"/>
        </w:rPr>
        <w:t>增加了就业创业补助资金和创业担保贴息补助资金收入</w:t>
      </w:r>
      <w:r>
        <w:rPr>
          <w:rFonts w:ascii="仿宋" w:eastAsia="仿宋" w:hAnsi="仿宋" w:hint="eastAsia"/>
          <w:color w:val="auto"/>
          <w:sz w:val="32"/>
          <w:szCs w:val="32"/>
          <w:lang w:eastAsia="zh-CN"/>
          <w:highlight w:val="auto"/>
        </w:rPr>
        <w:t>。</w:t>
      </w:r>
    </w:p>
    <w:p>
      <w:pPr>
        <w:pStyle w:val="16"/>
        <w:keepNext w:val="0"/>
        <w:keepLines w:val="0"/>
        <w:pageBreakBefore w:val="0"/>
        <w:widowControl w:val="0"/>
        <w:kinsoku/>
        <w:wordWrap/>
        <w:overflowPunct/>
        <w:topLinePunct w:val="0"/>
        <w:autoSpaceDE/>
        <w:autoSpaceDN/>
        <w:bidi w:val="0"/>
        <w:adjustRightInd/>
        <w:snapToGrid/>
        <w:ind w:leftChars="0" w:left="420"/>
        <w:jc w:val="left"/>
        <w:textAlignment w:val="auto"/>
        <w:rPr>
          <w:rFonts w:ascii="仿宋" w:eastAsia="仿宋" w:hAnsi="仿宋" w:hint="eastAsia"/>
          <w:color w:val="auto"/>
          <w:sz w:val="32"/>
          <w:szCs w:val="32"/>
          <w:highlight w:val="auto"/>
        </w:rPr>
      </w:pP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年度支</w:t>
      </w:r>
      <w:r>
        <w:rPr>
          <w:rFonts w:ascii="仿宋" w:eastAsia="仿宋" w:hAnsi="仿宋" w:hint="eastAsia"/>
          <w:color w:val="auto"/>
          <w:sz w:val="32"/>
          <w:szCs w:val="32"/>
          <w:lang w:eastAsia="zh-CN"/>
          <w:highlight w:val="auto"/>
        </w:rPr>
        <w:t>出</w:t>
      </w:r>
      <w:r>
        <w:rPr>
          <w:rFonts w:ascii="仿宋" w:eastAsia="仿宋" w:hAnsi="仿宋" w:hint="eastAsia"/>
          <w:color w:val="auto"/>
          <w:sz w:val="32"/>
          <w:szCs w:val="32"/>
          <w:highlight w:val="auto"/>
        </w:rPr>
        <w:t>总计</w:t>
      </w:r>
      <w:r>
        <w:rPr>
          <w:rFonts w:ascii="仿宋" w:eastAsia="仿宋" w:hAnsi="仿宋" w:hint="eastAsia"/>
          <w:color w:val="auto"/>
          <w:sz w:val="32"/>
          <w:szCs w:val="32"/>
          <w:lang w:val="en-US" w:eastAsia="zh-CN"/>
          <w:highlight w:val="auto"/>
        </w:rPr>
        <w:t>9312.69</w:t>
      </w:r>
      <w:r>
        <w:rPr>
          <w:rFonts w:ascii="仿宋" w:eastAsia="仿宋" w:hAnsi="仿宋" w:hint="eastAsia"/>
          <w:color w:val="auto"/>
          <w:sz w:val="32"/>
          <w:szCs w:val="32"/>
          <w:highlight w:val="auto"/>
        </w:rPr>
        <w:t>万元</w:t>
      </w:r>
      <w:r>
        <w:rPr>
          <w:rFonts w:ascii="仿宋" w:eastAsia="仿宋" w:hAnsi="仿宋" w:hint="eastAsia"/>
          <w:color w:val="auto"/>
          <w:sz w:val="32"/>
          <w:szCs w:val="32"/>
          <w:lang w:eastAsia="zh-CN"/>
          <w:highlight w:val="auto"/>
        </w:rPr>
        <w:t>（含年末结转和结余</w:t>
      </w:r>
      <w:r>
        <w:rPr>
          <w:rFonts w:ascii="仿宋" w:eastAsia="仿宋" w:hAnsi="仿宋" w:hint="eastAsia"/>
          <w:color w:val="auto"/>
          <w:sz w:val="32"/>
          <w:szCs w:val="32"/>
          <w:lang w:val="en-US" w:eastAsia="zh-CN"/>
          <w:highlight w:val="auto"/>
        </w:rPr>
        <w:t>307.69万元</w:t>
      </w:r>
      <w:r>
        <w:rPr>
          <w:rFonts w:ascii="仿宋" w:eastAsia="仿宋" w:hAnsi="仿宋" w:hint="eastAsia"/>
          <w:color w:val="auto"/>
          <w:sz w:val="32"/>
          <w:szCs w:val="32"/>
          <w:lang w:eastAsia="zh-CN"/>
          <w:highlight w:val="auto"/>
        </w:rPr>
        <w:t>）</w:t>
      </w:r>
      <w:r>
        <w:rPr>
          <w:rFonts w:ascii="仿宋" w:eastAsia="仿宋" w:hAnsi="仿宋" w:hint="eastAsia"/>
          <w:color w:val="auto"/>
          <w:sz w:val="32"/>
          <w:szCs w:val="32"/>
          <w:highlight w:val="auto"/>
        </w:rPr>
        <w:t>。与20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年相比，支</w:t>
      </w:r>
      <w:r>
        <w:rPr>
          <w:rFonts w:ascii="仿宋" w:eastAsia="仿宋" w:hAnsi="仿宋" w:hint="eastAsia"/>
          <w:color w:val="auto"/>
          <w:sz w:val="32"/>
          <w:szCs w:val="32"/>
          <w:lang w:eastAsia="zh-CN"/>
          <w:highlight w:val="auto"/>
        </w:rPr>
        <w:t>出</w:t>
      </w:r>
      <w:r>
        <w:rPr>
          <w:rFonts w:ascii="仿宋" w:eastAsia="仿宋" w:hAnsi="仿宋" w:hint="eastAsia"/>
          <w:color w:val="auto"/>
          <w:sz w:val="32"/>
          <w:szCs w:val="32"/>
          <w:highlight w:val="auto"/>
        </w:rPr>
        <w:t>总计增加</w:t>
      </w:r>
      <w:r>
        <w:rPr>
          <w:rFonts w:ascii="仿宋" w:eastAsia="仿宋" w:hAnsi="仿宋" w:hint="eastAsia"/>
          <w:color w:val="auto"/>
          <w:sz w:val="32"/>
          <w:szCs w:val="32"/>
          <w:lang w:val="en-US" w:eastAsia="zh-CN"/>
          <w:highlight w:val="auto"/>
        </w:rPr>
        <w:t>4960.92</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114</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val="en-US" w:eastAsia="zh-CN"/>
          <w:highlight w:val="auto"/>
        </w:rPr>
        <w:t>增加了就业创业补助资金和创业担保贴息补助资金支出。</w:t>
      </w:r>
      <w:r>
        <w:drawing>
          <wp:inline distT="0" distB="0" distL="114300" distR="114300">
            <wp:extent cx="4822190" cy="2750820"/>
            <wp:effectExtent l="0" t="0" r="0" b="0"/>
            <wp:docPr id="13" name="图表 2"/>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300" w:firstLine="960"/>
        <w:rPr>
          <w:rFonts w:ascii="仿宋" w:eastAsia="仿宋" w:hAnsi="仿宋"/>
          <w:color w:val="auto"/>
          <w:sz w:val="32"/>
          <w:szCs w:val="32"/>
          <w:highlight w:val="auto"/>
        </w:rPr>
      </w:pPr>
      <w:r>
        <w:rPr>
          <w:rFonts w:ascii="仿宋" w:eastAsia="仿宋" w:hAnsi="仿宋" w:hint="eastAsia"/>
          <w:color w:val="auto"/>
          <w:sz w:val="32"/>
          <w:szCs w:val="32"/>
          <w:highlight w:val="auto"/>
        </w:rPr>
        <w:t>（图</w:t>
      </w:r>
      <w:r>
        <w:rPr>
          <w:rFonts w:ascii="仿宋" w:eastAsia="仿宋" w:hAnsi="仿宋"/>
          <w:color w:val="auto"/>
          <w:sz w:val="32"/>
          <w:szCs w:val="32"/>
          <w:highlight w:val="auto"/>
        </w:rPr>
        <w:t>1</w:t>
      </w:r>
      <w:r>
        <w:rPr>
          <w:rFonts w:ascii="仿宋" w:eastAsia="仿宋" w:hAnsi="仿宋" w:hint="eastAsia"/>
          <w:color w:val="auto"/>
          <w:sz w:val="32"/>
          <w:szCs w:val="32"/>
          <w:highlight w:val="auto"/>
        </w:rPr>
        <w:t>：收、支决算总计变动情况图）</w:t>
      </w:r>
    </w:p>
    <w:p>
      <w:pPr>
        <w:pStyle w:val="33"/>
        <w:numPr>
          <w:ilvl w:val="0"/>
          <w:numId w:val="2"/>
        </w:numPr>
        <w:spacing w:line="600" w:lineRule="exact"/>
        <w:ind w:firstLineChars="0"/>
        <w:outlineLvl w:val="1"/>
        <w:rPr>
          <w:rStyle w:val="2Char"/>
          <w:rFonts w:ascii="黑体" w:eastAsia="黑体" w:hAnsi="黑体"/>
          <w:b w:val="0"/>
          <w:color w:val="auto"/>
          <w:highlight w:val="auto"/>
        </w:rPr>
      </w:pPr>
      <w:bookmarkStart w:id="24" w:name="_Toc31682"/>
      <w:bookmarkStart w:id="25" w:name="_Toc15396604"/>
      <w:bookmarkStart w:id="26" w:name="_Toc15377206"/>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入决算情况说明</w:t>
      </w:r>
      <w:bookmarkEnd w:id="24"/>
      <w:bookmarkEnd w:id="25"/>
      <w:bookmarkEnd w:id="26"/>
    </w:p>
    <w:p>
      <w:pPr>
        <w:spacing w:line="600" w:lineRule="exact"/>
        <w:ind w:firstLineChars="200" w:firstLine="640"/>
        <w:outlineLvl w:val="9"/>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年本年收入合计</w:t>
      </w:r>
      <w:r>
        <w:rPr>
          <w:rFonts w:ascii="仿宋" w:eastAsia="仿宋" w:hAnsi="仿宋" w:hint="eastAsia"/>
          <w:color w:val="auto"/>
          <w:sz w:val="32"/>
          <w:szCs w:val="32"/>
          <w:lang w:val="en-US" w:eastAsia="zh-CN"/>
          <w:highlight w:val="auto"/>
        </w:rPr>
        <w:t>9264.13</w:t>
      </w:r>
      <w:r>
        <w:rPr>
          <w:rFonts w:ascii="仿宋" w:eastAsia="仿宋" w:hAnsi="仿宋" w:hint="eastAsia"/>
          <w:color w:val="auto"/>
          <w:sz w:val="32"/>
          <w:szCs w:val="32"/>
          <w:highlight w:val="auto"/>
        </w:rPr>
        <w:t>万元，其中：一般公共预算财政拨款收入</w:t>
      </w:r>
      <w:r>
        <w:rPr>
          <w:rFonts w:ascii="仿宋" w:eastAsia="仿宋" w:hAnsi="仿宋" w:hint="eastAsia"/>
          <w:color w:val="auto"/>
          <w:sz w:val="32"/>
          <w:szCs w:val="32"/>
          <w:lang w:val="en-US" w:eastAsia="zh-CN"/>
          <w:highlight w:val="auto"/>
        </w:rPr>
        <w:t>9264.13</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spacing w:line="600" w:lineRule="exact"/>
        <w:ind w:firstLineChars="1000" w:firstLine="2100"/>
        <w:rPr>
          <w:rFonts w:ascii="仿宋_GB2312" w:eastAsia="仿宋_GB2312"/>
          <w:color w:val="auto"/>
          <w:sz w:val="32"/>
          <w:szCs w:val="32"/>
          <w:highlight w:val="auto"/>
        </w:rPr>
      </w:pPr>
      <w:r>
        <w:drawing>
          <wp:anchor distT="0" distB="0" distL="114300" distR="114300" simplePos="0" relativeHeight="30" behindDoc="0" locked="0" layoutInCell="1" hidden="0" allowOverlap="1">
            <wp:simplePos x="0" y="0"/>
            <wp:positionH relativeFrom="column">
              <wp:posOffset>544830</wp:posOffset>
            </wp:positionH>
            <wp:positionV relativeFrom="page">
              <wp:posOffset>566419</wp:posOffset>
            </wp:positionV>
            <wp:extent cx="3988434" cy="1946910"/>
            <wp:effectExtent l="0" t="0" r="0" b="0"/>
            <wp:wrapThrough wrapText="bothSides">
              <wp:wrapPolygon>
                <wp:start x="-10" y="-49"/>
                <wp:lineTo x="-10" y="21507"/>
                <wp:lineTo x="21551" y="21507"/>
                <wp:lineTo x="21551" y="-49"/>
                <wp:lineTo x="-10" y="-49"/>
              </wp:wrapPolygon>
            </wp:wrapThrough>
            <wp:docPr id="14" name="图表 1"/>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color w:val="auto"/>
          <w:sz w:val="32"/>
          <w:szCs w:val="32"/>
          <w:highlight w:val="auto"/>
        </w:rPr>
        <w:t>（图2：收入决算结构图）</w:t>
      </w:r>
    </w:p>
    <w:p>
      <w:pPr>
        <w:pStyle w:val="33"/>
        <w:numPr>
          <w:ilvl w:val="0"/>
          <w:numId w:val="2"/>
        </w:numPr>
        <w:spacing w:line="600" w:lineRule="exact"/>
        <w:ind w:firstLineChars="0"/>
        <w:outlineLvl w:val="1"/>
        <w:rPr>
          <w:rStyle w:val="2Char"/>
          <w:rFonts w:ascii="黑体" w:eastAsia="黑体" w:hAnsi="黑体"/>
          <w:b w:val="0"/>
          <w:color w:val="auto"/>
          <w:highlight w:val="auto"/>
        </w:rPr>
      </w:pPr>
      <w:bookmarkStart w:id="27" w:name="_Toc28020"/>
      <w:bookmarkStart w:id="28" w:name="_Toc15396605"/>
      <w:bookmarkStart w:id="29" w:name="_Toc15377207"/>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27"/>
      <w:bookmarkEnd w:id="28"/>
      <w:bookmarkEnd w:id="29"/>
    </w:p>
    <w:p>
      <w:pPr>
        <w:spacing w:line="600" w:lineRule="exact"/>
        <w:ind w:firstLineChars="200" w:firstLine="640"/>
        <w:outlineLvl w:val="9"/>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年本年支出合计</w:t>
      </w:r>
      <w:r>
        <w:rPr>
          <w:rFonts w:ascii="仿宋" w:eastAsia="仿宋" w:hAnsi="仿宋" w:hint="eastAsia"/>
          <w:color w:val="auto"/>
          <w:sz w:val="32"/>
          <w:szCs w:val="32"/>
          <w:lang w:val="en-US" w:eastAsia="zh-CN"/>
          <w:highlight w:val="auto"/>
        </w:rPr>
        <w:t>9005.01</w:t>
      </w:r>
      <w:r>
        <w:rPr>
          <w:rFonts w:ascii="仿宋" w:eastAsia="仿宋" w:hAnsi="仿宋" w:hint="eastAsia"/>
          <w:color w:val="auto"/>
          <w:sz w:val="32"/>
          <w:szCs w:val="32"/>
          <w:highlight w:val="auto"/>
        </w:rPr>
        <w:t>万元，其中：基本支出</w:t>
      </w:r>
      <w:r>
        <w:rPr>
          <w:rFonts w:ascii="仿宋" w:eastAsia="仿宋" w:hAnsi="仿宋" w:hint="eastAsia"/>
          <w:color w:val="auto"/>
          <w:sz w:val="32"/>
          <w:szCs w:val="32"/>
          <w:lang w:val="en-US" w:eastAsia="zh-CN"/>
          <w:highlight w:val="auto"/>
        </w:rPr>
        <w:t>1567.32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17.4</w:t>
      </w:r>
      <w:r>
        <w:rPr>
          <w:rFonts w:ascii="仿宋" w:eastAsia="仿宋" w:hAnsi="仿宋"/>
          <w:color w:val="auto"/>
          <w:sz w:val="32"/>
          <w:szCs w:val="32"/>
          <w:highlight w:val="auto"/>
        </w:rPr>
        <w:t>%</w:t>
      </w:r>
      <w:r>
        <w:rPr>
          <w:rFonts w:ascii="仿宋" w:eastAsia="仿宋" w:hAnsi="仿宋" w:hint="eastAsia"/>
          <w:color w:val="auto"/>
          <w:sz w:val="32"/>
          <w:szCs w:val="32"/>
          <w:highlight w:val="auto"/>
        </w:rPr>
        <w:t>；项目支出</w:t>
      </w:r>
      <w:r>
        <w:rPr>
          <w:rFonts w:ascii="仿宋" w:eastAsia="仿宋" w:hAnsi="仿宋" w:hint="eastAsia"/>
          <w:color w:val="auto"/>
          <w:sz w:val="32"/>
          <w:szCs w:val="32"/>
          <w:lang w:val="en-US" w:eastAsia="zh-CN"/>
          <w:highlight w:val="auto"/>
        </w:rPr>
        <w:t>7437.69</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82.6</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spacing w:line="600" w:lineRule="exact"/>
        <w:ind w:firstLineChars="900" w:firstLine="1890"/>
        <w:rPr>
          <w:rFonts w:ascii="仿宋_GB2312" w:eastAsia="仿宋_GB2312"/>
          <w:color w:val="auto"/>
          <w:sz w:val="32"/>
          <w:szCs w:val="32"/>
          <w:highlight w:val="auto"/>
        </w:rPr>
      </w:pPr>
      <w:r>
        <w:drawing>
          <wp:anchor distT="0" distB="0" distL="114300" distR="114300" simplePos="0" relativeHeight="54" behindDoc="0" locked="0" layoutInCell="1" hidden="0" allowOverlap="1">
            <wp:simplePos x="0" y="0"/>
            <wp:positionH relativeFrom="column">
              <wp:posOffset>805180</wp:posOffset>
            </wp:positionH>
            <wp:positionV relativeFrom="page">
              <wp:posOffset>4172585</wp:posOffset>
            </wp:positionV>
            <wp:extent cx="3622040" cy="1920874"/>
            <wp:effectExtent l="0" t="0" r="0" b="0"/>
            <wp:wrapTopAndBottom/>
            <wp:docPr id="15" name="图表 1"/>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color w:val="auto"/>
          <w:sz w:val="32"/>
          <w:szCs w:val="32"/>
          <w:highlight w:val="auto"/>
        </w:rPr>
        <w:t>（图3：支出决算结构图）</w:t>
      </w:r>
    </w:p>
    <w:p>
      <w:pPr>
        <w:spacing w:line="600" w:lineRule="exact"/>
        <w:ind w:firstLineChars="200" w:firstLine="640"/>
        <w:outlineLvl w:val="1"/>
        <w:rPr>
          <w:rStyle w:val="2Char"/>
          <w:rFonts w:ascii="黑体" w:eastAsia="黑体" w:hAnsi="黑体"/>
          <w:b w:val="0"/>
          <w:color w:val="auto"/>
          <w:highlight w:val="auto"/>
        </w:rPr>
      </w:pPr>
      <w:bookmarkStart w:id="30" w:name="_Toc15396606"/>
      <w:bookmarkStart w:id="31" w:name="_Toc9855"/>
      <w:bookmarkStart w:id="32" w:name="_Toc15377208"/>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30"/>
      <w:bookmarkEnd w:id="31"/>
      <w:bookmarkEnd w:id="32"/>
    </w:p>
    <w:p>
      <w:pPr>
        <w:spacing w:line="600" w:lineRule="exact"/>
        <w:ind w:firstLine="640"/>
        <w:outlineLvl w:val="9"/>
        <w:rPr>
          <w:rFonts w:ascii="仿宋" w:eastAsia="仿宋" w:hAnsi="仿宋" w:hint="eastAsia"/>
          <w:color w:val="auto"/>
          <w:sz w:val="32"/>
          <w:szCs w:val="32"/>
          <w:lang w:val="en-US" w:eastAsia="zh-CN"/>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年财政拨款收、支总计</w:t>
      </w:r>
      <w:r>
        <w:rPr>
          <w:rFonts w:ascii="仿宋" w:eastAsia="仿宋" w:hAnsi="仿宋" w:hint="eastAsia"/>
          <w:color w:val="auto"/>
          <w:sz w:val="32"/>
          <w:szCs w:val="32"/>
          <w:lang w:val="en-US" w:eastAsia="zh-CN"/>
          <w:highlight w:val="auto"/>
        </w:rPr>
        <w:t>9298.47</w:t>
      </w:r>
      <w:r>
        <w:rPr>
          <w:rFonts w:ascii="仿宋" w:eastAsia="仿宋" w:hAnsi="仿宋" w:hint="eastAsia"/>
          <w:color w:val="auto"/>
          <w:sz w:val="32"/>
          <w:szCs w:val="32"/>
          <w:highlight w:val="auto"/>
        </w:rPr>
        <w:t>万元。与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w:t>
      </w:r>
      <w:r>
        <w:rPr>
          <w:rFonts w:ascii="仿宋" w:eastAsia="仿宋" w:hAnsi="仿宋" w:hint="eastAsia"/>
          <w:color w:val="auto"/>
          <w:sz w:val="32"/>
          <w:szCs w:val="32"/>
          <w:lang w:val="en-US" w:eastAsia="zh-CN"/>
          <w:highlight w:val="auto"/>
        </w:rPr>
        <w:t>4116.55万元</w:t>
      </w:r>
      <w:r>
        <w:rPr>
          <w:rFonts w:ascii="仿宋" w:eastAsia="仿宋" w:hAnsi="仿宋" w:hint="eastAsia"/>
          <w:color w:val="auto"/>
          <w:sz w:val="32"/>
          <w:szCs w:val="32"/>
          <w:highlight w:val="auto"/>
        </w:rPr>
        <w:t>相比，财政拨款收、支总计各增加</w:t>
      </w:r>
      <w:r>
        <w:rPr>
          <w:rFonts w:ascii="仿宋" w:eastAsia="仿宋" w:hAnsi="仿宋" w:hint="eastAsia"/>
          <w:color w:val="auto"/>
          <w:sz w:val="32"/>
          <w:szCs w:val="32"/>
          <w:lang w:val="en-US" w:eastAsia="zh-CN"/>
          <w:highlight w:val="auto"/>
        </w:rPr>
        <w:t>5181.92</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125.88</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val="en-US" w:eastAsia="zh-CN"/>
          <w:highlight w:val="auto"/>
        </w:rPr>
        <w:t>增加了就业创业补助资金和创业担保贴息补助资金收入。</w:t>
      </w:r>
    </w:p>
    <w:p>
      <w:pPr>
        <w:pStyle w:val="16"/>
        <w:rPr>
          <w:lang w:val="en-US"/>
        </w:rPr>
      </w:pPr>
      <w:r>
        <w:drawing>
          <wp:inline distT="0" distB="0" distL="114300" distR="114300">
            <wp:extent cx="4826000" cy="2743200"/>
            <wp:effectExtent l="0" t="0" r="0" b="0"/>
            <wp:docPr id="16" name="图表 1"/>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Chars="300" w:firstLine="960"/>
        <w:rPr>
          <w:rFonts w:ascii="仿宋" w:eastAsia="仿宋" w:hAnsi="仿宋"/>
          <w:b/>
          <w:color w:val="auto"/>
          <w:sz w:val="32"/>
          <w:szCs w:val="32"/>
          <w:highlight w:val="auto"/>
        </w:rPr>
      </w:pPr>
      <w:r>
        <w:rPr>
          <w:rFonts w:ascii="仿宋" w:eastAsia="仿宋" w:hAnsi="仿宋" w:hint="eastAsia"/>
          <w:color w:val="auto"/>
          <w:sz w:val="32"/>
          <w:szCs w:val="32"/>
          <w:highlight w:val="auto"/>
        </w:rPr>
        <w:t>（图4：财政拨款收、支决算总计变动情况）</w:t>
      </w:r>
    </w:p>
    <w:p>
      <w:pPr>
        <w:spacing w:line="600" w:lineRule="exact"/>
        <w:ind w:firstLineChars="200" w:firstLine="640"/>
        <w:outlineLvl w:val="1"/>
        <w:rPr>
          <w:rStyle w:val="2Char"/>
          <w:rFonts w:ascii="黑体" w:eastAsia="黑体" w:hAnsi="黑体"/>
          <w:b w:val="0"/>
          <w:color w:val="auto"/>
          <w:highlight w:val="auto"/>
        </w:rPr>
      </w:pPr>
      <w:bookmarkStart w:id="33" w:name="_Toc15377209"/>
      <w:bookmarkStart w:id="34" w:name="_Toc29478"/>
      <w:bookmarkStart w:id="35" w:name="_Toc15396607"/>
      <w:r>
        <w:rPr>
          <w:rFonts w:ascii="黑体" w:eastAsia="黑体" w:hAnsi="黑体" w:hint="eastAsia"/>
          <w:color w:val="auto"/>
          <w:sz w:val="32"/>
          <w:szCs w:val="32"/>
          <w:highlight w:val="auto"/>
        </w:rPr>
        <w:t>五、</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般公共预算财政拨款支出决算情况说明</w:t>
      </w:r>
      <w:bookmarkEnd w:id="33"/>
      <w:bookmarkEnd w:id="34"/>
      <w:bookmarkEnd w:id="35"/>
    </w:p>
    <w:p>
      <w:pPr>
        <w:spacing w:line="600" w:lineRule="exact"/>
        <w:ind w:firstLineChars="200" w:firstLine="640"/>
        <w:outlineLvl w:val="2"/>
        <w:rPr>
          <w:rFonts w:ascii="仿宋" w:eastAsia="仿宋" w:hAnsi="仿宋"/>
          <w:b/>
          <w:color w:val="auto"/>
          <w:sz w:val="32"/>
          <w:szCs w:val="32"/>
          <w:highlight w:val="auto"/>
        </w:rPr>
      </w:pPr>
      <w:bookmarkStart w:id="36" w:name="_Toc15377210"/>
      <w:r>
        <w:rPr>
          <w:rFonts w:ascii="仿宋" w:eastAsia="仿宋" w:hAnsi="仿宋" w:hint="eastAsia"/>
          <w:b/>
          <w:color w:val="auto"/>
          <w:sz w:val="32"/>
          <w:szCs w:val="32"/>
          <w:highlight w:val="auto"/>
        </w:rPr>
        <w:t>（一）一般公共预算财政拨款支出决算总体情况</w:t>
      </w:r>
      <w:bookmarkEnd w:id="36"/>
    </w:p>
    <w:p>
      <w:pPr>
        <w:spacing w:line="600" w:lineRule="exact"/>
        <w:ind w:firstLineChars="200" w:firstLine="420"/>
        <w:rPr>
          <w:rFonts w:ascii="仿宋" w:eastAsia="仿宋" w:hAnsi="仿宋"/>
          <w:color w:val="auto"/>
          <w:sz w:val="32"/>
          <w:szCs w:val="32"/>
          <w:lang w:val="en-US"/>
          <w:highlight w:val="auto"/>
        </w:rPr>
      </w:pPr>
      <w:r>
        <w:drawing>
          <wp:anchor distT="0" distB="0" distL="114300" distR="114300" simplePos="0" relativeHeight="38" behindDoc="0" locked="0" layoutInCell="1" hidden="0" allowOverlap="1">
            <wp:simplePos x="0" y="0"/>
            <wp:positionH relativeFrom="column">
              <wp:posOffset>584834</wp:posOffset>
            </wp:positionH>
            <wp:positionV relativeFrom="page">
              <wp:posOffset>6991984</wp:posOffset>
            </wp:positionV>
            <wp:extent cx="4413250" cy="1789429"/>
            <wp:effectExtent l="0" t="0" r="0" b="0"/>
            <wp:wrapTopAndBottom/>
            <wp:docPr id="17" name="图表 2"/>
            <wp:cNvGraphicFramePr>
              <a:graphicFrameLocks noChangeAspect="0"/>
            </wp:cNvGraphicFramePr>
            <a:graphic>
              <a:graphicData uri="http://schemas.openxmlformats.org/drawingml/2006/chart">
                <c:chart xmlns:c="http://schemas.openxmlformats.org/drawingml/2006/chart" r:id="rId11"/>
              </a:graphicData>
            </a:graphic>
          </wp:anchor>
        </w:drawing>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8990.78</w:t>
      </w:r>
      <w:r>
        <w:rPr>
          <w:rFonts w:ascii="仿宋" w:eastAsia="仿宋" w:hAnsi="仿宋" w:hint="eastAsia"/>
          <w:color w:val="auto"/>
          <w:sz w:val="32"/>
          <w:szCs w:val="32"/>
          <w:highlight w:val="auto"/>
        </w:rPr>
        <w:t>万元，占本年支出合计的</w:t>
      </w:r>
      <w:r>
        <w:rPr>
          <w:rFonts w:ascii="仿宋" w:eastAsia="仿宋" w:hAnsi="仿宋" w:hint="eastAsia"/>
          <w:color w:val="auto"/>
          <w:sz w:val="32"/>
          <w:szCs w:val="32"/>
          <w:lang w:val="en-US" w:eastAsia="zh-CN"/>
          <w:highlight w:val="auto"/>
        </w:rPr>
        <w:t>99.84</w:t>
      </w:r>
      <w:r>
        <w:rPr>
          <w:rFonts w:ascii="仿宋" w:eastAsia="仿宋" w:hAnsi="仿宋"/>
          <w:color w:val="auto"/>
          <w:sz w:val="32"/>
          <w:szCs w:val="32"/>
          <w:highlight w:val="auto"/>
        </w:rPr>
        <w:t>%</w:t>
      </w:r>
      <w:r>
        <w:rPr>
          <w:rFonts w:ascii="仿宋" w:eastAsia="仿宋" w:hAnsi="仿宋" w:hint="eastAsia"/>
          <w:color w:val="auto"/>
          <w:sz w:val="32"/>
          <w:szCs w:val="32"/>
          <w:highlight w:val="auto"/>
        </w:rPr>
        <w:t>。与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w:t>
      </w:r>
      <w:r>
        <w:rPr>
          <w:rFonts w:ascii="仿宋" w:eastAsia="仿宋" w:hAnsi="仿宋" w:hint="eastAsia"/>
          <w:color w:val="auto"/>
          <w:sz w:val="32"/>
          <w:szCs w:val="32"/>
          <w:lang w:val="en-US" w:eastAsia="zh-CN"/>
          <w:highlight w:val="auto"/>
        </w:rPr>
        <w:t>4226.04万元</w:t>
      </w:r>
      <w:r>
        <w:rPr>
          <w:rFonts w:ascii="仿宋" w:eastAsia="仿宋" w:hAnsi="仿宋" w:hint="eastAsia"/>
          <w:color w:val="auto"/>
          <w:sz w:val="32"/>
          <w:szCs w:val="32"/>
          <w:highlight w:val="auto"/>
        </w:rPr>
        <w:t>相比，一般公共预算财政拨款</w:t>
      </w:r>
      <w:r>
        <w:rPr>
          <w:rFonts w:ascii="仿宋" w:eastAsia="仿宋" w:hAnsi="仿宋" w:hint="eastAsia"/>
          <w:color w:val="auto"/>
          <w:sz w:val="32"/>
          <w:szCs w:val="32"/>
          <w:lang w:eastAsia="zh-CN"/>
          <w:highlight w:val="auto"/>
        </w:rPr>
        <w:t>支出</w:t>
      </w:r>
      <w:r>
        <w:rPr>
          <w:rFonts w:ascii="仿宋" w:eastAsia="仿宋" w:hAnsi="仿宋" w:hint="eastAsia"/>
          <w:color w:val="auto"/>
          <w:sz w:val="32"/>
          <w:szCs w:val="32"/>
          <w:highlight w:val="auto"/>
        </w:rPr>
        <w:t>增加</w:t>
      </w:r>
      <w:r>
        <w:rPr>
          <w:rFonts w:ascii="仿宋" w:eastAsia="仿宋" w:hAnsi="仿宋" w:hint="eastAsia"/>
          <w:color w:val="auto"/>
          <w:sz w:val="32"/>
          <w:szCs w:val="32"/>
          <w:lang w:val="en-US" w:eastAsia="zh-CN"/>
          <w:highlight w:val="auto"/>
        </w:rPr>
        <w:t>4764.74</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112.75</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val="en-US" w:eastAsia="zh-CN"/>
          <w:highlight w:val="auto"/>
        </w:rPr>
        <w:t>增加了就业创业补助资金和创业担保贴息补助资金支出。</w:t>
      </w:r>
    </w:p>
    <w:p>
      <w:pPr>
        <w:spacing w:line="600" w:lineRule="exact"/>
        <w:ind w:firstLineChars="200" w:firstLine="640"/>
        <w:rPr>
          <w:rFonts w:ascii="仿宋" w:eastAsia="仿宋" w:hAnsi="仿宋" w:hint="eastAsia"/>
          <w:b/>
          <w:color w:val="auto"/>
          <w:sz w:val="32"/>
          <w:szCs w:val="32"/>
          <w:highlight w:val="auto"/>
        </w:rPr>
      </w:pPr>
      <w:r>
        <w:rPr>
          <w:rFonts w:ascii="仿宋" w:eastAsia="仿宋" w:hAnsi="仿宋" w:hint="eastAsia"/>
          <w:color w:val="auto"/>
          <w:sz w:val="32"/>
          <w:szCs w:val="32"/>
          <w:highlight w:val="auto"/>
        </w:rPr>
        <w:t>（图5：一般公共预算财政拨款支出决算变动情况）</w:t>
      </w:r>
      <w:bookmarkStart w:id="37" w:name="_Toc15377211"/>
    </w:p>
    <w:p>
      <w:pPr>
        <w:spacing w:line="600" w:lineRule="exact"/>
        <w:ind w:firstLineChars="200" w:firstLine="640"/>
        <w:outlineLvl w:val="2"/>
        <w:rPr>
          <w:rFonts w:ascii="仿宋" w:eastAsia="仿宋" w:hAnsi="仿宋"/>
          <w:b/>
          <w:color w:val="auto"/>
          <w:sz w:val="32"/>
          <w:szCs w:val="32"/>
          <w:highlight w:val="auto"/>
        </w:rPr>
      </w:pPr>
      <w:r>
        <w:rPr>
          <w:rFonts w:ascii="仿宋" w:eastAsia="仿宋" w:hAnsi="仿宋" w:hint="eastAsia"/>
          <w:b/>
          <w:color w:val="auto"/>
          <w:sz w:val="32"/>
          <w:szCs w:val="32"/>
          <w:highlight w:val="auto"/>
        </w:rPr>
        <w:t>（二）一般公共预算财政拨款支出决算结构情况</w:t>
      </w:r>
      <w:bookmarkEnd w:id="37"/>
    </w:p>
    <w:p>
      <w:pPr>
        <w:spacing w:line="600" w:lineRule="exact"/>
        <w:ind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8990.78</w:t>
      </w:r>
      <w:r>
        <w:rPr>
          <w:rFonts w:ascii="仿宋" w:eastAsia="仿宋" w:hAnsi="仿宋" w:hint="eastAsia"/>
          <w:color w:val="auto"/>
          <w:sz w:val="32"/>
          <w:szCs w:val="32"/>
          <w:highlight w:val="auto"/>
        </w:rPr>
        <w:t>万元，主要用于以下方面</w:t>
      </w:r>
      <w:r>
        <w:rPr>
          <w:rFonts w:ascii="仿宋" w:eastAsia="仿宋" w:hAnsi="仿宋"/>
          <w:color w:val="auto"/>
          <w:sz w:val="32"/>
          <w:szCs w:val="32"/>
          <w:highlight w:val="auto"/>
        </w:rPr>
        <w:t>:</w:t>
      </w:r>
      <w:r>
        <w:rPr>
          <w:rFonts w:ascii="仿宋" w:eastAsia="仿宋" w:hAnsi="仿宋" w:hint="eastAsia"/>
          <w:b/>
          <w:color w:val="auto"/>
          <w:sz w:val="32"/>
          <w:szCs w:val="32"/>
          <w:highlight w:val="auto"/>
        </w:rPr>
        <w:t>社会保障和就业</w:t>
      </w:r>
      <w:r>
        <w:rPr>
          <w:rFonts w:ascii="仿宋" w:eastAsia="仿宋" w:hAnsi="仿宋" w:hint="eastAsia"/>
          <w:b/>
          <w:bCs/>
          <w:color w:val="auto"/>
          <w:sz w:val="32"/>
          <w:szCs w:val="32"/>
          <w:highlight w:val="auto"/>
        </w:rPr>
        <w:t>支出</w:t>
      </w:r>
      <w:r>
        <w:rPr>
          <w:rFonts w:ascii="仿宋" w:eastAsia="仿宋" w:hAnsi="仿宋" w:hint="eastAsia"/>
          <w:color w:val="auto"/>
          <w:sz w:val="32"/>
          <w:szCs w:val="32"/>
          <w:lang w:val="en-US" w:eastAsia="zh-CN"/>
          <w:highlight w:val="auto"/>
        </w:rPr>
        <w:t>8733.37</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97.14</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bCs/>
          <w:color w:val="auto"/>
          <w:sz w:val="32"/>
          <w:szCs w:val="32"/>
          <w:highlight w:val="auto"/>
        </w:rPr>
        <w:t>卫生健康支出</w:t>
      </w:r>
      <w:r>
        <w:rPr>
          <w:rFonts w:ascii="仿宋" w:eastAsia="仿宋" w:hAnsi="仿宋" w:hint="eastAsia"/>
          <w:color w:val="auto"/>
          <w:sz w:val="32"/>
          <w:szCs w:val="32"/>
          <w:lang w:val="en-US" w:eastAsia="zh-CN"/>
          <w:highlight w:val="auto"/>
        </w:rPr>
        <w:t>41.99</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0.47</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bCs/>
          <w:color w:val="auto"/>
          <w:sz w:val="32"/>
          <w:szCs w:val="32"/>
          <w:lang w:eastAsia="zh-CN"/>
          <w:highlight w:val="auto"/>
        </w:rPr>
        <w:t>农林水支出</w:t>
      </w:r>
      <w:r>
        <w:rPr>
          <w:rFonts w:ascii="仿宋" w:eastAsia="仿宋" w:hAnsi="仿宋" w:hint="eastAsia"/>
          <w:color w:val="auto"/>
          <w:sz w:val="32"/>
          <w:szCs w:val="32"/>
          <w:lang w:val="en-US" w:eastAsia="zh-CN"/>
          <w:highlight w:val="auto"/>
        </w:rPr>
        <w:t>153.05万元，占1.7%；</w:t>
      </w:r>
      <w:r>
        <w:rPr>
          <w:rFonts w:ascii="仿宋" w:eastAsia="仿宋" w:hAnsi="仿宋" w:hint="eastAsia"/>
          <w:b/>
          <w:bCs/>
          <w:color w:val="auto"/>
          <w:sz w:val="32"/>
          <w:szCs w:val="32"/>
          <w:highlight w:val="auto"/>
        </w:rPr>
        <w:t>住房保障支出</w:t>
      </w:r>
      <w:r>
        <w:rPr>
          <w:rFonts w:ascii="仿宋" w:eastAsia="仿宋" w:hAnsi="仿宋" w:hint="eastAsia"/>
          <w:color w:val="auto"/>
          <w:sz w:val="32"/>
          <w:szCs w:val="32"/>
          <w:lang w:val="en-US" w:eastAsia="zh-CN"/>
          <w:highlight w:val="auto"/>
        </w:rPr>
        <w:t>62.36</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0.69</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spacing w:line="600" w:lineRule="exact"/>
        <w:ind w:firstLineChars="400" w:firstLine="840"/>
        <w:rPr>
          <w:rFonts w:ascii="仿宋" w:eastAsia="仿宋" w:hAnsi="仿宋"/>
          <w:color w:val="auto"/>
          <w:sz w:val="32"/>
          <w:szCs w:val="32"/>
          <w:highlight w:val="auto"/>
        </w:rPr>
      </w:pPr>
      <w:r>
        <w:drawing>
          <wp:anchor distT="0" distB="0" distL="114300" distR="114300" simplePos="0" relativeHeight="50" behindDoc="0" locked="0" layoutInCell="1" hidden="0" allowOverlap="1">
            <wp:simplePos x="0" y="0"/>
            <wp:positionH relativeFrom="column">
              <wp:posOffset>376555</wp:posOffset>
            </wp:positionH>
            <wp:positionV relativeFrom="page">
              <wp:posOffset>2670810</wp:posOffset>
            </wp:positionV>
            <wp:extent cx="4519294" cy="2549525"/>
            <wp:effectExtent l="0" t="0" r="0" b="0"/>
            <wp:wrapThrough wrapText="bothSides">
              <wp:wrapPolygon>
                <wp:start x="-24" y="-32"/>
                <wp:lineTo x="-24" y="21593"/>
                <wp:lineTo x="21599" y="21593"/>
                <wp:lineTo x="21599" y="-32"/>
                <wp:lineTo x="-24" y="-32"/>
              </wp:wrapPolygon>
            </wp:wrapThrough>
            <wp:docPr id="18" name="图表 1"/>
            <wp:cNvGraphicFramePr>
              <a:graphicFrameLocks noChangeAspect="0"/>
            </wp:cNvGraphicFramePr>
            <a:graphic>
              <a:graphicData uri="http://schemas.openxmlformats.org/drawingml/2006/chart">
                <c:chart xmlns:c="http://schemas.openxmlformats.org/drawingml/2006/chart" r:id="rId12"/>
              </a:graphicData>
            </a:graphic>
          </wp:anchor>
        </w:drawing>
      </w:r>
      <w:r>
        <w:rPr>
          <w:rFonts w:ascii="仿宋" w:eastAsia="仿宋" w:hAnsi="仿宋" w:hint="eastAsia"/>
          <w:color w:val="auto"/>
          <w:sz w:val="32"/>
          <w:szCs w:val="32"/>
          <w:highlight w:val="auto"/>
        </w:rPr>
        <w:t>（图6：一般公共预算财政拨款支出决算结构）</w:t>
      </w:r>
    </w:p>
    <w:p>
      <w:pPr>
        <w:spacing w:line="600" w:lineRule="exact"/>
        <w:ind w:firstLineChars="200" w:firstLine="640"/>
        <w:outlineLvl w:val="2"/>
        <w:rPr>
          <w:rFonts w:ascii="仿宋" w:eastAsia="仿宋" w:hAnsi="仿宋"/>
          <w:b/>
          <w:color w:val="auto"/>
          <w:sz w:val="32"/>
          <w:szCs w:val="32"/>
          <w:highlight w:val="auto"/>
        </w:rPr>
      </w:pPr>
      <w:bookmarkStart w:id="38" w:name="_Toc15377212"/>
      <w:r>
        <w:rPr>
          <w:rFonts w:ascii="仿宋" w:eastAsia="仿宋" w:hAnsi="仿宋" w:hint="eastAsia"/>
          <w:b/>
          <w:color w:val="auto"/>
          <w:sz w:val="32"/>
          <w:szCs w:val="32"/>
          <w:highlight w:val="auto"/>
        </w:rPr>
        <w:t>（三）一般公共预算财政拨款支出决算具体情况</w:t>
      </w:r>
      <w:bookmarkEnd w:id="38"/>
    </w:p>
    <w:p>
      <w:pPr>
        <w:spacing w:line="600" w:lineRule="exact"/>
        <w:ind w:firstLineChars="200" w:firstLine="640"/>
        <w:outlineLvl w:val="9"/>
        <w:rPr>
          <w:rFonts w:ascii="仿宋" w:eastAsia="仿宋" w:hAnsi="仿宋"/>
          <w:color w:val="auto"/>
          <w:sz w:val="32"/>
          <w:szCs w:val="32"/>
          <w:highlight w:val="auto"/>
        </w:rPr>
      </w:pPr>
      <w:bookmarkStart w:id="39" w:name="_Toc15377444"/>
      <w:bookmarkStart w:id="40" w:name="_Toc15378460"/>
      <w:bookmarkStart w:id="41" w:name="_Toc15377213"/>
      <w:r>
        <w:rPr>
          <w:rFonts w:ascii="仿宋" w:eastAsia="仿宋" w:hAnsi="仿宋" w:hint="eastAsia"/>
          <w:b/>
          <w:color w:val="auto"/>
          <w:sz w:val="32"/>
          <w:szCs w:val="32"/>
          <w:highlight w:val="auto"/>
        </w:rPr>
        <w:t>20</w:t>
      </w:r>
      <w:r>
        <w:rPr>
          <w:rFonts w:ascii="仿宋" w:eastAsia="仿宋" w:hAnsi="仿宋" w:hint="eastAsia"/>
          <w:b/>
          <w:color w:val="auto"/>
          <w:sz w:val="32"/>
          <w:szCs w:val="32"/>
          <w:lang w:val="en-US" w:eastAsia="zh-CN"/>
          <w:highlight w:val="auto"/>
        </w:rPr>
        <w:t>22</w:t>
      </w:r>
      <w:r>
        <w:rPr>
          <w:rFonts w:ascii="仿宋" w:eastAsia="仿宋" w:hAnsi="仿宋" w:hint="eastAsia"/>
          <w:b/>
          <w:color w:val="auto"/>
          <w:sz w:val="32"/>
          <w:szCs w:val="32"/>
          <w:highlight w:val="auto"/>
        </w:rPr>
        <w:t>年</w:t>
      </w:r>
      <w:r>
        <w:rPr>
          <w:rFonts w:ascii="仿宋" w:eastAsia="仿宋" w:hAnsi="仿宋" w:hint="eastAsia"/>
          <w:b/>
          <w:color w:val="auto"/>
          <w:sz w:val="32"/>
          <w:szCs w:val="32"/>
          <w:lang w:eastAsia="zh-CN"/>
          <w:highlight w:val="auto"/>
        </w:rPr>
        <w:t>一</w:t>
      </w:r>
      <w:r>
        <w:rPr>
          <w:rFonts w:ascii="仿宋" w:eastAsia="仿宋" w:hAnsi="仿宋" w:hint="eastAsia"/>
          <w:b/>
          <w:color w:val="auto"/>
          <w:sz w:val="32"/>
          <w:szCs w:val="32"/>
          <w:highlight w:val="auto"/>
        </w:rPr>
        <w:t>般公共预算支出决算数为</w:t>
      </w:r>
      <w:r>
        <w:rPr>
          <w:rFonts w:ascii="仿宋" w:eastAsia="仿宋" w:hAnsi="仿宋" w:hint="eastAsia"/>
          <w:b/>
          <w:color w:val="auto"/>
          <w:sz w:val="32"/>
          <w:szCs w:val="32"/>
          <w:lang w:val="en-US" w:eastAsia="zh-CN"/>
          <w:highlight w:val="auto"/>
        </w:rPr>
        <w:t>8990.78</w:t>
      </w:r>
      <w:r>
        <w:rPr>
          <w:rFonts w:ascii="仿宋" w:eastAsia="仿宋" w:hAnsi="仿宋" w:hint="eastAsia"/>
          <w:color w:val="auto"/>
          <w:sz w:val="32"/>
          <w:szCs w:val="32"/>
          <w:highlight w:val="auto"/>
        </w:rPr>
        <w:t>，</w:t>
      </w:r>
      <w:r>
        <w:rPr>
          <w:rStyle w:val="26"/>
          <w:rFonts w:ascii="仿宋" w:eastAsia="仿宋" w:hAnsi="仿宋" w:hint="eastAsia"/>
          <w:bCs/>
          <w:color w:val="auto"/>
          <w:sz w:val="32"/>
          <w:szCs w:val="32"/>
          <w:highlight w:val="auto"/>
        </w:rPr>
        <w:t>完成预算</w:t>
      </w:r>
      <w:r>
        <w:rPr>
          <w:rStyle w:val="26"/>
          <w:rFonts w:ascii="仿宋" w:eastAsia="仿宋" w:hAnsi="仿宋" w:hint="eastAsia"/>
          <w:bCs/>
          <w:color w:val="auto"/>
          <w:sz w:val="32"/>
          <w:szCs w:val="32"/>
          <w:lang w:val="en-US" w:eastAsia="zh-CN"/>
          <w:highlight w:val="auto"/>
        </w:rPr>
        <w:t>92.74</w:t>
      </w:r>
      <w:r>
        <w:rPr>
          <w:rStyle w:val="26"/>
          <w:rFonts w:ascii="仿宋" w:eastAsia="仿宋" w:hAnsi="仿宋"/>
          <w:bCs/>
          <w:color w:val="auto"/>
          <w:sz w:val="32"/>
          <w:szCs w:val="32"/>
          <w:highlight w:val="auto"/>
        </w:rPr>
        <w:t>%</w:t>
      </w:r>
      <w:r>
        <w:rPr>
          <w:rStyle w:val="26"/>
          <w:rFonts w:ascii="仿宋" w:eastAsia="仿宋" w:hAnsi="仿宋" w:hint="eastAsia"/>
          <w:bCs/>
          <w:color w:val="auto"/>
          <w:sz w:val="32"/>
          <w:szCs w:val="32"/>
          <w:highlight w:val="auto"/>
        </w:rPr>
        <w:t>。其中：</w:t>
      </w:r>
      <w:bookmarkEnd w:id="39"/>
      <w:bookmarkEnd w:id="40"/>
      <w:bookmarkEnd w:id="41"/>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bCs/>
          <w:color w:val="auto"/>
          <w:sz w:val="32"/>
          <w:szCs w:val="32"/>
          <w:highlight w:val="auto"/>
        </w:rPr>
        <w:t>1</w:t>
      </w:r>
      <w:r>
        <w:rPr>
          <w:rStyle w:val="26"/>
          <w:rFonts w:ascii="仿宋" w:eastAsia="仿宋" w:hAnsi="仿宋"/>
          <w:b/>
          <w:bCs/>
          <w:color w:val="auto"/>
          <w:sz w:val="32"/>
          <w:szCs w:val="32"/>
          <w:highlight w:val="auto"/>
        </w:rPr>
        <w:t>.</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（208类）人力资源和社会保障管理事务（20801款）</w:t>
      </w:r>
      <w:r>
        <w:rPr>
          <w:rStyle w:val="26"/>
          <w:rFonts w:ascii="仿宋" w:eastAsia="仿宋" w:hAnsi="仿宋" w:hint="eastAsia"/>
          <w:b/>
          <w:bCs w:val="0"/>
          <w:color w:val="auto"/>
          <w:sz w:val="32"/>
          <w:szCs w:val="32"/>
          <w:highlight w:val="auto"/>
        </w:rPr>
        <w:t>行政运行（2080101项）</w:t>
      </w:r>
      <w:r>
        <w:rPr>
          <w:rStyle w:val="26"/>
          <w:rFonts w:ascii="仿宋" w:eastAsia="仿宋" w:hAnsi="仿宋"/>
          <w:bCs/>
          <w:color w:val="auto"/>
          <w:sz w:val="32"/>
          <w:szCs w:val="32"/>
          <w:highlight w:val="auto"/>
        </w:rPr>
        <w:t>:</w:t>
      </w:r>
      <w:r>
        <w:rPr>
          <w:rStyle w:val="26"/>
          <w:rFonts w:ascii="仿宋" w:eastAsia="仿宋" w:hAnsi="仿宋"/>
          <w:b w:val="0"/>
          <w:bCs/>
          <w:color w:val="auto"/>
          <w:sz w:val="32"/>
          <w:szCs w:val="32"/>
          <w:highlight w:val="auto"/>
        </w:rPr>
        <w:t xml:space="preserve"> </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817.24</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w:t>
      </w:r>
      <w:r>
        <w:rPr>
          <w:rStyle w:val="26"/>
          <w:rFonts w:ascii="仿宋" w:eastAsia="仿宋" w:hAnsi="仿宋" w:hint="eastAsia"/>
          <w:b w:val="0"/>
          <w:bCs/>
          <w:color w:val="auto"/>
          <w:sz w:val="32"/>
          <w:szCs w:val="32"/>
          <w:lang w:eastAsia="zh-CN"/>
          <w:highlight w:val="auto"/>
        </w:rPr>
        <w:t>等于</w:t>
      </w:r>
      <w:r>
        <w:rPr>
          <w:rStyle w:val="26"/>
          <w:rFonts w:ascii="仿宋" w:eastAsia="仿宋" w:hAnsi="仿宋" w:hint="eastAsia"/>
          <w:b w:val="0"/>
          <w:bCs/>
          <w:color w:val="auto"/>
          <w:sz w:val="32"/>
          <w:szCs w:val="32"/>
          <w:highlight w:val="auto"/>
        </w:rPr>
        <w:t>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2.</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（208类）人力资源和社会保障管理事务（20801款）</w:t>
      </w:r>
      <w:r>
        <w:rPr>
          <w:rStyle w:val="26"/>
          <w:rFonts w:ascii="仿宋" w:eastAsia="仿宋" w:hAnsi="仿宋" w:hint="eastAsia"/>
          <w:b/>
          <w:bCs w:val="0"/>
          <w:color w:val="auto"/>
          <w:sz w:val="32"/>
          <w:szCs w:val="32"/>
          <w:lang w:val="en-US" w:eastAsia="zh-CN"/>
          <w:highlight w:val="auto"/>
        </w:rPr>
        <w:t>一般行政管理事务</w:t>
      </w:r>
      <w:r>
        <w:rPr>
          <w:rStyle w:val="26"/>
          <w:rFonts w:ascii="仿宋" w:eastAsia="仿宋" w:hAnsi="仿宋" w:hint="eastAsia"/>
          <w:b/>
          <w:bCs w:val="0"/>
          <w:color w:val="auto"/>
          <w:sz w:val="32"/>
          <w:szCs w:val="32"/>
          <w:highlight w:val="auto"/>
        </w:rPr>
        <w:t>（</w:t>
      </w:r>
      <w:r>
        <w:rPr>
          <w:rStyle w:val="26"/>
          <w:rFonts w:ascii="仿宋" w:eastAsia="仿宋" w:hAnsi="仿宋" w:hint="eastAsia"/>
          <w:b/>
          <w:bCs w:val="0"/>
          <w:color w:val="auto"/>
          <w:sz w:val="32"/>
          <w:szCs w:val="32"/>
          <w:lang w:val="en-US" w:eastAsia="zh-CN"/>
          <w:highlight w:val="auto"/>
        </w:rPr>
        <w:t>2080102</w:t>
      </w:r>
      <w:r>
        <w:rPr>
          <w:rStyle w:val="26"/>
          <w:rFonts w:ascii="仿宋" w:eastAsia="仿宋" w:hAnsi="仿宋" w:hint="eastAsia"/>
          <w:b/>
          <w:bCs w:val="0"/>
          <w:color w:val="auto"/>
          <w:sz w:val="32"/>
          <w:szCs w:val="32"/>
          <w:highlight w:val="auto"/>
        </w:rPr>
        <w:t>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702.52</w:t>
      </w:r>
      <w:r>
        <w:rPr>
          <w:rStyle w:val="26"/>
          <w:rFonts w:ascii="仿宋" w:eastAsia="仿宋" w:hAnsi="仿宋" w:hint="eastAsia"/>
          <w:b w:val="0"/>
          <w:bCs/>
          <w:color w:val="auto"/>
          <w:sz w:val="32"/>
          <w:szCs w:val="32"/>
          <w:highlight w:val="auto"/>
        </w:rPr>
        <w:t>万元</w:t>
      </w:r>
      <w:r>
        <w:rPr>
          <w:rStyle w:val="26"/>
          <w:rFonts w:ascii="仿宋" w:eastAsia="仿宋" w:hAnsi="仿宋" w:hint="eastAsia"/>
          <w:b w:val="0"/>
          <w:bCs/>
          <w:color w:val="auto"/>
          <w:sz w:val="32"/>
          <w:szCs w:val="32"/>
          <w:lang w:eastAsia="zh-CN"/>
          <w:highlight w:val="auto"/>
        </w:rPr>
        <w:t>，</w:t>
      </w:r>
      <w:r>
        <w:rPr>
          <w:rStyle w:val="26"/>
          <w:rFonts w:ascii="仿宋" w:eastAsia="仿宋" w:hAnsi="仿宋" w:hint="eastAsia"/>
          <w:b w:val="0"/>
          <w:bCs/>
          <w:color w:val="auto"/>
          <w:sz w:val="32"/>
          <w:szCs w:val="32"/>
          <w:highlight w:val="auto"/>
        </w:rPr>
        <w:t>完成预算</w:t>
      </w:r>
      <w:r>
        <w:rPr>
          <w:rStyle w:val="26"/>
          <w:rFonts w:ascii="仿宋" w:eastAsia="仿宋" w:hAnsi="仿宋" w:hint="eastAsia"/>
          <w:b w:val="0"/>
          <w:bCs/>
          <w:color w:val="auto"/>
          <w:sz w:val="32"/>
          <w:szCs w:val="32"/>
          <w:lang w:val="en-US" w:eastAsia="zh-CN"/>
          <w:highlight w:val="auto"/>
        </w:rPr>
        <w:t>96.71</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w:t>
      </w:r>
      <w:r>
        <w:rPr>
          <w:rStyle w:val="26"/>
          <w:rFonts w:ascii="仿宋" w:eastAsia="仿宋" w:hAnsi="仿宋" w:hint="eastAsia"/>
          <w:b w:val="0"/>
          <w:bCs/>
          <w:color w:val="auto"/>
          <w:sz w:val="32"/>
          <w:szCs w:val="32"/>
          <w:lang w:eastAsia="zh-CN"/>
          <w:highlight w:val="auto"/>
        </w:rPr>
        <w:t>小于</w:t>
      </w:r>
      <w:r>
        <w:rPr>
          <w:rStyle w:val="26"/>
          <w:rFonts w:ascii="仿宋" w:eastAsia="仿宋" w:hAnsi="仿宋" w:hint="eastAsia"/>
          <w:b w:val="0"/>
          <w:bCs/>
          <w:color w:val="auto"/>
          <w:sz w:val="32"/>
          <w:szCs w:val="32"/>
          <w:highlight w:val="auto"/>
        </w:rPr>
        <w:t>预算数的主要原因是</w:t>
      </w:r>
      <w:r>
        <w:rPr>
          <w:rStyle w:val="26"/>
          <w:rFonts w:ascii="仿宋" w:eastAsia="仿宋" w:hAnsi="仿宋" w:hint="eastAsia"/>
          <w:b w:val="0"/>
          <w:bCs/>
          <w:color w:val="auto"/>
          <w:sz w:val="32"/>
          <w:szCs w:val="32"/>
          <w:lang w:eastAsia="zh-CN"/>
          <w:highlight w:val="auto"/>
        </w:rPr>
        <w:t>受疫情影响，事业单位招考、零散工集散中心运营以及干部人事档案数字化建设等项目支出减少</w:t>
      </w:r>
      <w:r>
        <w:rPr>
          <w:rStyle w:val="26"/>
          <w:rFonts w:ascii="仿宋" w:eastAsia="仿宋" w:hAnsi="仿宋" w:hint="eastAsia"/>
          <w:b w:val="0"/>
          <w:bCs/>
          <w:color w:val="auto"/>
          <w:sz w:val="32"/>
          <w:szCs w:val="32"/>
          <w:highlight w:val="auto"/>
        </w:rPr>
        <w:t>。</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3.</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（208类）人力资源和社会保障管理事务（20801款）</w:t>
      </w:r>
      <w:r>
        <w:rPr>
          <w:rStyle w:val="26"/>
          <w:rFonts w:ascii="仿宋" w:eastAsia="仿宋" w:hAnsi="仿宋" w:hint="eastAsia"/>
          <w:b/>
          <w:bCs w:val="0"/>
          <w:color w:val="auto"/>
          <w:sz w:val="32"/>
          <w:szCs w:val="32"/>
          <w:lang w:val="en-US" w:eastAsia="zh-CN"/>
          <w:highlight w:val="auto"/>
        </w:rPr>
        <w:t>劳动保障监察</w:t>
      </w:r>
      <w:r>
        <w:rPr>
          <w:rStyle w:val="26"/>
          <w:rFonts w:ascii="仿宋" w:eastAsia="仿宋" w:hAnsi="仿宋" w:hint="eastAsia"/>
          <w:b/>
          <w:bCs w:val="0"/>
          <w:color w:val="auto"/>
          <w:sz w:val="32"/>
          <w:szCs w:val="32"/>
          <w:highlight w:val="auto"/>
        </w:rPr>
        <w:t>（</w:t>
      </w:r>
      <w:r>
        <w:rPr>
          <w:rStyle w:val="26"/>
          <w:rFonts w:ascii="仿宋" w:eastAsia="仿宋" w:hAnsi="仿宋" w:hint="eastAsia"/>
          <w:b/>
          <w:bCs w:val="0"/>
          <w:color w:val="auto"/>
          <w:sz w:val="32"/>
          <w:szCs w:val="32"/>
          <w:lang w:val="en-US" w:eastAsia="zh-CN"/>
          <w:highlight w:val="auto"/>
        </w:rPr>
        <w:t>2080105</w:t>
      </w:r>
      <w:r>
        <w:rPr>
          <w:rStyle w:val="26"/>
          <w:rFonts w:ascii="仿宋" w:eastAsia="仿宋" w:hAnsi="仿宋" w:hint="eastAsia"/>
          <w:b/>
          <w:bCs w:val="0"/>
          <w:color w:val="auto"/>
          <w:sz w:val="32"/>
          <w:szCs w:val="32"/>
          <w:highlight w:val="auto"/>
        </w:rPr>
        <w:t>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20</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4.</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（208类）人力资源和社会保障管理事务（20801款）</w:t>
      </w:r>
      <w:r>
        <w:rPr>
          <w:rStyle w:val="26"/>
          <w:rFonts w:ascii="仿宋" w:eastAsia="仿宋" w:hAnsi="仿宋" w:hint="eastAsia"/>
          <w:b/>
          <w:bCs w:val="0"/>
          <w:color w:val="auto"/>
          <w:sz w:val="32"/>
          <w:szCs w:val="32"/>
          <w:lang w:val="en-US" w:eastAsia="zh-CN"/>
          <w:highlight w:val="auto"/>
        </w:rPr>
        <w:t>就业管理事务</w:t>
      </w:r>
      <w:r>
        <w:rPr>
          <w:rStyle w:val="26"/>
          <w:rFonts w:ascii="仿宋" w:eastAsia="仿宋" w:hAnsi="仿宋" w:hint="eastAsia"/>
          <w:b/>
          <w:bCs w:val="0"/>
          <w:color w:val="auto"/>
          <w:sz w:val="32"/>
          <w:szCs w:val="32"/>
          <w:highlight w:val="auto"/>
        </w:rPr>
        <w:t>（2080106项）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176.14</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64.05</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，决算数小于预算数的主要原因是</w:t>
      </w:r>
      <w:r>
        <w:rPr>
          <w:rStyle w:val="26"/>
          <w:rFonts w:ascii="仿宋" w:eastAsia="仿宋" w:hAnsi="仿宋" w:hint="eastAsia"/>
          <w:b w:val="0"/>
          <w:bCs/>
          <w:color w:val="auto"/>
          <w:sz w:val="32"/>
          <w:szCs w:val="32"/>
          <w:lang w:eastAsia="zh-CN"/>
          <w:highlight w:val="auto"/>
        </w:rPr>
        <w:t>受疫情影响，就业创业配套资金支出减少</w:t>
      </w:r>
      <w:r>
        <w:rPr>
          <w:rStyle w:val="26"/>
          <w:rFonts w:ascii="仿宋" w:eastAsia="仿宋" w:hAnsi="仿宋" w:hint="eastAsia"/>
          <w:b w:val="0"/>
          <w:bCs/>
          <w:color w:val="auto"/>
          <w:sz w:val="32"/>
          <w:szCs w:val="32"/>
          <w:highlight w:val="auto"/>
        </w:rPr>
        <w:t>。</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5.</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（208类）人力资源和社会保障管理事务（20801款）</w:t>
      </w:r>
      <w:r>
        <w:rPr>
          <w:rStyle w:val="26"/>
          <w:rFonts w:ascii="仿宋" w:eastAsia="仿宋" w:hAnsi="仿宋" w:hint="eastAsia"/>
          <w:b/>
          <w:bCs w:val="0"/>
          <w:color w:val="auto"/>
          <w:sz w:val="32"/>
          <w:szCs w:val="32"/>
          <w:lang w:val="en-US" w:eastAsia="zh-CN"/>
          <w:highlight w:val="auto"/>
        </w:rPr>
        <w:t>劳动人事争议调解仲裁</w:t>
      </w:r>
      <w:r>
        <w:rPr>
          <w:rStyle w:val="26"/>
          <w:rFonts w:ascii="仿宋" w:eastAsia="仿宋" w:hAnsi="仿宋" w:hint="eastAsia"/>
          <w:b/>
          <w:bCs w:val="0"/>
          <w:color w:val="auto"/>
          <w:sz w:val="32"/>
          <w:szCs w:val="32"/>
          <w:highlight w:val="auto"/>
        </w:rPr>
        <w:t>（20801</w:t>
      </w:r>
      <w:r>
        <w:rPr>
          <w:rStyle w:val="26"/>
          <w:rFonts w:ascii="仿宋" w:eastAsia="仿宋" w:hAnsi="仿宋" w:hint="eastAsia"/>
          <w:b/>
          <w:bCs w:val="0"/>
          <w:color w:val="auto"/>
          <w:sz w:val="32"/>
          <w:szCs w:val="32"/>
          <w:lang w:val="en-US" w:eastAsia="zh-CN"/>
          <w:highlight w:val="auto"/>
        </w:rPr>
        <w:t>12</w:t>
      </w:r>
      <w:r>
        <w:rPr>
          <w:rStyle w:val="26"/>
          <w:rFonts w:ascii="仿宋" w:eastAsia="仿宋" w:hAnsi="仿宋" w:hint="eastAsia"/>
          <w:b/>
          <w:bCs w:val="0"/>
          <w:color w:val="auto"/>
          <w:sz w:val="32"/>
          <w:szCs w:val="32"/>
          <w:highlight w:val="auto"/>
        </w:rPr>
        <w:t>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8</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6.</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（208类）人力资源和社会保障管理事务（20801款）</w:t>
      </w:r>
      <w:r>
        <w:rPr>
          <w:rStyle w:val="26"/>
          <w:rFonts w:ascii="仿宋" w:eastAsia="仿宋" w:hAnsi="仿宋" w:hint="eastAsia"/>
          <w:b/>
          <w:bCs w:val="0"/>
          <w:color w:val="auto"/>
          <w:sz w:val="32"/>
          <w:szCs w:val="32"/>
          <w:lang w:val="en-US" w:eastAsia="zh-CN"/>
          <w:highlight w:val="auto"/>
        </w:rPr>
        <w:t>事业运行</w:t>
      </w:r>
      <w:r>
        <w:rPr>
          <w:rStyle w:val="26"/>
          <w:rFonts w:ascii="仿宋" w:eastAsia="仿宋" w:hAnsi="仿宋" w:hint="eastAsia"/>
          <w:b/>
          <w:bCs w:val="0"/>
          <w:color w:val="auto"/>
          <w:sz w:val="32"/>
          <w:szCs w:val="32"/>
          <w:highlight w:val="auto"/>
        </w:rPr>
        <w:t>（2080</w:t>
      </w:r>
      <w:r>
        <w:rPr>
          <w:rStyle w:val="26"/>
          <w:rFonts w:ascii="仿宋" w:eastAsia="仿宋" w:hAnsi="仿宋" w:hint="eastAsia"/>
          <w:b/>
          <w:bCs w:val="0"/>
          <w:color w:val="auto"/>
          <w:sz w:val="32"/>
          <w:szCs w:val="32"/>
          <w:lang w:val="en-US" w:eastAsia="zh-CN"/>
          <w:highlight w:val="auto"/>
        </w:rPr>
        <w:t>150</w:t>
      </w:r>
      <w:r>
        <w:rPr>
          <w:rStyle w:val="26"/>
          <w:rFonts w:ascii="仿宋" w:eastAsia="仿宋" w:hAnsi="仿宋" w:hint="eastAsia"/>
          <w:b/>
          <w:bCs w:val="0"/>
          <w:color w:val="auto"/>
          <w:sz w:val="32"/>
          <w:szCs w:val="32"/>
          <w:highlight w:val="auto"/>
        </w:rPr>
        <w:t>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542.68</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7.</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（208类）人力资源和社会保障管理事务（20801款）</w:t>
      </w:r>
      <w:r>
        <w:rPr>
          <w:rStyle w:val="26"/>
          <w:rFonts w:ascii="仿宋" w:eastAsia="仿宋" w:hAnsi="仿宋" w:hint="eastAsia"/>
          <w:b/>
          <w:bCs w:val="0"/>
          <w:color w:val="auto"/>
          <w:sz w:val="32"/>
          <w:szCs w:val="32"/>
          <w:highlight w:val="auto"/>
        </w:rPr>
        <w:t>其他人力资源和社会保障管理支出（2080199项）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128.75</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75.17</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，决算数小于预算数的主要原因是</w:t>
      </w:r>
      <w:r>
        <w:rPr>
          <w:rStyle w:val="26"/>
          <w:rFonts w:ascii="仿宋" w:eastAsia="仿宋" w:hAnsi="仿宋" w:hint="eastAsia"/>
          <w:b w:val="0"/>
          <w:bCs/>
          <w:color w:val="auto"/>
          <w:sz w:val="32"/>
          <w:szCs w:val="32"/>
          <w:lang w:eastAsia="zh-CN"/>
          <w:highlight w:val="auto"/>
        </w:rPr>
        <w:t>受疫情影响，社保公共服务建设补助资金支出较少、三支一扶人员年末考核导致经费跨年支付以及南河片区零散工集散中心房租未支付</w:t>
      </w:r>
      <w:r>
        <w:rPr>
          <w:rStyle w:val="26"/>
          <w:rFonts w:ascii="仿宋" w:eastAsia="仿宋" w:hAnsi="仿宋" w:hint="eastAsia"/>
          <w:b w:val="0"/>
          <w:bCs/>
          <w:color w:val="auto"/>
          <w:sz w:val="32"/>
          <w:szCs w:val="32"/>
          <w:highlight w:val="auto"/>
        </w:rPr>
        <w:t>。</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8.</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w:t>
      </w:r>
      <w:r>
        <w:rPr>
          <w:rStyle w:val="26"/>
          <w:rFonts w:ascii="仿宋" w:eastAsia="仿宋" w:hAnsi="仿宋" w:hint="eastAsia"/>
          <w:b/>
          <w:bCs/>
          <w:color w:val="auto"/>
          <w:sz w:val="32"/>
          <w:szCs w:val="32"/>
          <w:lang w:val="en-US" w:eastAsia="zh-CN"/>
          <w:highlight w:val="auto"/>
        </w:rPr>
        <w:t>行政事业单位养老支出</w:t>
      </w:r>
      <w:r>
        <w:rPr>
          <w:rStyle w:val="26"/>
          <w:rFonts w:ascii="仿宋" w:eastAsia="仿宋" w:hAnsi="仿宋" w:hint="eastAsia"/>
          <w:b/>
          <w:bCs/>
          <w:color w:val="auto"/>
          <w:sz w:val="32"/>
          <w:szCs w:val="32"/>
          <w:highlight w:val="auto"/>
        </w:rPr>
        <w:t>（2080</w:t>
      </w:r>
      <w:r>
        <w:rPr>
          <w:rStyle w:val="26"/>
          <w:rFonts w:ascii="仿宋" w:eastAsia="仿宋" w:hAnsi="仿宋" w:hint="eastAsia"/>
          <w:b/>
          <w:bCs/>
          <w:color w:val="auto"/>
          <w:sz w:val="32"/>
          <w:szCs w:val="32"/>
          <w:lang w:val="en-US" w:eastAsia="zh-CN"/>
          <w:highlight w:val="auto"/>
        </w:rPr>
        <w:t>5</w:t>
      </w:r>
      <w:r>
        <w:rPr>
          <w:rStyle w:val="26"/>
          <w:rFonts w:ascii="仿宋" w:eastAsia="仿宋" w:hAnsi="仿宋" w:hint="eastAsia"/>
          <w:b/>
          <w:bCs/>
          <w:color w:val="auto"/>
          <w:sz w:val="32"/>
          <w:szCs w:val="32"/>
          <w:highlight w:val="auto"/>
        </w:rPr>
        <w:t>款）</w:t>
      </w:r>
      <w:r>
        <w:rPr>
          <w:rStyle w:val="26"/>
          <w:rFonts w:ascii="仿宋" w:eastAsia="仿宋" w:hAnsi="仿宋" w:hint="eastAsia"/>
          <w:b/>
          <w:bCs w:val="0"/>
          <w:color w:val="auto"/>
          <w:sz w:val="32"/>
          <w:szCs w:val="32"/>
          <w:lang w:val="en-US" w:eastAsia="zh-CN"/>
          <w:highlight w:val="auto"/>
        </w:rPr>
        <w:t>机关事业单位基本养老保险缴费支出</w:t>
      </w:r>
      <w:r>
        <w:rPr>
          <w:rStyle w:val="26"/>
          <w:rFonts w:ascii="仿宋" w:eastAsia="仿宋" w:hAnsi="仿宋" w:hint="eastAsia"/>
          <w:b/>
          <w:bCs w:val="0"/>
          <w:color w:val="auto"/>
          <w:sz w:val="32"/>
          <w:szCs w:val="32"/>
          <w:highlight w:val="auto"/>
        </w:rPr>
        <w:t>（</w:t>
      </w:r>
      <w:r>
        <w:rPr>
          <w:rStyle w:val="26"/>
          <w:rFonts w:ascii="仿宋" w:eastAsia="仿宋" w:hAnsi="仿宋" w:hint="eastAsia"/>
          <w:b/>
          <w:bCs w:val="0"/>
          <w:color w:val="auto"/>
          <w:sz w:val="32"/>
          <w:szCs w:val="32"/>
          <w:lang w:val="en-US" w:eastAsia="zh-CN"/>
          <w:highlight w:val="auto"/>
        </w:rPr>
        <w:t>2080505</w:t>
      </w:r>
      <w:r>
        <w:rPr>
          <w:rStyle w:val="26"/>
          <w:rFonts w:ascii="仿宋" w:eastAsia="仿宋" w:hAnsi="仿宋" w:hint="eastAsia"/>
          <w:b/>
          <w:bCs w:val="0"/>
          <w:color w:val="auto"/>
          <w:sz w:val="32"/>
          <w:szCs w:val="32"/>
          <w:highlight w:val="auto"/>
        </w:rPr>
        <w:t>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85.52</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9.</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w:t>
      </w:r>
      <w:r>
        <w:rPr>
          <w:rStyle w:val="26"/>
          <w:rFonts w:ascii="仿宋" w:eastAsia="仿宋" w:hAnsi="仿宋" w:hint="eastAsia"/>
          <w:b/>
          <w:bCs/>
          <w:color w:val="auto"/>
          <w:sz w:val="32"/>
          <w:szCs w:val="32"/>
          <w:lang w:val="en-US" w:eastAsia="zh-CN"/>
          <w:highlight w:val="auto"/>
        </w:rPr>
        <w:t>行政事业单位养老支出</w:t>
      </w:r>
      <w:r>
        <w:rPr>
          <w:rStyle w:val="26"/>
          <w:rFonts w:ascii="仿宋" w:eastAsia="仿宋" w:hAnsi="仿宋" w:hint="eastAsia"/>
          <w:b/>
          <w:bCs/>
          <w:color w:val="auto"/>
          <w:sz w:val="32"/>
          <w:szCs w:val="32"/>
          <w:highlight w:val="auto"/>
        </w:rPr>
        <w:t>（2080</w:t>
      </w:r>
      <w:r>
        <w:rPr>
          <w:rStyle w:val="26"/>
          <w:rFonts w:ascii="仿宋" w:eastAsia="仿宋" w:hAnsi="仿宋" w:hint="eastAsia"/>
          <w:b/>
          <w:bCs/>
          <w:color w:val="auto"/>
          <w:sz w:val="32"/>
          <w:szCs w:val="32"/>
          <w:lang w:val="en-US" w:eastAsia="zh-CN"/>
          <w:highlight w:val="auto"/>
        </w:rPr>
        <w:t>5</w:t>
      </w:r>
      <w:r>
        <w:rPr>
          <w:rStyle w:val="26"/>
          <w:rFonts w:ascii="仿宋" w:eastAsia="仿宋" w:hAnsi="仿宋" w:hint="eastAsia"/>
          <w:b/>
          <w:bCs/>
          <w:color w:val="auto"/>
          <w:sz w:val="32"/>
          <w:szCs w:val="32"/>
          <w:highlight w:val="auto"/>
        </w:rPr>
        <w:t>款）</w:t>
      </w:r>
      <w:r>
        <w:rPr>
          <w:rStyle w:val="26"/>
          <w:rFonts w:ascii="仿宋" w:eastAsia="仿宋" w:hAnsi="仿宋" w:hint="eastAsia"/>
          <w:b/>
          <w:bCs w:val="0"/>
          <w:color w:val="auto"/>
          <w:sz w:val="32"/>
          <w:szCs w:val="32"/>
          <w:highlight w:val="auto"/>
        </w:rPr>
        <w:t>机关事业单位职业年金缴费支出（2080506项）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15.34</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10.</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w:t>
      </w:r>
      <w:r>
        <w:rPr>
          <w:rStyle w:val="26"/>
          <w:rFonts w:ascii="仿宋" w:eastAsia="仿宋" w:hAnsi="仿宋" w:hint="eastAsia"/>
          <w:b/>
          <w:bCs/>
          <w:color w:val="auto"/>
          <w:sz w:val="32"/>
          <w:szCs w:val="32"/>
          <w:lang w:val="en-US" w:eastAsia="zh-CN"/>
          <w:highlight w:val="auto"/>
        </w:rPr>
        <w:t>就业补助</w:t>
      </w:r>
      <w:r>
        <w:rPr>
          <w:rStyle w:val="26"/>
          <w:rFonts w:ascii="仿宋" w:eastAsia="仿宋" w:hAnsi="仿宋" w:hint="eastAsia"/>
          <w:b/>
          <w:bCs/>
          <w:color w:val="auto"/>
          <w:sz w:val="32"/>
          <w:szCs w:val="32"/>
          <w:highlight w:val="auto"/>
        </w:rPr>
        <w:t>（2080</w:t>
      </w:r>
      <w:r>
        <w:rPr>
          <w:rStyle w:val="26"/>
          <w:rFonts w:ascii="仿宋" w:eastAsia="仿宋" w:hAnsi="仿宋" w:hint="eastAsia"/>
          <w:b/>
          <w:bCs/>
          <w:color w:val="auto"/>
          <w:sz w:val="32"/>
          <w:szCs w:val="32"/>
          <w:lang w:val="en-US" w:eastAsia="zh-CN"/>
          <w:highlight w:val="auto"/>
        </w:rPr>
        <w:t>7</w:t>
      </w:r>
      <w:r>
        <w:rPr>
          <w:rStyle w:val="26"/>
          <w:rFonts w:ascii="仿宋" w:eastAsia="仿宋" w:hAnsi="仿宋" w:hint="eastAsia"/>
          <w:b/>
          <w:bCs/>
          <w:color w:val="auto"/>
          <w:sz w:val="32"/>
          <w:szCs w:val="32"/>
          <w:highlight w:val="auto"/>
        </w:rPr>
        <w:t>款）</w:t>
      </w:r>
      <w:r>
        <w:rPr>
          <w:rStyle w:val="26"/>
          <w:rFonts w:ascii="仿宋" w:eastAsia="仿宋" w:hAnsi="仿宋" w:hint="eastAsia"/>
          <w:b/>
          <w:bCs w:val="0"/>
          <w:color w:val="auto"/>
          <w:sz w:val="32"/>
          <w:szCs w:val="32"/>
          <w:highlight w:val="auto"/>
        </w:rPr>
        <w:t>其他就业补助支出（2080799项）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6235</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w:t>
      </w:r>
      <w:r>
        <w:rPr>
          <w:rStyle w:val="26"/>
          <w:rFonts w:ascii="仿宋" w:eastAsia="仿宋" w:hAnsi="仿宋" w:hint="eastAsia"/>
          <w:b w:val="0"/>
          <w:bCs/>
          <w:color w:val="auto"/>
          <w:sz w:val="32"/>
          <w:szCs w:val="32"/>
          <w:lang w:val="en-US" w:eastAsia="zh-CN"/>
          <w:highlight w:val="auto"/>
        </w:rPr>
        <w:t>等于</w:t>
      </w:r>
      <w:r>
        <w:rPr>
          <w:rStyle w:val="26"/>
          <w:rFonts w:ascii="仿宋" w:eastAsia="仿宋" w:hAnsi="仿宋" w:hint="eastAsia"/>
          <w:b w:val="0"/>
          <w:bCs/>
          <w:color w:val="auto"/>
          <w:sz w:val="32"/>
          <w:szCs w:val="32"/>
          <w:highlight w:val="auto"/>
        </w:rPr>
        <w:t>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11.</w:t>
      </w:r>
      <w:r>
        <w:rPr>
          <w:rStyle w:val="26"/>
          <w:rFonts w:ascii="仿宋" w:eastAsia="仿宋" w:hAnsi="仿宋" w:hint="eastAsia"/>
          <w:b/>
          <w:bCs/>
          <w:color w:val="auto"/>
          <w:sz w:val="32"/>
          <w:szCs w:val="32"/>
          <w:highlight w:val="auto"/>
        </w:rPr>
        <w:t>社会保障和就业</w:t>
      </w:r>
      <w:r>
        <w:rPr>
          <w:rStyle w:val="26"/>
          <w:rFonts w:ascii="仿宋" w:eastAsia="仿宋" w:hAnsi="仿宋" w:hint="eastAsia"/>
          <w:b/>
          <w:bCs/>
          <w:color w:val="auto"/>
          <w:sz w:val="32"/>
          <w:szCs w:val="32"/>
          <w:lang w:val="en-US" w:eastAsia="zh-CN"/>
          <w:highlight w:val="auto"/>
        </w:rPr>
        <w:t>支出</w:t>
      </w:r>
      <w:r>
        <w:rPr>
          <w:rStyle w:val="26"/>
          <w:rFonts w:ascii="仿宋" w:eastAsia="仿宋" w:hAnsi="仿宋" w:hint="eastAsia"/>
          <w:b/>
          <w:bCs/>
          <w:color w:val="auto"/>
          <w:sz w:val="32"/>
          <w:szCs w:val="32"/>
          <w:highlight w:val="auto"/>
        </w:rPr>
        <w:t>（208类）</w:t>
      </w:r>
      <w:r>
        <w:rPr>
          <w:rStyle w:val="26"/>
          <w:rFonts w:ascii="仿宋" w:eastAsia="仿宋" w:hAnsi="仿宋" w:hint="eastAsia"/>
          <w:b/>
          <w:bCs/>
          <w:color w:val="auto"/>
          <w:sz w:val="32"/>
          <w:szCs w:val="32"/>
          <w:lang w:val="en-US" w:eastAsia="zh-CN"/>
          <w:highlight w:val="auto"/>
        </w:rPr>
        <w:t>其他社会保障和就业支出</w:t>
      </w:r>
      <w:r>
        <w:rPr>
          <w:rStyle w:val="26"/>
          <w:rFonts w:ascii="仿宋" w:eastAsia="仿宋" w:hAnsi="仿宋" w:hint="eastAsia"/>
          <w:b/>
          <w:bCs/>
          <w:color w:val="auto"/>
          <w:sz w:val="32"/>
          <w:szCs w:val="32"/>
          <w:highlight w:val="auto"/>
        </w:rPr>
        <w:t>（208</w:t>
      </w:r>
      <w:r>
        <w:rPr>
          <w:rStyle w:val="26"/>
          <w:rFonts w:ascii="仿宋" w:eastAsia="仿宋" w:hAnsi="仿宋" w:hint="eastAsia"/>
          <w:b/>
          <w:bCs/>
          <w:color w:val="auto"/>
          <w:sz w:val="32"/>
          <w:szCs w:val="32"/>
          <w:lang w:val="en-US" w:eastAsia="zh-CN"/>
          <w:highlight w:val="auto"/>
        </w:rPr>
        <w:t>99</w:t>
      </w:r>
      <w:r>
        <w:rPr>
          <w:rStyle w:val="26"/>
          <w:rFonts w:ascii="仿宋" w:eastAsia="仿宋" w:hAnsi="仿宋" w:hint="eastAsia"/>
          <w:b/>
          <w:bCs/>
          <w:color w:val="auto"/>
          <w:sz w:val="32"/>
          <w:szCs w:val="32"/>
          <w:highlight w:val="auto"/>
        </w:rPr>
        <w:t>款）</w:t>
      </w:r>
      <w:r>
        <w:rPr>
          <w:rStyle w:val="26"/>
          <w:rFonts w:ascii="仿宋" w:eastAsia="仿宋" w:hAnsi="仿宋" w:hint="eastAsia"/>
          <w:b/>
          <w:bCs w:val="0"/>
          <w:color w:val="auto"/>
          <w:sz w:val="32"/>
          <w:szCs w:val="32"/>
          <w:highlight w:val="auto"/>
        </w:rPr>
        <w:t>其他社会保障</w:t>
      </w:r>
      <w:r>
        <w:rPr>
          <w:rStyle w:val="26"/>
          <w:rFonts w:ascii="仿宋" w:eastAsia="仿宋" w:hAnsi="仿宋" w:hint="eastAsia"/>
          <w:b/>
          <w:bCs w:val="0"/>
          <w:color w:val="auto"/>
          <w:sz w:val="32"/>
          <w:szCs w:val="32"/>
          <w:lang w:val="en-US" w:eastAsia="zh-CN"/>
          <w:highlight w:val="auto"/>
        </w:rPr>
        <w:t>和就业</w:t>
      </w:r>
      <w:r>
        <w:rPr>
          <w:rStyle w:val="26"/>
          <w:rFonts w:ascii="仿宋" w:eastAsia="仿宋" w:hAnsi="仿宋" w:hint="eastAsia"/>
          <w:b/>
          <w:bCs w:val="0"/>
          <w:color w:val="auto"/>
          <w:sz w:val="32"/>
          <w:szCs w:val="32"/>
          <w:highlight w:val="auto"/>
        </w:rPr>
        <w:t>支出（208</w:t>
      </w:r>
      <w:r>
        <w:rPr>
          <w:rStyle w:val="26"/>
          <w:rFonts w:ascii="仿宋" w:eastAsia="仿宋" w:hAnsi="仿宋" w:hint="eastAsia"/>
          <w:b/>
          <w:bCs w:val="0"/>
          <w:color w:val="auto"/>
          <w:sz w:val="32"/>
          <w:szCs w:val="32"/>
          <w:lang w:val="en-US" w:eastAsia="zh-CN"/>
          <w:highlight w:val="auto"/>
        </w:rPr>
        <w:t>99</w:t>
      </w:r>
      <w:r>
        <w:rPr>
          <w:rStyle w:val="26"/>
          <w:rFonts w:ascii="仿宋" w:eastAsia="仿宋" w:hAnsi="仿宋" w:hint="eastAsia"/>
          <w:b/>
          <w:bCs w:val="0"/>
          <w:color w:val="auto"/>
          <w:sz w:val="32"/>
          <w:szCs w:val="32"/>
          <w:highlight w:val="auto"/>
        </w:rPr>
        <w:t>99项）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2.18</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w:t>
      </w:r>
      <w:r>
        <w:rPr>
          <w:rStyle w:val="26"/>
          <w:rFonts w:ascii="仿宋" w:eastAsia="仿宋" w:hAnsi="仿宋" w:hint="eastAsia"/>
          <w:b w:val="0"/>
          <w:bCs/>
          <w:color w:val="auto"/>
          <w:sz w:val="32"/>
          <w:szCs w:val="32"/>
          <w:lang w:val="en-US" w:eastAsia="zh-CN"/>
          <w:highlight w:val="auto"/>
        </w:rPr>
        <w:t>等</w:t>
      </w:r>
      <w:r>
        <w:rPr>
          <w:rStyle w:val="26"/>
          <w:rFonts w:ascii="仿宋" w:eastAsia="仿宋" w:hAnsi="仿宋" w:hint="eastAsia"/>
          <w:b w:val="0"/>
          <w:bCs/>
          <w:color w:val="auto"/>
          <w:sz w:val="32"/>
          <w:szCs w:val="32"/>
          <w:highlight w:val="auto"/>
        </w:rPr>
        <w:t>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12.</w:t>
      </w:r>
      <w:r>
        <w:rPr>
          <w:rStyle w:val="26"/>
          <w:rFonts w:ascii="仿宋" w:eastAsia="仿宋" w:hAnsi="仿宋" w:hint="eastAsia"/>
          <w:b/>
          <w:bCs w:val="0"/>
          <w:color w:val="auto"/>
          <w:sz w:val="32"/>
          <w:szCs w:val="32"/>
          <w:highlight w:val="auto"/>
        </w:rPr>
        <w:t>卫生健康支出（210类）行政事业单位医疗（21011款）行政单位医疗（2101101项）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41.99</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13.</w:t>
      </w:r>
      <w:r>
        <w:rPr>
          <w:rStyle w:val="26"/>
          <w:rFonts w:ascii="仿宋" w:eastAsia="仿宋" w:hAnsi="仿宋" w:hint="eastAsia"/>
          <w:b/>
          <w:bCs w:val="0"/>
          <w:color w:val="auto"/>
          <w:sz w:val="32"/>
          <w:szCs w:val="32"/>
          <w:highlight w:val="auto"/>
        </w:rPr>
        <w:t>农林水支出（213类）巩固脱贫衔接乡村振兴（21305款）其他巩固脱贫衔接乡村振兴支出（2130599项）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1</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spacing w:line="600" w:lineRule="exact"/>
        <w:ind w:firstLineChars="200" w:firstLine="640"/>
        <w:outlineLvl w:val="9"/>
        <w:rPr>
          <w:rStyle w:val="26"/>
          <w:rFonts w:ascii="仿宋" w:eastAsia="仿宋" w:hAnsi="仿宋" w:hint="eastAsia"/>
          <w:b w:val="0"/>
          <w:bCs/>
          <w:color w:val="auto"/>
          <w:sz w:val="32"/>
          <w:szCs w:val="32"/>
          <w:highlight w:val="auto"/>
        </w:rPr>
      </w:pPr>
      <w:r>
        <w:rPr>
          <w:rStyle w:val="26"/>
          <w:rFonts w:ascii="仿宋" w:eastAsia="仿宋" w:hAnsi="仿宋" w:hint="eastAsia"/>
          <w:b/>
          <w:bCs w:val="0"/>
          <w:color w:val="auto"/>
          <w:sz w:val="32"/>
          <w:szCs w:val="32"/>
          <w:lang w:val="en-US" w:eastAsia="zh-CN"/>
          <w:highlight w:val="auto"/>
        </w:rPr>
        <w:t>14.</w:t>
      </w:r>
      <w:r>
        <w:rPr>
          <w:rStyle w:val="26"/>
          <w:rFonts w:ascii="仿宋" w:eastAsia="仿宋" w:hAnsi="仿宋" w:hint="eastAsia"/>
          <w:b/>
          <w:bCs w:val="0"/>
          <w:color w:val="auto"/>
          <w:sz w:val="32"/>
          <w:szCs w:val="32"/>
          <w:highlight w:val="auto"/>
        </w:rPr>
        <w:t>农林水支出（213类）普惠金融发展支出（21308款）创业担保</w:t>
      </w:r>
      <w:r>
        <w:rPr>
          <w:rStyle w:val="26"/>
          <w:rFonts w:ascii="仿宋" w:eastAsia="仿宋" w:hAnsi="仿宋" w:hint="eastAsia"/>
          <w:b/>
          <w:bCs w:val="0"/>
          <w:color w:val="auto"/>
          <w:sz w:val="32"/>
          <w:szCs w:val="32"/>
          <w:lang w:val="en-US" w:eastAsia="zh-CN"/>
          <w:highlight w:val="auto"/>
        </w:rPr>
        <w:t>贷款</w:t>
      </w:r>
      <w:r>
        <w:rPr>
          <w:rStyle w:val="26"/>
          <w:rFonts w:ascii="仿宋" w:eastAsia="仿宋" w:hAnsi="仿宋" w:hint="eastAsia"/>
          <w:b/>
          <w:bCs w:val="0"/>
          <w:color w:val="auto"/>
          <w:sz w:val="32"/>
          <w:szCs w:val="32"/>
          <w:highlight w:val="auto"/>
        </w:rPr>
        <w:t>贴息及奖补（2130804项）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152.05</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58.45</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，决算数小于预算数的主要原因是</w:t>
      </w:r>
      <w:r>
        <w:rPr>
          <w:rStyle w:val="26"/>
          <w:rFonts w:ascii="仿宋" w:eastAsia="仿宋" w:hAnsi="仿宋" w:hint="eastAsia"/>
          <w:b w:val="0"/>
          <w:bCs/>
          <w:color w:val="auto"/>
          <w:sz w:val="32"/>
          <w:szCs w:val="32"/>
          <w:lang w:eastAsia="zh-CN"/>
          <w:highlight w:val="auto"/>
        </w:rPr>
        <w:t>受疫情影响，个人和小微企业申请创业担保贷款减少以及四季度贴息审核跨年支付</w:t>
      </w:r>
      <w:r>
        <w:rPr>
          <w:rStyle w:val="26"/>
          <w:rFonts w:ascii="仿宋" w:eastAsia="仿宋" w:hAnsi="仿宋" w:hint="eastAsia"/>
          <w:b w:val="0"/>
          <w:bCs/>
          <w:color w:val="auto"/>
          <w:sz w:val="32"/>
          <w:szCs w:val="32"/>
          <w:highlight w:val="auto"/>
        </w:rPr>
        <w:t>。</w:t>
      </w:r>
    </w:p>
    <w:p>
      <w:pPr>
        <w:spacing w:line="600" w:lineRule="exact"/>
        <w:ind w:firstLineChars="200" w:firstLine="640"/>
        <w:outlineLvl w:val="9"/>
        <w:rPr>
          <w:rFonts w:ascii="仿宋" w:eastAsia="仿宋" w:hAnsi="仿宋"/>
          <w:b/>
          <w:color w:val="auto"/>
          <w:sz w:val="32"/>
          <w:szCs w:val="32"/>
          <w:highlight w:val="auto"/>
        </w:rPr>
      </w:pPr>
      <w:r>
        <w:rPr>
          <w:rStyle w:val="26"/>
          <w:rFonts w:ascii="仿宋" w:eastAsia="仿宋" w:hAnsi="仿宋" w:hint="eastAsia"/>
          <w:b/>
          <w:bCs w:val="0"/>
          <w:color w:val="auto"/>
          <w:sz w:val="32"/>
          <w:szCs w:val="32"/>
          <w:lang w:val="en-US" w:eastAsia="zh-CN"/>
          <w:highlight w:val="auto"/>
        </w:rPr>
        <w:t>1</w:t>
      </w:r>
      <w:r>
        <w:rPr>
          <w:rStyle w:val="26"/>
          <w:rFonts w:ascii="仿宋" w:eastAsia="仿宋" w:hAnsi="仿宋" w:hint="eastAsia"/>
          <w:b/>
          <w:bCs w:val="0"/>
          <w:color w:val="auto"/>
          <w:sz w:val="32"/>
          <w:szCs w:val="32"/>
          <w:highlight w:val="auto"/>
        </w:rPr>
        <w:t>5.住房保障支出（221类）住房改革支出（22102款）住房公积金（2210201项）</w:t>
      </w:r>
      <w:r>
        <w:rPr>
          <w:rStyle w:val="26"/>
          <w:rFonts w:ascii="仿宋" w:eastAsia="仿宋" w:hAnsi="仿宋" w:hint="eastAsia"/>
          <w:b w:val="0"/>
          <w:bCs/>
          <w:color w:val="auto"/>
          <w:sz w:val="32"/>
          <w:szCs w:val="32"/>
          <w:highlight w:val="auto"/>
        </w:rPr>
        <w:t>：支出决算为</w:t>
      </w:r>
      <w:r>
        <w:rPr>
          <w:rStyle w:val="26"/>
          <w:rFonts w:ascii="仿宋" w:eastAsia="仿宋" w:hAnsi="仿宋" w:hint="eastAsia"/>
          <w:b w:val="0"/>
          <w:bCs/>
          <w:color w:val="auto"/>
          <w:sz w:val="32"/>
          <w:szCs w:val="32"/>
          <w:lang w:val="en-US" w:eastAsia="zh-CN"/>
          <w:highlight w:val="auto"/>
        </w:rPr>
        <w:t>62.36</w:t>
      </w:r>
      <w:r>
        <w:rPr>
          <w:rStyle w:val="26"/>
          <w:rFonts w:ascii="仿宋" w:eastAsia="仿宋" w:hAnsi="仿宋" w:hint="eastAsia"/>
          <w:b w:val="0"/>
          <w:bCs/>
          <w:color w:val="auto"/>
          <w:sz w:val="32"/>
          <w:szCs w:val="32"/>
          <w:highlight w:val="auto"/>
        </w:rPr>
        <w:t>万元，完成预算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，决算数等于预算数。</w:t>
      </w:r>
    </w:p>
    <w:p>
      <w:pPr>
        <w:tabs>
          <w:tab w:val="right" w:pos="8306"/>
        </w:tabs>
        <w:spacing w:line="600" w:lineRule="exact"/>
        <w:ind w:firstLine="640"/>
        <w:outlineLvl w:val="1"/>
        <w:rPr>
          <w:rStyle w:val="2Char"/>
          <w:color w:val="auto"/>
          <w:highlight w:val="auto"/>
        </w:rPr>
      </w:pPr>
      <w:bookmarkStart w:id="42" w:name="_Toc15396608"/>
      <w:bookmarkStart w:id="43" w:name="_Toc15377214"/>
      <w:bookmarkStart w:id="44" w:name="_Toc32585"/>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42"/>
      <w:bookmarkEnd w:id="43"/>
      <w:bookmarkEnd w:id="44"/>
      <w:r>
        <w:rPr>
          <w:rStyle w:val="2Char"/>
          <w:rFonts w:ascii="黑体" w:eastAsia="黑体" w:hAnsi="黑体"/>
          <w:b w:val="0"/>
          <w:color w:val="auto"/>
          <w:highlight w:val="auto"/>
        </w:rPr>
        <w:tab/>
      </w:r>
    </w:p>
    <w:p>
      <w:pPr>
        <w:spacing w:line="600" w:lineRule="exact"/>
        <w:ind w:firstLine="645"/>
        <w:outlineLvl w:val="9"/>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年一般公共预算财政拨款基本支出</w:t>
      </w:r>
      <w:r>
        <w:rPr>
          <w:rFonts w:ascii="仿宋" w:eastAsia="仿宋" w:hAnsi="仿宋" w:hint="eastAsia"/>
          <w:color w:val="auto"/>
          <w:sz w:val="32"/>
          <w:szCs w:val="32"/>
          <w:lang w:val="en-US" w:eastAsia="zh-CN"/>
          <w:highlight w:val="auto"/>
        </w:rPr>
        <w:t>1567.32</w:t>
      </w:r>
      <w:r>
        <w:rPr>
          <w:rFonts w:ascii="仿宋" w:eastAsia="仿宋" w:hAnsi="仿宋" w:hint="eastAsia"/>
          <w:color w:val="auto"/>
          <w:sz w:val="32"/>
          <w:szCs w:val="32"/>
          <w:highlight w:val="auto"/>
        </w:rPr>
        <w:t>万元，其中：</w:t>
      </w:r>
    </w:p>
    <w:p>
      <w:pPr>
        <w:spacing w:line="600" w:lineRule="exact"/>
        <w:ind w:firstLine="645"/>
        <w:outlineLvl w:val="9"/>
        <w:rPr>
          <w:rFonts w:ascii="仿宋" w:eastAsia="仿宋" w:hAnsi="仿宋"/>
          <w:color w:val="auto"/>
          <w:sz w:val="32"/>
          <w:szCs w:val="32"/>
          <w:highlight w:val="auto"/>
        </w:rPr>
      </w:pPr>
      <w:r>
        <w:rPr>
          <w:rFonts w:ascii="仿宋" w:eastAsia="仿宋" w:hAnsi="仿宋" w:hint="eastAsia"/>
          <w:color w:val="auto"/>
          <w:sz w:val="32"/>
          <w:szCs w:val="32"/>
          <w:highlight w:val="auto"/>
        </w:rPr>
        <w:t>人员经费</w:t>
      </w:r>
      <w:r>
        <w:rPr>
          <w:rFonts w:ascii="仿宋" w:eastAsia="仿宋" w:hAnsi="仿宋" w:hint="eastAsia"/>
          <w:color w:val="auto"/>
          <w:sz w:val="32"/>
          <w:szCs w:val="32"/>
          <w:lang w:val="en-US" w:eastAsia="zh-CN"/>
          <w:highlight w:val="auto"/>
        </w:rPr>
        <w:t>1412.31</w:t>
      </w:r>
      <w:r>
        <w:rPr>
          <w:rFonts w:ascii="仿宋" w:eastAsia="仿宋" w:hAnsi="仿宋" w:hint="eastAsia"/>
          <w:color w:val="auto"/>
          <w:sz w:val="32"/>
          <w:szCs w:val="32"/>
          <w:highlight w:val="auto"/>
        </w:rPr>
        <w:t>万元，主要包括：基本工资、津贴补贴、奖金、伙食补助费、绩效工资、机关事业单位基本养老保险缴费、职业年金缴费、</w:t>
      </w:r>
      <w:r>
        <w:rPr>
          <w:rFonts w:ascii="仿宋" w:eastAsia="仿宋" w:hAnsi="仿宋" w:hint="eastAsia"/>
          <w:color w:val="auto"/>
          <w:sz w:val="32"/>
          <w:szCs w:val="32"/>
          <w:lang w:val="en-US" w:eastAsia="zh-CN"/>
          <w:highlight w:val="auto"/>
        </w:rPr>
        <w:t>职工基本医疗保险缴费、</w:t>
      </w:r>
      <w:r>
        <w:rPr>
          <w:rFonts w:ascii="仿宋" w:eastAsia="仿宋" w:hAnsi="仿宋" w:hint="eastAsia"/>
          <w:color w:val="auto"/>
          <w:sz w:val="32"/>
          <w:szCs w:val="32"/>
          <w:highlight w:val="auto"/>
        </w:rPr>
        <w:t>其他社会保障缴费、其他工资福利支出、生活补助、奖励金、住房公积金等。</w:t>
      </w:r>
      <w:r>
        <w:rPr>
          <w:rFonts w:ascii="仿宋" w:eastAsia="仿宋" w:hAnsi="仿宋"/>
          <w:color w:val="auto"/>
          <w:sz w:val="32"/>
          <w:szCs w:val="32"/>
          <w:highlight w:val="auto"/>
        </w:rPr>
        <w:br/>
      </w:r>
      <w:r>
        <w:rPr>
          <w:rFonts w:ascii="仿宋" w:eastAsia="仿宋" w:hAnsi="仿宋" w:hint="eastAsia"/>
          <w:color w:val="auto"/>
          <w:sz w:val="32"/>
          <w:szCs w:val="32"/>
          <w:highlight w:val="auto"/>
        </w:rPr>
        <w:t>　　公用经费</w:t>
      </w:r>
      <w:r>
        <w:rPr>
          <w:rFonts w:ascii="仿宋" w:eastAsia="仿宋" w:hAnsi="仿宋" w:hint="eastAsia"/>
          <w:color w:val="auto"/>
          <w:sz w:val="32"/>
          <w:szCs w:val="32"/>
          <w:lang w:val="en-US" w:eastAsia="zh-CN"/>
          <w:highlight w:val="auto"/>
        </w:rPr>
        <w:t>155.01</w:t>
      </w:r>
      <w:r>
        <w:rPr>
          <w:rFonts w:ascii="仿宋" w:eastAsia="仿宋" w:hAnsi="仿宋" w:hint="eastAsia"/>
          <w:color w:val="auto"/>
          <w:sz w:val="32"/>
          <w:szCs w:val="32"/>
          <w:highlight w:val="auto"/>
        </w:rPr>
        <w:t>万元，主要包括：办公费、印刷费、水费、电费、邮电费、差旅费、维修（护）费、租赁费、会议费、培训费、公务接待费、劳务费、工会经费、福利费、其他交通费用、其他商品和服务支出等。</w:t>
      </w:r>
    </w:p>
    <w:p>
      <w:pPr>
        <w:spacing w:line="600" w:lineRule="exact"/>
        <w:ind w:firstLine="640"/>
        <w:outlineLvl w:val="1"/>
        <w:rPr>
          <w:rFonts w:ascii="仿宋" w:eastAsia="仿宋" w:hAnsi="仿宋" w:hint="eastAsia"/>
          <w:b/>
          <w:color w:val="auto"/>
          <w:sz w:val="32"/>
          <w:szCs w:val="32"/>
          <w:highlight w:val="auto"/>
        </w:rPr>
      </w:pPr>
      <w:bookmarkStart w:id="45" w:name="_Toc15377215"/>
      <w:bookmarkStart w:id="46" w:name="_Toc15396609"/>
      <w:bookmarkStart w:id="47" w:name="_Toc14406"/>
      <w:r>
        <w:rPr>
          <w:rFonts w:ascii="黑体" w:eastAsia="黑体" w:hint="eastAsia"/>
          <w:color w:val="auto"/>
          <w:sz w:val="32"/>
          <w:szCs w:val="32"/>
          <w:highlight w:val="auto"/>
        </w:rPr>
        <w:t>七、</w:t>
      </w:r>
      <w:r>
        <w:rPr>
          <w:rStyle w:val="2Char"/>
          <w:rFonts w:ascii="黑体" w:eastAsia="黑体" w:hAnsi="黑体" w:hint="eastAsia"/>
          <w:b w:val="0"/>
          <w:color w:val="auto"/>
          <w:highlight w:val="auto"/>
        </w:rPr>
        <w:t>财政拨款</w:t>
      </w:r>
      <w:r>
        <w:rPr>
          <w:rStyle w:val="2Char"/>
          <w:rFonts w:ascii="黑体" w:eastAsia="黑体" w:hAnsi="黑体" w:hint="eastAsia"/>
          <w:color w:val="auto"/>
          <w:highlight w:val="auto"/>
        </w:rPr>
        <w:t>“</w:t>
      </w:r>
      <w:r>
        <w:rPr>
          <w:rStyle w:val="2Char"/>
          <w:rFonts w:ascii="黑体" w:eastAsia="黑体" w:hAnsi="黑体" w:hint="eastAsia"/>
          <w:b w:val="0"/>
          <w:color w:val="auto"/>
          <w:highlight w:val="auto"/>
        </w:rPr>
        <w:t>三公”经费支出决算情况说明</w:t>
      </w:r>
      <w:bookmarkStart w:id="48" w:name="_Toc15377216"/>
      <w:bookmarkEnd w:id="45"/>
      <w:bookmarkEnd w:id="46"/>
      <w:bookmarkEnd w:id="47"/>
    </w:p>
    <w:p>
      <w:pPr>
        <w:spacing w:line="600" w:lineRule="exact"/>
        <w:ind w:firstLine="640"/>
        <w:outlineLvl w:val="2"/>
        <w:rPr>
          <w:rFonts w:ascii="仿宋" w:eastAsia="仿宋" w:hAnsi="仿宋"/>
          <w:b/>
          <w:color w:val="auto"/>
          <w:sz w:val="32"/>
          <w:szCs w:val="32"/>
          <w:highlight w:val="auto"/>
        </w:rPr>
      </w:pPr>
      <w:r>
        <w:rPr>
          <w:rFonts w:ascii="仿宋" w:eastAsia="仿宋" w:hAnsi="仿宋" w:hint="eastAsia"/>
          <w:b/>
          <w:color w:val="auto"/>
          <w:sz w:val="32"/>
          <w:szCs w:val="32"/>
          <w:highlight w:val="auto"/>
        </w:rPr>
        <w:t>（一）“三公”经费财政拨款支出决算总体情况说明</w:t>
      </w:r>
      <w:bookmarkEnd w:id="48"/>
    </w:p>
    <w:p>
      <w:pPr>
        <w:spacing w:line="600" w:lineRule="exact"/>
        <w:ind w:firstLine="640"/>
        <w:rPr>
          <w:rFonts w:ascii="仿宋" w:eastAsia="仿宋" w:hAnsi="仿宋"/>
          <w:b/>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年“三公”经费财政拨款支出决算为</w:t>
      </w:r>
      <w:r>
        <w:rPr>
          <w:rFonts w:ascii="仿宋" w:eastAsia="仿宋" w:hAnsi="仿宋" w:hint="eastAsia"/>
          <w:color w:val="auto"/>
          <w:sz w:val="32"/>
          <w:szCs w:val="32"/>
          <w:lang w:val="en-US" w:eastAsia="zh-CN"/>
          <w:highlight w:val="auto"/>
        </w:rPr>
        <w:t>1.43</w:t>
      </w:r>
      <w:r>
        <w:rPr>
          <w:rFonts w:ascii="仿宋" w:eastAsia="仿宋" w:hAnsi="仿宋" w:hint="eastAsia"/>
          <w:color w:val="auto"/>
          <w:sz w:val="32"/>
          <w:szCs w:val="32"/>
          <w:highlight w:val="auto"/>
        </w:rPr>
        <w:t>万元，完成预算</w:t>
      </w:r>
      <w:r>
        <w:rPr>
          <w:rFonts w:ascii="仿宋" w:eastAsia="仿宋" w:hAnsi="仿宋" w:hint="eastAsia"/>
          <w:color w:val="auto"/>
          <w:sz w:val="32"/>
          <w:szCs w:val="32"/>
          <w:lang w:val="en-US" w:eastAsia="zh-CN"/>
          <w:highlight w:val="auto"/>
        </w:rPr>
        <w:t>21.93</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color w:val="auto"/>
          <w:sz w:val="32"/>
          <w:szCs w:val="32"/>
          <w:lang w:eastAsia="zh-CN"/>
          <w:highlight w:val="auto"/>
        </w:rPr>
        <w:t>较上年</w:t>
      </w:r>
      <w:r>
        <w:rPr>
          <w:rFonts w:ascii="仿宋" w:eastAsia="仿宋" w:hAnsi="仿宋" w:hint="eastAsia"/>
          <w:color w:val="auto"/>
          <w:sz w:val="32"/>
          <w:szCs w:val="32"/>
          <w:lang w:val="en-US" w:eastAsia="zh-CN"/>
          <w:highlight w:val="auto"/>
        </w:rPr>
        <w:t>1.97万元减少了0.54万元，下降27.41%。</w:t>
      </w:r>
      <w:r>
        <w:rPr>
          <w:rFonts w:ascii="仿宋" w:eastAsia="仿宋" w:hAnsi="仿宋" w:hint="eastAsia"/>
          <w:color w:val="auto"/>
          <w:sz w:val="32"/>
          <w:szCs w:val="32"/>
          <w:highlight w:val="auto"/>
        </w:rPr>
        <w:t>决算数小于预算数的主要原因是</w:t>
      </w:r>
      <w:r>
        <w:rPr>
          <w:rFonts w:ascii="仿宋" w:eastAsia="仿宋" w:hAnsi="仿宋" w:hint="eastAsia"/>
          <w:color w:val="auto"/>
          <w:sz w:val="32"/>
          <w:szCs w:val="32"/>
          <w:lang w:val="en-US" w:eastAsia="zh-CN"/>
          <w:highlight w:val="auto"/>
        </w:rPr>
        <w:t>机关厉行节约，以及受疫情影响公务接待较去年减少</w:t>
      </w:r>
      <w:r>
        <w:rPr>
          <w:rFonts w:ascii="仿宋" w:eastAsia="仿宋" w:hAnsi="仿宋" w:hint="eastAsia"/>
          <w:color w:val="auto"/>
          <w:sz w:val="32"/>
          <w:szCs w:val="32"/>
          <w:highlight w:val="auto"/>
        </w:rPr>
        <w:t>。</w:t>
      </w:r>
    </w:p>
    <w:p>
      <w:pPr>
        <w:spacing w:line="600" w:lineRule="exact"/>
        <w:ind w:firstLine="640"/>
        <w:outlineLvl w:val="2"/>
        <w:rPr>
          <w:rFonts w:ascii="仿宋" w:eastAsia="仿宋" w:hAnsi="仿宋"/>
          <w:b/>
          <w:color w:val="auto"/>
          <w:sz w:val="32"/>
          <w:szCs w:val="32"/>
          <w:highlight w:val="auto"/>
        </w:rPr>
      </w:pPr>
      <w:bookmarkStart w:id="49" w:name="_Toc15377217"/>
      <w:r>
        <w:rPr>
          <w:rFonts w:ascii="仿宋" w:eastAsia="仿宋" w:hAnsi="仿宋" w:hint="eastAsia"/>
          <w:b/>
          <w:color w:val="auto"/>
          <w:sz w:val="32"/>
          <w:szCs w:val="32"/>
          <w:highlight w:val="auto"/>
        </w:rPr>
        <w:t>（二）“三公”经费财政拨款支出决算具体情况说明</w:t>
      </w:r>
      <w:bookmarkEnd w:id="49"/>
    </w:p>
    <w:p>
      <w:pPr>
        <w:spacing w:line="600" w:lineRule="exact"/>
        <w:ind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年“三公”经费财政拨款支出决算中，因公出国（境）费支出决算</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；公务用车购置及运行维护费支出决算</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；公务接待费支出决算</w:t>
      </w:r>
      <w:r>
        <w:rPr>
          <w:rFonts w:ascii="仿宋" w:eastAsia="仿宋" w:hAnsi="仿宋" w:hint="eastAsia"/>
          <w:color w:val="auto"/>
          <w:sz w:val="32"/>
          <w:szCs w:val="32"/>
          <w:lang w:val="en-US" w:eastAsia="zh-CN"/>
          <w:highlight w:val="auto"/>
        </w:rPr>
        <w:t>1.43</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highlight w:val="auto"/>
        </w:rPr>
        <w:t>。具体情况如下：</w:t>
      </w:r>
    </w:p>
    <w:p>
      <w:pPr>
        <w:spacing w:line="600" w:lineRule="exact"/>
        <w:ind w:firstLineChars="600" w:firstLine="1260"/>
        <w:rPr>
          <w:rFonts w:ascii="仿宋_GB2312" w:eastAsia="仿宋_GB2312"/>
          <w:b/>
          <w:color w:val="auto"/>
          <w:sz w:val="32"/>
          <w:szCs w:val="32"/>
          <w:highlight w:val="auto"/>
        </w:rPr>
      </w:pPr>
      <w:r>
        <w:drawing>
          <wp:anchor distT="0" distB="0" distL="114300" distR="114300" simplePos="0" relativeHeight="52" behindDoc="0" locked="0" layoutInCell="1" hidden="0" allowOverlap="1">
            <wp:simplePos x="0" y="0"/>
            <wp:positionH relativeFrom="column">
              <wp:posOffset>591820</wp:posOffset>
            </wp:positionH>
            <wp:positionV relativeFrom="page">
              <wp:posOffset>1417320</wp:posOffset>
            </wp:positionV>
            <wp:extent cx="4065270" cy="1898649"/>
            <wp:effectExtent l="0" t="0" r="0" b="0"/>
            <wp:wrapThrough wrapText="bothSides">
              <wp:wrapPolygon>
                <wp:start x="-6" y="-86"/>
                <wp:lineTo x="-6" y="21584"/>
                <wp:lineTo x="21552" y="21584"/>
                <wp:lineTo x="21552" y="-86"/>
                <wp:lineTo x="-6" y="-86"/>
              </wp:wrapPolygon>
            </wp:wrapThrough>
            <wp:docPr id="19" name="图表 1"/>
            <wp:cNvGraphicFramePr>
              <a:graphicFrameLocks noChangeAspect="0"/>
            </wp:cNvGraphicFramePr>
            <a:graphic>
              <a:graphicData uri="http://schemas.openxmlformats.org/drawingml/2006/chart">
                <c:chart xmlns:c="http://schemas.openxmlformats.org/drawingml/2006/chart" r:id="rId13"/>
              </a:graphicData>
            </a:graphic>
          </wp:anchor>
        </w:drawing>
      </w:r>
      <w:r>
        <w:rPr>
          <w:rFonts w:ascii="仿宋" w:eastAsia="仿宋" w:hAnsi="仿宋" w:hint="eastAsia"/>
          <w:color w:val="auto"/>
          <w:sz w:val="32"/>
          <w:szCs w:val="32"/>
          <w:highlight w:val="auto"/>
        </w:rPr>
        <w:t>（图7：“三公”经费财政拨款支出结构）</w:t>
      </w:r>
    </w:p>
    <w:p>
      <w:pPr>
        <w:spacing w:line="600" w:lineRule="exact"/>
        <w:ind w:firstLine="640"/>
        <w:rPr>
          <w:rFonts w:ascii="仿宋_GB2312" w:eastAsia="仿宋_GB2312"/>
          <w:b/>
          <w:color w:val="auto"/>
          <w:sz w:val="32"/>
          <w:szCs w:val="32"/>
          <w:highlight w:val="auto"/>
        </w:rPr>
      </w:pPr>
      <w:r>
        <w:rPr>
          <w:rFonts w:ascii="仿宋_GB2312" w:eastAsia="仿宋_GB2312"/>
          <w:b/>
          <w:color w:val="auto"/>
          <w:sz w:val="32"/>
          <w:szCs w:val="32"/>
          <w:highlight w:val="auto"/>
        </w:rPr>
        <w:t>1.</w:t>
      </w:r>
      <w:r>
        <w:rPr>
          <w:rFonts w:ascii="仿宋_GB2312" w:eastAsia="仿宋_GB2312" w:hint="eastAsia"/>
          <w:b/>
          <w:color w:val="auto"/>
          <w:sz w:val="32"/>
          <w:szCs w:val="32"/>
          <w:highlight w:val="auto"/>
        </w:rPr>
        <w:t>因公出国（境）经费支出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Style w:val="26"/>
          <w:rFonts w:ascii="仿宋" w:eastAsia="仿宋" w:hAnsi="仿宋" w:hint="eastAsia"/>
          <w:b w:val="0"/>
          <w:bCs/>
          <w:color w:val="auto"/>
          <w:sz w:val="32"/>
          <w:szCs w:val="32"/>
          <w:highlight w:val="auto"/>
        </w:rPr>
        <w:t>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全年安排因公出国（境）团组</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次，出国（境）</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人。因公出国（境）支出决算</w:t>
      </w:r>
      <w:r>
        <w:rPr>
          <w:rFonts w:ascii="仿宋_GB2312" w:eastAsia="仿宋_GB2312" w:hint="eastAsia"/>
          <w:color w:val="auto"/>
          <w:sz w:val="32"/>
          <w:szCs w:val="32"/>
          <w:lang w:val="en-US" w:eastAsia="zh-CN"/>
          <w:highlight w:val="auto"/>
        </w:rPr>
        <w:t>与</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val="en-US" w:eastAsia="zh-CN"/>
          <w:highlight w:val="auto"/>
        </w:rPr>
        <w:t>持平</w:t>
      </w:r>
      <w:r>
        <w:rPr>
          <w:rFonts w:ascii="仿宋_GB2312" w:eastAsia="仿宋_GB2312" w:hint="eastAsia"/>
          <w:color w:val="auto"/>
          <w:sz w:val="32"/>
          <w:szCs w:val="32"/>
          <w:highlight w:val="auto"/>
        </w:rPr>
        <w:t>。</w:t>
      </w:r>
    </w:p>
    <w:p>
      <w:pPr>
        <w:spacing w:line="600" w:lineRule="exact"/>
        <w:ind w:firstLine="640"/>
        <w:rPr>
          <w:rFonts w:ascii="仿宋_GB2312" w:eastAsia="仿宋_GB2312"/>
          <w:b/>
          <w:color w:val="auto"/>
          <w:sz w:val="32"/>
          <w:szCs w:val="32"/>
          <w:highlight w:val="auto"/>
        </w:rPr>
      </w:pPr>
      <w:r>
        <w:rPr>
          <w:rFonts w:ascii="仿宋_GB2312" w:eastAsia="仿宋_GB2312"/>
          <w:b/>
          <w:color w:val="auto"/>
          <w:sz w:val="32"/>
          <w:szCs w:val="32"/>
          <w:highlight w:val="auto"/>
        </w:rPr>
        <w:t>2.</w:t>
      </w:r>
      <w:r>
        <w:rPr>
          <w:rFonts w:ascii="仿宋_GB2312" w:eastAsia="仿宋_GB2312" w:hint="eastAsia"/>
          <w:b/>
          <w:color w:val="auto"/>
          <w:sz w:val="32"/>
          <w:szCs w:val="32"/>
          <w:highlight w:val="auto"/>
        </w:rPr>
        <w:t>公务用车购置及运行维护费支出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Style w:val="26"/>
          <w:rFonts w:ascii="仿宋" w:eastAsia="仿宋" w:hAnsi="仿宋" w:hint="eastAsia"/>
          <w:b w:val="0"/>
          <w:bCs/>
          <w:color w:val="auto"/>
          <w:sz w:val="32"/>
          <w:szCs w:val="32"/>
          <w:highlight w:val="auto"/>
        </w:rPr>
        <w:t>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公务用车购置及运行维护费支出决算</w:t>
      </w:r>
      <w:r>
        <w:rPr>
          <w:rFonts w:ascii="仿宋_GB2312" w:eastAsia="仿宋_GB2312" w:hint="eastAsia"/>
          <w:color w:val="auto"/>
          <w:sz w:val="32"/>
          <w:szCs w:val="32"/>
          <w:lang w:val="en-US" w:eastAsia="zh-CN"/>
          <w:highlight w:val="auto"/>
        </w:rPr>
        <w:t>与</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val="en-US" w:eastAsia="zh-CN"/>
          <w:highlight w:val="auto"/>
        </w:rPr>
        <w:t>持平</w:t>
      </w:r>
      <w:r>
        <w:rPr>
          <w:rFonts w:ascii="仿宋_GB2312" w:eastAsia="仿宋_GB2312" w:hint="eastAsia"/>
          <w:color w:val="auto"/>
          <w:sz w:val="32"/>
          <w:szCs w:val="32"/>
          <w:highlight w:val="auto"/>
        </w:rPr>
        <w:t>。</w:t>
      </w:r>
    </w:p>
    <w:p>
      <w:pPr>
        <w:spacing w:line="600" w:lineRule="exact"/>
        <w:ind w:firstLineChars="200" w:firstLine="640"/>
        <w:rPr>
          <w:rFonts w:ascii="仿宋_GB2312" w:eastAsia="仿宋_GB2312"/>
          <w:b/>
          <w:color w:val="auto"/>
          <w:sz w:val="32"/>
          <w:szCs w:val="32"/>
          <w:highlight w:val="auto"/>
        </w:rPr>
      </w:pPr>
      <w:r>
        <w:rPr>
          <w:rFonts w:ascii="仿宋_GB2312" w:eastAsia="仿宋_GB2312" w:hint="eastAsia"/>
          <w:color w:val="auto"/>
          <w:sz w:val="32"/>
          <w:szCs w:val="32"/>
          <w:highlight w:val="auto"/>
        </w:rPr>
        <w:t>其中：</w:t>
      </w:r>
      <w:r>
        <w:rPr>
          <w:rFonts w:ascii="仿宋_GB2312" w:eastAsia="仿宋_GB2312" w:hint="eastAsia"/>
          <w:b/>
          <w:color w:val="auto"/>
          <w:sz w:val="32"/>
          <w:szCs w:val="32"/>
          <w:highlight w:val="auto"/>
        </w:rPr>
        <w:t>公务用车购置支出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万元。全年按规定更新购置公务用车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月底，单位共有公务用车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w:t>
      </w:r>
    </w:p>
    <w:p>
      <w:pPr>
        <w:spacing w:line="600" w:lineRule="exact"/>
        <w:ind w:firstLine="640"/>
        <w:rPr>
          <w:rFonts w:ascii="仿宋_GB2312" w:eastAsia="仿宋_GB2312"/>
          <w:color w:val="auto"/>
          <w:sz w:val="32"/>
          <w:szCs w:val="32"/>
          <w:highlight w:val="auto"/>
        </w:rPr>
      </w:pPr>
      <w:r>
        <w:rPr>
          <w:rFonts w:ascii="仿宋_GB2312" w:eastAsia="仿宋_GB2312" w:hint="eastAsia"/>
          <w:b/>
          <w:color w:val="auto"/>
          <w:sz w:val="32"/>
          <w:szCs w:val="32"/>
          <w:highlight w:val="auto"/>
        </w:rPr>
        <w:t>公务用车运行维护费支出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spacing w:line="600" w:lineRule="exact"/>
        <w:ind w:firstLine="640"/>
        <w:rPr>
          <w:rFonts w:ascii="仿宋_GB2312" w:eastAsia="仿宋_GB2312"/>
          <w:color w:val="auto"/>
          <w:sz w:val="32"/>
          <w:szCs w:val="32"/>
          <w:highlight w:val="auto"/>
        </w:rPr>
      </w:pPr>
      <w:r>
        <w:rPr>
          <w:rFonts w:ascii="仿宋_GB2312" w:eastAsia="仿宋_GB2312"/>
          <w:b/>
          <w:color w:val="auto"/>
          <w:sz w:val="32"/>
          <w:szCs w:val="32"/>
          <w:highlight w:val="auto"/>
        </w:rPr>
        <w:t>3.</w:t>
      </w:r>
      <w:r>
        <w:rPr>
          <w:rFonts w:ascii="仿宋_GB2312" w:eastAsia="仿宋_GB2312" w:hint="eastAsia"/>
          <w:b/>
          <w:color w:val="auto"/>
          <w:sz w:val="32"/>
          <w:szCs w:val="32"/>
          <w:highlight w:val="auto"/>
        </w:rPr>
        <w:t>公务接待费支出</w:t>
      </w:r>
      <w:r>
        <w:rPr>
          <w:rFonts w:ascii="仿宋_GB2312" w:eastAsia="仿宋_GB2312" w:hint="eastAsia"/>
          <w:color w:val="auto"/>
          <w:sz w:val="32"/>
          <w:szCs w:val="32"/>
          <w:lang w:val="en-US" w:eastAsia="zh-CN"/>
          <w:highlight w:val="auto"/>
        </w:rPr>
        <w:t>1.43</w:t>
      </w:r>
      <w:r>
        <w:rPr>
          <w:rFonts w:ascii="仿宋_GB2312" w:eastAsia="仿宋_GB2312" w:hint="eastAsia"/>
          <w:color w:val="auto"/>
          <w:sz w:val="32"/>
          <w:szCs w:val="32"/>
          <w:highlight w:val="auto"/>
        </w:rPr>
        <w:t>万元，</w:t>
      </w:r>
      <w:r>
        <w:rPr>
          <w:rStyle w:val="26"/>
          <w:rFonts w:ascii="仿宋" w:eastAsia="仿宋" w:hAnsi="仿宋" w:hint="eastAsia"/>
          <w:b w:val="0"/>
          <w:bCs/>
          <w:color w:val="auto"/>
          <w:sz w:val="32"/>
          <w:szCs w:val="32"/>
          <w:highlight w:val="auto"/>
        </w:rPr>
        <w:t>完成预算</w:t>
      </w:r>
      <w:r>
        <w:rPr>
          <w:rStyle w:val="26"/>
          <w:rFonts w:ascii="仿宋" w:eastAsia="仿宋" w:hAnsi="仿宋" w:hint="eastAsia"/>
          <w:b w:val="0"/>
          <w:bCs/>
          <w:color w:val="auto"/>
          <w:sz w:val="32"/>
          <w:szCs w:val="32"/>
          <w:lang w:val="en-US" w:eastAsia="zh-CN"/>
          <w:highlight w:val="auto"/>
        </w:rPr>
        <w:t>21.93</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公务接待费支出决算比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年减少</w:t>
      </w:r>
      <w:r>
        <w:rPr>
          <w:rFonts w:ascii="仿宋_GB2312" w:eastAsia="仿宋_GB2312" w:hint="eastAsia"/>
          <w:color w:val="auto"/>
          <w:sz w:val="32"/>
          <w:szCs w:val="32"/>
          <w:lang w:val="en-US" w:eastAsia="zh-CN"/>
          <w:highlight w:val="auto"/>
        </w:rPr>
        <w:t>0.54</w:t>
      </w:r>
      <w:r>
        <w:rPr>
          <w:rFonts w:ascii="仿宋_GB2312" w:eastAsia="仿宋_GB2312" w:hint="eastAsia"/>
          <w:color w:val="auto"/>
          <w:sz w:val="32"/>
          <w:szCs w:val="32"/>
          <w:highlight w:val="auto"/>
        </w:rPr>
        <w:t>万元，下降</w:t>
      </w:r>
      <w:r>
        <w:rPr>
          <w:rFonts w:ascii="仿宋_GB2312" w:eastAsia="仿宋_GB2312" w:hint="eastAsia"/>
          <w:color w:val="auto"/>
          <w:sz w:val="32"/>
          <w:szCs w:val="32"/>
          <w:lang w:val="en-US" w:eastAsia="zh-CN"/>
          <w:highlight w:val="auto"/>
        </w:rPr>
        <w:t>27.41</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_GB2312" w:eastAsia="仿宋_GB2312" w:hint="eastAsia"/>
          <w:color w:val="auto"/>
          <w:sz w:val="32"/>
          <w:szCs w:val="32"/>
          <w:lang w:val="en-US" w:eastAsia="zh-CN"/>
          <w:highlight w:val="auto"/>
        </w:rPr>
        <w:t>受疫情影响，</w:t>
      </w:r>
      <w:r>
        <w:rPr>
          <w:rFonts w:ascii="仿宋_GB2312" w:eastAsia="仿宋_GB2312" w:hint="eastAsia"/>
          <w:color w:val="auto"/>
          <w:sz w:val="32"/>
          <w:szCs w:val="32"/>
          <w:lang w:eastAsia="zh-CN"/>
          <w:highlight w:val="auto"/>
        </w:rPr>
        <w:t>实际公务接待较少</w:t>
      </w:r>
      <w:r>
        <w:rPr>
          <w:rFonts w:ascii="仿宋_GB2312" w:eastAsia="仿宋_GB2312" w:hint="eastAsia"/>
          <w:color w:val="auto"/>
          <w:sz w:val="32"/>
          <w:szCs w:val="32"/>
          <w:highlight w:val="auto"/>
        </w:rPr>
        <w:t>。其中：</w:t>
      </w:r>
    </w:p>
    <w:p>
      <w:pPr>
        <w:spacing w:line="600" w:lineRule="exact"/>
        <w:ind w:firstLine="640"/>
        <w:rPr>
          <w:rFonts w:ascii="仿宋_GB2312" w:eastAsia="仿宋_GB2312"/>
          <w:color w:val="auto"/>
          <w:sz w:val="32"/>
          <w:szCs w:val="32"/>
          <w:highlight w:val="red"/>
        </w:rPr>
      </w:pPr>
      <w:r>
        <w:rPr>
          <w:rFonts w:ascii="仿宋" w:eastAsia="仿宋" w:hAnsi="仿宋" w:hint="eastAsia"/>
          <w:b/>
          <w:color w:val="auto"/>
          <w:sz w:val="32"/>
          <w:szCs w:val="32"/>
          <w:highlight w:val="auto"/>
        </w:rPr>
        <w:t>国内公务接待支出</w:t>
      </w:r>
      <w:r>
        <w:rPr>
          <w:rFonts w:ascii="仿宋" w:eastAsia="仿宋" w:hAnsi="仿宋" w:hint="eastAsia"/>
          <w:color w:val="auto"/>
          <w:sz w:val="32"/>
          <w:szCs w:val="32"/>
          <w:lang w:val="en-US" w:eastAsia="zh-CN"/>
          <w:highlight w:val="auto"/>
        </w:rPr>
        <w:t>1.43</w:t>
      </w:r>
      <w:r>
        <w:rPr>
          <w:rFonts w:ascii="仿宋_GB2312" w:eastAsia="仿宋_GB2312" w:hint="eastAsia"/>
          <w:color w:val="auto"/>
          <w:sz w:val="32"/>
          <w:szCs w:val="32"/>
          <w:highlight w:val="auto"/>
        </w:rPr>
        <w:t>万元，主要用于执行公务、开展业务活动开支的交通费、住宿费、用餐费等。国内公务接待</w:t>
      </w:r>
      <w:r>
        <w:rPr>
          <w:rFonts w:ascii="仿宋_GB2312" w:eastAsia="仿宋_GB2312" w:hint="eastAsia"/>
          <w:color w:val="auto"/>
          <w:sz w:val="32"/>
          <w:szCs w:val="32"/>
          <w:lang w:val="en-US" w:eastAsia="zh-CN"/>
          <w:highlight w:val="auto"/>
        </w:rPr>
        <w:t>12</w:t>
      </w:r>
      <w:r>
        <w:rPr>
          <w:rFonts w:ascii="仿宋_GB2312" w:eastAsia="仿宋_GB2312" w:hint="eastAsia"/>
          <w:color w:val="auto"/>
          <w:sz w:val="32"/>
          <w:szCs w:val="32"/>
          <w:highlight w:val="auto"/>
        </w:rPr>
        <w:t>批次，</w:t>
      </w:r>
      <w:r>
        <w:rPr>
          <w:rFonts w:ascii="仿宋_GB2312" w:eastAsia="仿宋_GB2312" w:hint="eastAsia"/>
          <w:color w:val="auto"/>
          <w:sz w:val="32"/>
          <w:szCs w:val="32"/>
          <w:lang w:val="en-US" w:eastAsia="zh-CN"/>
          <w:highlight w:val="auto"/>
        </w:rPr>
        <w:t>136</w:t>
      </w:r>
      <w:r>
        <w:rPr>
          <w:rFonts w:ascii="仿宋_GB2312" w:eastAsia="仿宋_GB2312" w:hint="eastAsia"/>
          <w:color w:val="auto"/>
          <w:sz w:val="32"/>
          <w:szCs w:val="32"/>
          <w:highlight w:val="auto"/>
        </w:rPr>
        <w:t>人次（不包括陪同人员），共计支出</w:t>
      </w:r>
      <w:r>
        <w:rPr>
          <w:rFonts w:ascii="仿宋_GB2312" w:eastAsia="仿宋_GB2312" w:hint="eastAsia"/>
          <w:color w:val="auto"/>
          <w:sz w:val="32"/>
          <w:szCs w:val="32"/>
          <w:lang w:val="en-US" w:eastAsia="zh-CN"/>
          <w:highlight w:val="auto"/>
        </w:rPr>
        <w:t>1.43</w:t>
      </w:r>
      <w:r>
        <w:rPr>
          <w:rFonts w:ascii="仿宋_GB2312" w:eastAsia="仿宋_GB2312" w:hint="eastAsia"/>
          <w:color w:val="auto"/>
          <w:sz w:val="32"/>
          <w:szCs w:val="32"/>
          <w:highlight w:val="auto"/>
        </w:rPr>
        <w:t>万元，具体内容包括：接待上级检查</w:t>
      </w:r>
      <w:r>
        <w:rPr>
          <w:rFonts w:ascii="仿宋_GB2312" w:eastAsia="仿宋_GB2312" w:hint="eastAsia"/>
          <w:color w:val="auto"/>
          <w:sz w:val="32"/>
          <w:szCs w:val="32"/>
          <w:lang w:val="en-US" w:eastAsia="zh-CN"/>
          <w:highlight w:val="auto"/>
        </w:rPr>
        <w:t>3590元</w:t>
      </w:r>
      <w:r>
        <w:rPr>
          <w:rFonts w:ascii="仿宋_GB2312" w:eastAsia="仿宋_GB2312" w:hint="eastAsia"/>
          <w:color w:val="auto"/>
          <w:sz w:val="32"/>
          <w:szCs w:val="32"/>
          <w:highlight w:val="auto"/>
        </w:rPr>
        <w:t>、县区间相互交流学习等用餐费</w:t>
      </w:r>
      <w:r>
        <w:rPr>
          <w:rFonts w:ascii="仿宋_GB2312" w:eastAsia="仿宋_GB2312" w:hint="eastAsia"/>
          <w:color w:val="auto"/>
          <w:sz w:val="32"/>
          <w:szCs w:val="32"/>
          <w:lang w:val="en-US" w:eastAsia="zh-CN"/>
          <w:highlight w:val="auto"/>
        </w:rPr>
        <w:t>10710元</w:t>
      </w:r>
      <w:r>
        <w:rPr>
          <w:rFonts w:ascii="仿宋_GB2312" w:eastAsia="仿宋_GB2312" w:hint="eastAsia"/>
          <w:color w:val="auto"/>
          <w:sz w:val="32"/>
          <w:szCs w:val="32"/>
          <w:highlight w:val="auto"/>
        </w:rPr>
        <w:t>。</w:t>
      </w:r>
    </w:p>
    <w:p>
      <w:pPr>
        <w:spacing w:line="600" w:lineRule="exact"/>
        <w:ind w:firstLineChars="200" w:firstLine="640"/>
        <w:rPr>
          <w:rFonts w:ascii="黑体" w:eastAsia="黑体"/>
          <w:color w:val="auto"/>
          <w:sz w:val="32"/>
          <w:szCs w:val="32"/>
          <w:highlight w:val="auto"/>
        </w:rPr>
      </w:pPr>
      <w:r>
        <w:rPr>
          <w:rFonts w:ascii="仿宋" w:eastAsia="仿宋" w:hAnsi="仿宋" w:hint="eastAsia"/>
          <w:b/>
          <w:color w:val="auto"/>
          <w:sz w:val="32"/>
          <w:szCs w:val="32"/>
          <w:highlight w:val="auto"/>
        </w:rPr>
        <w:t>外事接待支出</w:t>
      </w:r>
      <w:r>
        <w:rPr>
          <w:rFonts w:ascii="仿宋" w:eastAsia="仿宋" w:hAnsi="仿宋" w:hint="eastAsia"/>
          <w:color w:val="auto"/>
          <w:sz w:val="32"/>
          <w:szCs w:val="32"/>
          <w:lang w:val="en-US" w:eastAsia="zh-CN"/>
          <w:highlight w:val="auto"/>
        </w:rPr>
        <w:t>0</w:t>
      </w:r>
      <w:r>
        <w:rPr>
          <w:rFonts w:ascii="仿宋_GB2312" w:eastAsia="仿宋_GB2312" w:hint="eastAsia"/>
          <w:color w:val="auto"/>
          <w:sz w:val="32"/>
          <w:szCs w:val="32"/>
          <w:highlight w:val="auto"/>
        </w:rPr>
        <w:t>万元。</w:t>
      </w:r>
      <w:bookmarkStart w:id="50" w:name="_Toc15377218"/>
      <w:bookmarkStart w:id="51" w:name="_Toc15396610"/>
    </w:p>
    <w:p>
      <w:pPr>
        <w:spacing w:line="600" w:lineRule="exact"/>
        <w:ind w:firstLine="640"/>
        <w:outlineLvl w:val="1"/>
        <w:rPr>
          <w:rStyle w:val="2Char"/>
          <w:rFonts w:ascii="黑体" w:eastAsia="黑体" w:hAnsi="黑体"/>
          <w:color w:val="auto"/>
          <w:highlight w:val="auto"/>
        </w:rPr>
      </w:pPr>
      <w:bookmarkStart w:id="52" w:name="_Toc6675"/>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50"/>
      <w:bookmarkEnd w:id="51"/>
      <w:bookmarkEnd w:id="52"/>
    </w:p>
    <w:p>
      <w:pPr>
        <w:spacing w:line="600" w:lineRule="exact"/>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年政府性基金预算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numPr>
          <w:ilvl w:val="0"/>
          <w:numId w:val="3"/>
        </w:numPr>
        <w:spacing w:line="600" w:lineRule="exact"/>
        <w:ind w:left="0" w:firstLine="640"/>
        <w:outlineLvl w:val="1"/>
        <w:rPr>
          <w:rStyle w:val="2Char"/>
          <w:rFonts w:ascii="黑体" w:eastAsia="黑体" w:hAnsi="黑体"/>
          <w:b w:val="0"/>
          <w:color w:val="auto"/>
          <w:highlight w:val="auto"/>
        </w:rPr>
      </w:pPr>
      <w:bookmarkStart w:id="53" w:name="_Toc15396611"/>
      <w:bookmarkStart w:id="54" w:name="_Toc15377219"/>
      <w:bookmarkStart w:id="55" w:name="_Toc8083"/>
      <w:r>
        <w:rPr>
          <w:rStyle w:val="2Char"/>
          <w:rFonts w:ascii="黑体" w:eastAsia="黑体" w:hAnsi="黑体" w:hint="eastAsia"/>
          <w:b w:val="0"/>
          <w:color w:val="auto"/>
          <w:highlight w:val="auto"/>
        </w:rPr>
        <w:t>国有资本经营预算支出决算情况说明</w:t>
      </w:r>
      <w:bookmarkEnd w:id="53"/>
      <w:bookmarkEnd w:id="54"/>
      <w:bookmarkEnd w:id="55"/>
    </w:p>
    <w:p>
      <w:pPr>
        <w:spacing w:line="600" w:lineRule="exact"/>
        <w:ind w:firstLine="640"/>
        <w:rPr>
          <w:rFonts w:ascii="方正小标宋简体" w:eastAsia="方正小标宋简体" w:cs="方正小标宋简体" w:hAnsi="方正小标宋简体"/>
          <w:color w:val="auto"/>
          <w:sz w:val="44"/>
          <w:szCs w:val="44"/>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年国有资本经营预算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numPr>
          <w:ilvl w:val="0"/>
          <w:numId w:val="3"/>
        </w:numPr>
        <w:spacing w:line="600" w:lineRule="exact"/>
        <w:ind w:left="0" w:firstLine="640"/>
        <w:outlineLvl w:val="1"/>
        <w:rPr>
          <w:rStyle w:val="2Char"/>
          <w:rFonts w:ascii="黑体" w:eastAsia="黑体" w:hAnsi="黑体" w:hint="eastAsia"/>
          <w:b w:val="0"/>
          <w:color w:val="auto"/>
          <w:highlight w:val="auto"/>
        </w:rPr>
      </w:pPr>
      <w:bookmarkStart w:id="56" w:name="_Toc15377221"/>
      <w:bookmarkStart w:id="57" w:name="_Toc15396612"/>
      <w:bookmarkStart w:id="58" w:name="_Toc23242"/>
      <w:r>
        <w:rPr>
          <w:rStyle w:val="2Char"/>
          <w:rFonts w:ascii="黑体" w:eastAsia="黑体" w:hAnsi="黑体" w:hint="eastAsia"/>
          <w:b w:val="0"/>
          <w:color w:val="auto"/>
          <w:highlight w:val="auto"/>
        </w:rPr>
        <w:t>其他重要事项的情况说明</w:t>
      </w:r>
      <w:bookmarkEnd w:id="56"/>
      <w:bookmarkEnd w:id="57"/>
      <w:bookmarkEnd w:id="58"/>
    </w:p>
    <w:p>
      <w:pPr>
        <w:spacing w:line="600" w:lineRule="exact"/>
        <w:ind w:firstLineChars="200" w:firstLine="640"/>
        <w:outlineLvl w:val="2"/>
        <w:rPr>
          <w:rFonts w:ascii="仿宋" w:eastAsia="仿宋" w:hAnsi="仿宋"/>
          <w:color w:val="auto"/>
          <w:sz w:val="32"/>
          <w:szCs w:val="32"/>
          <w:highlight w:val="auto"/>
        </w:rPr>
      </w:pPr>
      <w:bookmarkStart w:id="59" w:name="_Toc15377222"/>
      <w:r>
        <w:rPr>
          <w:rFonts w:ascii="仿宋" w:eastAsia="仿宋" w:hAnsi="仿宋" w:hint="eastAsia"/>
          <w:b/>
          <w:color w:val="auto"/>
          <w:sz w:val="32"/>
          <w:szCs w:val="32"/>
          <w:highlight w:val="auto"/>
        </w:rPr>
        <w:t>（一）机关运行经费支出情况</w:t>
      </w:r>
      <w:bookmarkEnd w:id="59"/>
    </w:p>
    <w:p>
      <w:pPr>
        <w:spacing w:line="600" w:lineRule="exact"/>
        <w:ind w:firstLineChars="200" w:firstLine="640"/>
        <w:outlineLvl w:val="9"/>
        <w:rPr>
          <w:rFonts w:ascii="仿宋_GB2312" w:eastAsia="仿宋_GB2312" w:hint="eastAsia"/>
          <w:color w:val="auto"/>
          <w:sz w:val="32"/>
          <w:szCs w:val="32"/>
          <w:lang w:eastAsia="zh-CN"/>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年，广元市利州区人力资源和社会保障局机关运行经费支出</w:t>
      </w:r>
      <w:r>
        <w:rPr>
          <w:rFonts w:ascii="仿宋_GB2312" w:eastAsia="仿宋_GB2312" w:hint="eastAsia"/>
          <w:color w:val="auto"/>
          <w:sz w:val="32"/>
          <w:szCs w:val="32"/>
          <w:lang w:val="en-US" w:eastAsia="zh-CN"/>
          <w:highlight w:val="auto"/>
        </w:rPr>
        <w:t>155.01</w:t>
      </w:r>
      <w:r>
        <w:rPr>
          <w:rFonts w:ascii="仿宋_GB2312" w:eastAsia="仿宋_GB2312" w:hint="eastAsia"/>
          <w:color w:val="auto"/>
          <w:sz w:val="32"/>
          <w:szCs w:val="32"/>
          <w:highlight w:val="auto"/>
        </w:rPr>
        <w:t>万元，比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val="en-US" w:eastAsia="zh-CN"/>
          <w:highlight w:val="auto"/>
        </w:rPr>
        <w:t>减少74.68</w:t>
      </w:r>
      <w:r>
        <w:rPr>
          <w:rFonts w:ascii="仿宋_GB2312" w:eastAsia="仿宋_GB2312" w:hint="eastAsia"/>
          <w:color w:val="auto"/>
          <w:sz w:val="32"/>
          <w:szCs w:val="32"/>
          <w:highlight w:val="auto"/>
        </w:rPr>
        <w:t>万元，下降</w:t>
      </w:r>
      <w:r>
        <w:rPr>
          <w:rFonts w:ascii="仿宋_GB2312" w:eastAsia="仿宋_GB2312" w:hint="eastAsia"/>
          <w:color w:val="auto"/>
          <w:sz w:val="32"/>
          <w:szCs w:val="32"/>
          <w:lang w:val="en-US" w:eastAsia="zh-CN"/>
          <w:highlight w:val="auto"/>
        </w:rPr>
        <w:t>32.51</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_GB2312" w:eastAsia="仿宋_GB2312" w:hint="eastAsia"/>
          <w:color w:val="auto"/>
          <w:sz w:val="32"/>
          <w:szCs w:val="32"/>
          <w:lang w:val="en-US" w:eastAsia="zh-CN"/>
          <w:highlight w:val="auto"/>
        </w:rPr>
        <w:t>受疫情影响，培训费、差旅费、劳务费等经费支出减少</w:t>
      </w:r>
      <w:r>
        <w:rPr>
          <w:rFonts w:ascii="仿宋_GB2312" w:eastAsia="仿宋_GB2312" w:hint="eastAsia"/>
          <w:color w:val="auto"/>
          <w:sz w:val="32"/>
          <w:szCs w:val="32"/>
          <w:lang w:eastAsia="zh-CN"/>
          <w:highlight w:val="auto"/>
        </w:rPr>
        <w:t>。</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60" w:name="_Toc15377223"/>
      <w:r>
        <w:rPr>
          <w:rFonts w:ascii="仿宋" w:eastAsia="仿宋" w:hAnsi="仿宋" w:hint="eastAsia"/>
          <w:b/>
          <w:color w:val="auto"/>
          <w:sz w:val="32"/>
          <w:szCs w:val="32"/>
          <w:highlight w:val="auto"/>
        </w:rPr>
        <w:t>（二）政府采购支出情况</w:t>
      </w:r>
      <w:bookmarkEnd w:id="60"/>
    </w:p>
    <w:p>
      <w:pPr>
        <w:spacing w:line="600" w:lineRule="exact"/>
        <w:ind w:firstLineChars="200" w:firstLine="640"/>
        <w:outlineLvl w:val="9"/>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年，广元市利州区人力资源和社会保障局政府采购支出总额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61" w:name="_Toc15377224"/>
      <w:r>
        <w:rPr>
          <w:rFonts w:ascii="仿宋" w:eastAsia="仿宋" w:hAnsi="仿宋" w:hint="eastAsia"/>
          <w:b/>
          <w:color w:val="auto"/>
          <w:sz w:val="32"/>
          <w:szCs w:val="32"/>
          <w:highlight w:val="auto"/>
        </w:rPr>
        <w:t>（三）国有资产占有使用情况</w:t>
      </w:r>
      <w:bookmarkEnd w:id="61"/>
    </w:p>
    <w:p>
      <w:pPr>
        <w:autoSpaceDE w:val="0"/>
        <w:autoSpaceDN w:val="0"/>
        <w:adjustRightInd w:val="0"/>
        <w:spacing w:line="600" w:lineRule="exact"/>
        <w:ind w:firstLineChars="200" w:firstLine="640"/>
        <w:jc w:val="left"/>
        <w:outlineLvl w:val="9"/>
        <w:rPr>
          <w:rFonts w:ascii="仿宋" w:eastAsia="仿宋" w:hAnsi="仿宋"/>
          <w:b/>
          <w:color w:val="auto"/>
          <w:sz w:val="32"/>
          <w:szCs w:val="32"/>
          <w:highlight w:val="auto"/>
        </w:rPr>
      </w:pP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w:t>
      </w:r>
      <w:r>
        <w:rPr>
          <w:rFonts w:ascii="仿宋_GB2312" w:eastAsia="仿宋_GB2312"/>
          <w:color w:val="auto"/>
          <w:sz w:val="32"/>
          <w:szCs w:val="32"/>
          <w:highlight w:val="auto"/>
        </w:rPr>
        <w:t>31</w:t>
      </w:r>
      <w:r>
        <w:rPr>
          <w:rFonts w:ascii="仿宋_GB2312" w:eastAsia="仿宋_GB2312" w:hint="eastAsia"/>
          <w:color w:val="auto"/>
          <w:sz w:val="32"/>
          <w:szCs w:val="32"/>
          <w:highlight w:val="auto"/>
        </w:rPr>
        <w:t>日，广元市利州区人力资源和社会保障局共有车辆0辆</w:t>
      </w:r>
      <w:r>
        <w:rPr>
          <w:rFonts w:ascii="仿宋_GB2312" w:eastAsia="仿宋_GB2312" w:hint="eastAsia"/>
          <w:color w:val="auto"/>
          <w:sz w:val="32"/>
          <w:szCs w:val="32"/>
          <w:lang w:eastAsia="zh-CN"/>
          <w:highlight w:val="auto"/>
        </w:rPr>
        <w:t>。</w:t>
      </w:r>
      <w:r>
        <w:rPr>
          <w:rFonts w:ascii="仿宋_GB2312" w:eastAsia="仿宋_GB2312" w:hint="eastAsia"/>
          <w:color w:val="auto"/>
          <w:sz w:val="32"/>
          <w:szCs w:val="32"/>
          <w:highlight w:val="auto"/>
        </w:rPr>
        <w:t>单价</w:t>
      </w:r>
      <w:r>
        <w:rPr>
          <w:rFonts w:ascii="仿宋_GB2312" w:eastAsia="仿宋_GB2312"/>
          <w:color w:val="auto"/>
          <w:sz w:val="32"/>
          <w:szCs w:val="32"/>
          <w:highlight w:val="auto"/>
        </w:rPr>
        <w:t>100</w:t>
      </w:r>
      <w:r>
        <w:rPr>
          <w:rFonts w:ascii="仿宋_GB2312" w:eastAsia="仿宋_GB2312" w:hint="eastAsia"/>
          <w:color w:val="auto"/>
          <w:sz w:val="32"/>
          <w:szCs w:val="32"/>
          <w:highlight w:val="auto"/>
        </w:rPr>
        <w:t>万元以上专用设备0台（套）。</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r>
        <w:rPr>
          <w:rFonts w:ascii="仿宋" w:eastAsia="仿宋" w:hAnsi="仿宋" w:hint="eastAsia"/>
          <w:b/>
          <w:color w:val="auto"/>
          <w:sz w:val="32"/>
          <w:szCs w:val="32"/>
          <w:highlight w:val="auto"/>
        </w:rPr>
        <w:t>（四）预算绩效管理情况</w:t>
      </w:r>
    </w:p>
    <w:p>
      <w:pPr>
        <w:spacing w:line="580" w:lineRule="exact"/>
        <w:ind w:firstLineChars="200" w:firstLine="640"/>
        <w:outlineLvl w:val="9"/>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根据预算绩效管理要求，</w:t>
      </w:r>
      <w:r>
        <w:rPr>
          <w:rFonts w:ascii="仿宋_GB2312" w:eastAsia="仿宋_GB2312" w:cs="仿宋_GB2312" w:hAnsi="仿宋_GB2312" w:hint="eastAsia"/>
          <w:color w:val="auto"/>
          <w:sz w:val="32"/>
          <w:szCs w:val="32"/>
          <w:lang w:eastAsia="zh-CN"/>
          <w:highlight w:val="auto"/>
        </w:rPr>
        <w:t>本单位</w:t>
      </w:r>
      <w:r>
        <w:rPr>
          <w:rFonts w:ascii="仿宋_GB2312" w:eastAsia="仿宋_GB2312" w:cs="仿宋_GB2312" w:hAnsi="仿宋_GB2312" w:hint="eastAsia"/>
          <w:color w:val="auto"/>
          <w:sz w:val="32"/>
          <w:szCs w:val="32"/>
          <w:highlight w:val="auto"/>
        </w:rPr>
        <w:t>在202</w:t>
      </w:r>
      <w:r>
        <w:rPr>
          <w:rFonts w:ascii="仿宋_GB2312"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年度预算编制阶段，组织对未就业高校毕业生见习补贴</w:t>
      </w:r>
      <w:r>
        <w:rPr>
          <w:rFonts w:ascii="仿宋_GB2312" w:eastAsia="仿宋_GB2312" w:cs="仿宋_GB2312" w:hAnsi="仿宋_GB2312" w:hint="eastAsia"/>
          <w:color w:val="auto"/>
          <w:sz w:val="32"/>
          <w:szCs w:val="32"/>
          <w:lang w:eastAsia="zh-CN"/>
          <w:highlight w:val="auto"/>
        </w:rPr>
        <w:t>、金保工程网络经费、就业补助（含协理员经费）、劳动监察办案经费、劳动争议仲裁办案经费、事业单位招考经费（含人才引进）、三支一扶社会保险单位缴费、社保资料印刷费、人事代理和移交教师退休人员待遇财政补差、城乡居民养老保险区级配套及困难群众财政代缴个人保险缴费、全区人事档案数字管理、利州区农民工服务保障工作</w:t>
      </w:r>
      <w:r>
        <w:rPr>
          <w:rFonts w:ascii="仿宋_GB2312" w:eastAsia="仿宋_GB2312" w:cs="仿宋_GB2312" w:hAnsi="仿宋_GB2312" w:hint="eastAsia"/>
          <w:color w:val="auto"/>
          <w:sz w:val="32"/>
          <w:szCs w:val="32"/>
          <w:highlight w:val="auto"/>
        </w:rPr>
        <w:t>项目等</w:t>
      </w:r>
      <w:r>
        <w:rPr>
          <w:rFonts w:ascii="仿宋_GB2312" w:eastAsia="仿宋_GB2312" w:cs="仿宋_GB2312" w:hAnsi="仿宋_GB2312" w:hint="eastAsia"/>
          <w:color w:val="auto"/>
          <w:sz w:val="32"/>
          <w:szCs w:val="32"/>
          <w:lang w:val="en-US" w:eastAsia="zh-CN"/>
          <w:highlight w:val="auto"/>
        </w:rPr>
        <w:t>12</w:t>
      </w:r>
      <w:r>
        <w:rPr>
          <w:rFonts w:ascii="仿宋_GB2312" w:eastAsia="仿宋_GB2312" w:cs="仿宋_GB2312" w:hAnsi="仿宋_GB2312" w:hint="eastAsia"/>
          <w:color w:val="auto"/>
          <w:sz w:val="32"/>
          <w:szCs w:val="32"/>
          <w:highlight w:val="auto"/>
        </w:rPr>
        <w:t>个项目开展了预算事前绩效评估，对</w:t>
      </w:r>
      <w:r>
        <w:rPr>
          <w:rFonts w:ascii="仿宋_GB2312" w:eastAsia="仿宋_GB2312" w:cs="仿宋_GB2312" w:hAnsi="仿宋_GB2312" w:hint="eastAsia"/>
          <w:color w:val="auto"/>
          <w:sz w:val="32"/>
          <w:szCs w:val="32"/>
          <w:lang w:val="en-US" w:eastAsia="zh-CN"/>
          <w:highlight w:val="auto"/>
        </w:rPr>
        <w:t>12</w:t>
      </w:r>
      <w:r>
        <w:rPr>
          <w:rFonts w:ascii="仿宋_GB2312" w:eastAsia="仿宋_GB2312" w:cs="仿宋_GB2312" w:hAnsi="仿宋_GB2312" w:hint="eastAsia"/>
          <w:color w:val="auto"/>
          <w:sz w:val="32"/>
          <w:szCs w:val="32"/>
          <w:highlight w:val="auto"/>
        </w:rPr>
        <w:t>个项目编制了绩效目标，预算执行过程中，选取</w:t>
      </w:r>
      <w:r>
        <w:rPr>
          <w:rFonts w:ascii="仿宋_GB2312" w:eastAsia="仿宋_GB2312" w:cs="仿宋_GB2312" w:hAnsi="仿宋_GB2312" w:hint="eastAsia"/>
          <w:color w:val="auto"/>
          <w:sz w:val="32"/>
          <w:szCs w:val="32"/>
          <w:lang w:val="en-US" w:eastAsia="zh-CN"/>
          <w:highlight w:val="auto"/>
        </w:rPr>
        <w:t>12</w:t>
      </w:r>
      <w:r>
        <w:rPr>
          <w:rFonts w:ascii="仿宋_GB2312" w:eastAsia="仿宋_GB2312" w:cs="仿宋_GB2312" w:hAnsi="仿宋_GB2312" w:hint="eastAsia"/>
          <w:color w:val="auto"/>
          <w:sz w:val="32"/>
          <w:szCs w:val="32"/>
          <w:highlight w:val="auto"/>
        </w:rPr>
        <w:t>个项目开展绩效监控。</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组织对2022年度一般公共预算、政府性基金预算、国有资本经营预算、社会保险基金预算以及资本资产、债券资金等全面开展绩效自评，形成</w:t>
      </w:r>
      <w:r>
        <w:rPr>
          <w:rFonts w:ascii="仿宋_GB2312" w:eastAsia="仿宋_GB2312" w:hint="eastAsia"/>
          <w:color w:val="auto"/>
          <w:sz w:val="32"/>
          <w:szCs w:val="32"/>
          <w:highlight w:val="auto"/>
        </w:rPr>
        <w:t>广元市利州区人力资源和社会保障局</w:t>
      </w:r>
      <w:r>
        <w:rPr>
          <w:rFonts w:ascii="仿宋_GB2312" w:eastAsia="仿宋_GB2312" w:cs="仿宋_GB2312" w:hAnsi="仿宋_GB2312" w:hint="eastAsia"/>
          <w:color w:val="auto"/>
          <w:sz w:val="32"/>
          <w:szCs w:val="32"/>
          <w:highlight w:val="auto"/>
        </w:rPr>
        <w:t>部门整体（含部门预算项目）绩效自评报告</w:t>
      </w:r>
      <w:r>
        <w:rPr>
          <w:rFonts w:ascii="仿宋_GB2312" w:eastAsia="仿宋_GB2312" w:cs="仿宋_GB2312" w:hAnsi="仿宋_GB2312" w:hint="eastAsia"/>
          <w:color w:val="auto"/>
          <w:sz w:val="32"/>
          <w:szCs w:val="32"/>
          <w:lang w:val="en-US" w:eastAsia="zh-CN"/>
          <w:highlight w:val="auto"/>
        </w:rPr>
        <w:t>,</w:t>
      </w:r>
      <w:r>
        <w:rPr>
          <w:rFonts w:ascii="仿宋_GB2312" w:eastAsia="仿宋_GB2312" w:cs="仿宋_GB2312" w:hAnsi="仿宋_GB2312" w:hint="eastAsia"/>
          <w:color w:val="auto"/>
          <w:sz w:val="32"/>
          <w:szCs w:val="32"/>
          <w:highlight w:val="auto"/>
        </w:rPr>
        <w:t>未就业高校毕业生见习补贴</w:t>
      </w:r>
      <w:r>
        <w:rPr>
          <w:rFonts w:ascii="仿宋_GB2312" w:eastAsia="仿宋_GB2312" w:cs="仿宋_GB2312" w:hAnsi="仿宋_GB2312" w:hint="eastAsia"/>
          <w:color w:val="auto"/>
          <w:sz w:val="32"/>
          <w:szCs w:val="32"/>
          <w:lang w:eastAsia="zh-CN"/>
          <w:highlight w:val="auto"/>
        </w:rPr>
        <w:t>、金保工程网络经费、就业补助（含协理员经费）、劳动监察办案经费、劳动争议仲裁办案经费、事业单位招考经费（含人才引进）、三支一扶社会保险单位缴费、社保资料印刷费、人事代理和移交教师退休人员待遇财政补差、城乡居民养老保险区级配套及困难群众财政代缴个人保险缴费、全区人事档案数字管理、利州区农民工服务保障工作等专项预算项目绩效自评报告，其中，广元市利州区人力资源和社会保障局部门整体（含部门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w:t>
      </w:r>
      <w:r>
        <w:rPr>
          <w:rFonts w:ascii="仿宋_GB2312" w:eastAsia="仿宋_GB2312" w:cs="仿宋_GB2312" w:hAnsi="仿宋_GB2312" w:hint="eastAsia"/>
          <w:color w:val="auto"/>
          <w:sz w:val="32"/>
          <w:szCs w:val="32"/>
          <w:lang w:val="en-US" w:eastAsia="zh-CN"/>
          <w:highlight w:val="auto"/>
        </w:rPr>
        <w:t>一是坚持就业优先战略，牢牢稳住就业“基本盘”。制定出台“就业20条”“大学生就业15条”等政策，全面落实补贴政策20项；二是织密社保民生网脉，不断扩大社保“覆盖面”。全区基本养老保险参保22万人，新增扩面5973人；三是推进人才引培工程，聚力打造人才“新洼地”。拓宽招才渠道，筑巢引凤纳贤。组织事业单位工作人员（含三支一扶人员）招聘考试9次，聘用（招募）271人；申报2022年智兴天府专家行·四川省专家智力服务项目4个，柔性引进高级职称以上专家10名，获批“智兴天府专家行·四川省专家智力服务联合行动广元行”项目1个；四是打造最优营商环境，唱响劳动关系“和谐曲”</w:t>
      </w:r>
      <w:r>
        <w:rPr>
          <w:rFonts w:ascii="仿宋_GB2312" w:eastAsia="仿宋_GB2312" w:cs="仿宋_GB2312" w:hAnsi="仿宋_GB2312" w:hint="eastAsia"/>
          <w:color w:val="auto"/>
          <w:sz w:val="32"/>
          <w:szCs w:val="32"/>
          <w:lang w:eastAsia="zh-CN"/>
          <w:highlight w:val="auto"/>
        </w:rPr>
        <w:t>；未就业高校毕业生见习补贴专项预算项目绩效自评得分为</w:t>
      </w:r>
      <w:r>
        <w:rPr>
          <w:rFonts w:ascii="仿宋_GB2312" w:eastAsia="仿宋_GB2312" w:cs="仿宋_GB2312" w:hAnsi="仿宋_GB2312" w:hint="eastAsia"/>
          <w:color w:val="auto"/>
          <w:sz w:val="32"/>
          <w:szCs w:val="32"/>
          <w:lang w:val="en-US" w:eastAsia="zh-CN"/>
          <w:highlight w:val="auto"/>
        </w:rPr>
        <w:t>99</w:t>
      </w:r>
      <w:r>
        <w:rPr>
          <w:rFonts w:ascii="仿宋_GB2312" w:eastAsia="仿宋_GB2312" w:cs="仿宋_GB2312" w:hAnsi="仿宋_GB2312" w:hint="eastAsia"/>
          <w:color w:val="auto"/>
          <w:sz w:val="32"/>
          <w:szCs w:val="32"/>
          <w:lang w:eastAsia="zh-CN"/>
          <w:highlight w:val="auto"/>
        </w:rPr>
        <w:t>分，绩效自评综述：充分发挥就业见习提升高校毕业生综合素质和职业能力，增强就业竞争力，促进实现就业作用；金保工程网络经费专项预算项目绩效自评得分为</w:t>
      </w:r>
      <w:r>
        <w:rPr>
          <w:rFonts w:ascii="仿宋_GB2312" w:eastAsia="仿宋_GB2312" w:cs="仿宋_GB2312" w:hAnsi="仿宋_GB2312" w:hint="eastAsia"/>
          <w:color w:val="auto"/>
          <w:sz w:val="32"/>
          <w:szCs w:val="32"/>
          <w:lang w:val="en-US" w:eastAsia="zh-CN"/>
          <w:highlight w:val="auto"/>
        </w:rPr>
        <w:t>99</w:t>
      </w:r>
      <w:r>
        <w:rPr>
          <w:rFonts w:ascii="仿宋_GB2312" w:eastAsia="仿宋_GB2312" w:cs="仿宋_GB2312" w:hAnsi="仿宋_GB2312" w:hint="eastAsia"/>
          <w:color w:val="auto"/>
          <w:sz w:val="32"/>
          <w:szCs w:val="32"/>
          <w:lang w:eastAsia="zh-CN"/>
          <w:highlight w:val="auto"/>
        </w:rPr>
        <w:t>分，绩效自评综述：保证金保工程网络正常运行；就业补助（含协理员经费）专项预算项目绩效自评得分为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在当前预算项目下开展工作，基本满足工作开展，不应缩减预算安排，应当按照政策规定增加预算项目，以全面落实就业创业促进中心服务保障工作，增加就业，促进社会和谐稳定；劳动监察办案经费专项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通过项目实施，切实维护了农民工弱势群体的合法权益，有力打击了企业违规欠薪行为，进一步强化了法律的公正性、公平性，有效提高了政府的公信力，增强农民工的社会认同感和获得感；劳动争议仲裁办案经费专项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在当前预算项目下开展工作，尚不能满足全区劳动人事争议仲裁办案经费支出，不应缩减预算安排，应当按照政策规定增加预算项目，以保障全区劳动人事争议仲裁案件的办理，持续推动全区和谐劳动关系的构建；事业单位招考经费（含人才引进）专项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事业单位人事招考工作在区人力资源和社会保障局的领导下，由区人才交流中心具体开展工作，组织机构健全，工作职能职责明确，工作开展按照三定方案和组织工作要点实施，开展时间、工作程序有计划、管理过程规范。年初预算资金不足，导致招考劳务费发放延期；三支一扶社会保险单位缴费专项预算项目绩效自评得分为</w:t>
      </w:r>
      <w:r>
        <w:rPr>
          <w:rFonts w:ascii="仿宋_GB2312" w:eastAsia="仿宋_GB2312" w:cs="仿宋_GB2312" w:hAnsi="仿宋_GB2312" w:hint="eastAsia"/>
          <w:color w:val="auto"/>
          <w:sz w:val="32"/>
          <w:szCs w:val="32"/>
          <w:lang w:val="en-US" w:eastAsia="zh-CN"/>
          <w:highlight w:val="auto"/>
        </w:rPr>
        <w:t>99</w:t>
      </w:r>
      <w:r>
        <w:rPr>
          <w:rFonts w:ascii="仿宋_GB2312" w:eastAsia="仿宋_GB2312" w:cs="仿宋_GB2312" w:hAnsi="仿宋_GB2312" w:hint="eastAsia"/>
          <w:color w:val="auto"/>
          <w:sz w:val="32"/>
          <w:szCs w:val="32"/>
          <w:lang w:eastAsia="zh-CN"/>
          <w:highlight w:val="auto"/>
        </w:rPr>
        <w:t>分，绩效自评综述：以服务基层发展为目标，以更好促进高校毕业生在基层成长成才为着力点，坚持服务基层和培养人才相结合、市场主导和政府推动相结合、政策支持和完善服务相结合的原则，突出重点、完善制度、引导预期，完善公共服务体系，着力解决制约高校毕业生到基层工作的突出问题，构建引导和鼓励高校毕业生“下得去、留得住、干得好、流得动”的长效机制；社保资料印刷费专项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在当前预算项目下开展工作，支付宣传所需印刷费，不应缩减预算安排，应当按照政策规定增加预算金额，以全面达到全民知晓保险政策，达到全民参保；人事代理和移交教师退休人员待遇财政补差专项预算项目绩效自评得分为</w:t>
      </w:r>
      <w:r>
        <w:rPr>
          <w:rFonts w:ascii="仿宋_GB2312" w:eastAsia="仿宋_GB2312" w:cs="仿宋_GB2312" w:hAnsi="仿宋_GB2312" w:hint="eastAsia"/>
          <w:color w:val="auto"/>
          <w:sz w:val="32"/>
          <w:szCs w:val="32"/>
          <w:lang w:val="en-US" w:eastAsia="zh-CN"/>
          <w:highlight w:val="auto"/>
        </w:rPr>
        <w:t>99</w:t>
      </w:r>
      <w:r>
        <w:rPr>
          <w:rFonts w:ascii="仿宋_GB2312" w:eastAsia="仿宋_GB2312" w:cs="仿宋_GB2312" w:hAnsi="仿宋_GB2312" w:hint="eastAsia"/>
          <w:color w:val="auto"/>
          <w:sz w:val="32"/>
          <w:szCs w:val="32"/>
          <w:lang w:eastAsia="zh-CN"/>
          <w:highlight w:val="auto"/>
        </w:rPr>
        <w:t>分，绩效自评综述：为化解历史遗留问题，积极衔接协调财政、社保对移交教师、人事代理等人员的待遇补差，确保社会的和谐稳定；城乡居民养老保险区级配套及困难群众财政代缴个人保险缴费专项预算项目绩效自评得分为</w:t>
      </w:r>
      <w:r>
        <w:rPr>
          <w:rFonts w:ascii="仿宋_GB2312" w:eastAsia="仿宋_GB2312" w:cs="仿宋_GB2312" w:hAnsi="仿宋_GB2312" w:hint="eastAsia"/>
          <w:color w:val="auto"/>
          <w:sz w:val="32"/>
          <w:szCs w:val="32"/>
          <w:lang w:val="en-US" w:eastAsia="zh-CN"/>
          <w:highlight w:val="auto"/>
        </w:rPr>
        <w:t>96</w:t>
      </w:r>
      <w:r>
        <w:rPr>
          <w:rFonts w:ascii="仿宋_GB2312" w:eastAsia="仿宋_GB2312" w:cs="仿宋_GB2312" w:hAnsi="仿宋_GB2312" w:hint="eastAsia"/>
          <w:color w:val="auto"/>
          <w:sz w:val="32"/>
          <w:szCs w:val="32"/>
          <w:lang w:eastAsia="zh-CN"/>
          <w:highlight w:val="auto"/>
        </w:rPr>
        <w:t>分，绩效自评综述：保障参保人员待遇发放，提高农村居民老年基本生活水平为目的，以基本覆盖农村适龄人口为目标；全区人事档案数字管理专项预算项目绩效自评得分为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在当前预算项目下开展工作，基本满足干部人事档案数字化扫描、人事档案机要投递工作需要，不应缩减预算安排，应当按照政策规定增加预算项目，以全面落实各项工作落实落地，持续推进人才交流中心工作高质量发展；利州区农民工服务保障工作专项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lang w:eastAsia="zh-CN"/>
          <w:highlight w:val="auto"/>
        </w:rPr>
        <w:t>分，绩效自评综述：在当前预算项目下开展工作，基本满足工作开展，不应缩减预算安排，应当按照政策规定增加预算项目，以全面落实农民工服务保障工作，增加就业，促进社会和谐稳定，为新时代下农民工群体提供更优质的服务。</w:t>
      </w:r>
      <w:r>
        <w:rPr>
          <w:rFonts w:ascii="仿宋_GB2312" w:eastAsia="仿宋_GB2312" w:cs="仿宋_GB2312" w:hAnsi="仿宋_GB2312" w:hint="eastAsia"/>
          <w:color w:val="auto"/>
          <w:sz w:val="32"/>
          <w:szCs w:val="32"/>
          <w:highlight w:val="auto"/>
        </w:rPr>
        <w:t>绩效自评报告详见附件。</w:t>
      </w:r>
    </w:p>
    <w:p>
      <w:pPr>
        <w:widowControl/>
        <w:ind w:firstLineChars="200" w:firstLine="640"/>
        <w:jc w:val="left"/>
        <w:rPr>
          <w:rFonts w:ascii="仿宋_GB2312" w:eastAsia="仿宋_GB2312"/>
          <w:b/>
          <w:color w:val="auto"/>
          <w:sz w:val="32"/>
          <w:szCs w:val="32"/>
          <w:highlight w:val="auto"/>
        </w:rPr>
      </w:pPr>
      <w:r>
        <w:rPr>
          <w:rFonts w:ascii="仿宋_GB2312" w:eastAsia="仿宋_GB2312"/>
          <w:b/>
          <w:color w:val="auto"/>
          <w:sz w:val="32"/>
          <w:szCs w:val="32"/>
          <w:highlight w:val="auto"/>
        </w:rPr>
        <w:br w:type="page"/>
      </w:r>
    </w:p>
    <w:p>
      <w:pPr>
        <w:numPr>
          <w:ilvl w:val="0"/>
          <w:numId w:val="4"/>
        </w:numPr>
        <w:spacing w:line="600" w:lineRule="exact"/>
        <w:ind w:left="0" w:firstLineChars="150" w:firstLine="660"/>
        <w:jc w:val="center"/>
        <w:outlineLvl w:val="0"/>
        <w:rPr>
          <w:rStyle w:val="1Char"/>
          <w:rFonts w:ascii="黑体" w:eastAsia="黑体" w:hAnsi="黑体"/>
          <w:b w:val="0"/>
          <w:color w:val="auto"/>
          <w:highlight w:val="auto"/>
        </w:rPr>
      </w:pPr>
      <w:bookmarkStart w:id="62" w:name="_Toc15377225"/>
      <w:bookmarkStart w:id="63" w:name="_Toc15396613"/>
      <w:bookmarkStart w:id="64" w:name="_Toc8367"/>
      <w:r>
        <w:rPr>
          <w:rFonts w:ascii="黑体" w:eastAsia="黑体" w:hAnsi="黑体" w:hint="eastAsia"/>
          <w:color w:val="auto"/>
          <w:sz w:val="44"/>
          <w:szCs w:val="44"/>
          <w:highlight w:val="auto"/>
        </w:rPr>
        <w:t>名</w:t>
      </w:r>
      <w:r>
        <w:rPr>
          <w:rStyle w:val="1Char"/>
          <w:rFonts w:ascii="黑体" w:eastAsia="黑体" w:hAnsi="黑体" w:hint="eastAsia"/>
          <w:b w:val="0"/>
          <w:color w:val="auto"/>
          <w:highlight w:val="auto"/>
        </w:rPr>
        <w:t>词解释</w:t>
      </w:r>
      <w:bookmarkEnd w:id="62"/>
      <w:bookmarkEnd w:id="63"/>
      <w:bookmarkEnd w:id="64"/>
    </w:p>
    <w:p>
      <w:pPr>
        <w:spacing w:line="600" w:lineRule="exact"/>
        <w:jc w:val="left"/>
        <w:rPr>
          <w:rFonts w:ascii="宋体"/>
          <w:b/>
          <w:color w:val="auto"/>
          <w:sz w:val="44"/>
          <w:szCs w:val="44"/>
          <w:highlight w:val="auto"/>
        </w:rPr>
      </w:pPr>
    </w:p>
    <w:p>
      <w:pPr>
        <w:pStyle w:val="32"/>
        <w:spacing w:line="560" w:lineRule="exact"/>
        <w:ind w:firstLineChars="200" w:firstLine="640"/>
        <w:outlineLvl w:val="9"/>
        <w:rPr>
          <w:rFonts w:ascii="仿宋_GB2312" w:eastAsia="仿宋_GB2312"/>
          <w:color w:val="auto"/>
          <w:sz w:val="32"/>
          <w:szCs w:val="32"/>
          <w:highlight w:val="auto"/>
        </w:rPr>
      </w:pPr>
      <w:r>
        <w:rPr>
          <w:rFonts w:ascii="仿宋_GB2312" w:eastAsia="仿宋_GB2312"/>
          <w:color w:val="auto"/>
          <w:sz w:val="32"/>
          <w:szCs w:val="32"/>
          <w:highlight w:val="auto"/>
        </w:rPr>
        <w:t>1.</w:t>
      </w:r>
      <w:r>
        <w:rPr>
          <w:rFonts w:ascii="仿宋_GB2312" w:eastAsia="仿宋_GB2312" w:hint="eastAsia"/>
          <w:color w:val="auto"/>
          <w:sz w:val="32"/>
          <w:szCs w:val="32"/>
          <w:highlight w:val="auto"/>
        </w:rPr>
        <w:t>财政拨款收入：指单位从同级财政部门取得的财政预算资金。</w:t>
      </w:r>
      <w:r>
        <w:rPr>
          <w:rFonts w:ascii="仿宋_GB2312" w:eastAsia="仿宋_GB2312"/>
          <w:color w:val="auto"/>
          <w:sz w:val="32"/>
          <w:szCs w:val="32"/>
          <w:highlight w:val="auto"/>
        </w:rPr>
        <w:t xml:space="preserve"> </w:t>
      </w:r>
    </w:p>
    <w:p>
      <w:pPr>
        <w:pStyle w:val="32"/>
        <w:spacing w:line="560" w:lineRule="exact"/>
        <w:ind w:firstLineChars="200" w:firstLine="640"/>
        <w:outlineLvl w:val="9"/>
        <w:rPr>
          <w:rFonts w:ascii="仿宋_GB2312" w:eastAsia="仿宋_GB2312" w:hint="eastAsia"/>
          <w:sz w:val="32"/>
          <w:szCs w:val="32"/>
        </w:rPr>
      </w:pPr>
      <w:r>
        <w:rPr>
          <w:rFonts w:ascii="仿宋_GB2312" w:eastAsia="仿宋_GB2312" w:hint="eastAsia"/>
          <w:sz w:val="32"/>
          <w:szCs w:val="32"/>
          <w:lang w:val="en-US" w:eastAsia="zh-CN"/>
        </w:rPr>
        <w:t>2</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pPr>
        <w:pStyle w:val="32"/>
        <w:spacing w:line="560" w:lineRule="exact"/>
        <w:ind w:firstLineChars="200" w:firstLine="640"/>
        <w:outlineLvl w:val="9"/>
        <w:rPr>
          <w:rFonts w:ascii="仿宋_GB2312" w:eastAsia="仿宋_GB2312"/>
          <w:sz w:val="32"/>
          <w:szCs w:val="32"/>
        </w:rPr>
      </w:pPr>
      <w:r>
        <w:rPr>
          <w:rFonts w:ascii="仿宋_GB2312" w:eastAsia="仿宋_GB2312" w:hint="eastAsia"/>
          <w:color w:val="auto"/>
          <w:sz w:val="32"/>
          <w:szCs w:val="32"/>
          <w:lang w:val="en-US" w:eastAsia="zh-CN"/>
          <w:highlight w:val="auto"/>
        </w:rPr>
        <w:t>3</w:t>
      </w:r>
      <w:r>
        <w:rPr>
          <w:rFonts w:ascii="仿宋_GB2312" w:eastAsia="仿宋_GB2312"/>
          <w:color w:val="auto"/>
          <w:sz w:val="32"/>
          <w:szCs w:val="32"/>
          <w:highlight w:val="auto"/>
        </w:rPr>
        <w:t>.</w:t>
      </w:r>
      <w:r>
        <w:rPr>
          <w:rFonts w:ascii="仿宋_GB2312" w:eastAsia="仿宋_GB2312" w:hint="eastAsia"/>
          <w:sz w:val="32"/>
          <w:szCs w:val="32"/>
        </w:rPr>
        <w:t>年末结转和结余：指单位按有关规定结转到下年或以后年度继续使用的资金</w:t>
      </w:r>
      <w:r>
        <w:rPr>
          <w:rFonts w:ascii="仿宋_GB2312" w:eastAsia="仿宋_GB2312" w:hint="eastAsia"/>
          <w:color w:val="auto"/>
          <w:sz w:val="32"/>
          <w:szCs w:val="32"/>
          <w:highlight w:val="auto"/>
        </w:rPr>
        <w:t>。</w:t>
      </w:r>
    </w:p>
    <w:p>
      <w:pPr>
        <w:pStyle w:val="32"/>
        <w:spacing w:line="560" w:lineRule="exact"/>
        <w:ind w:firstLineChars="200" w:firstLine="640"/>
        <w:outlineLvl w:val="9"/>
        <w:rPr>
          <w:rFonts w:ascii="仿宋_GB2312" w:eastAsia="仿宋_GB2312"/>
          <w:color w:val="auto"/>
          <w:sz w:val="32"/>
          <w:szCs w:val="32"/>
          <w:highlight w:val="auto"/>
        </w:rPr>
      </w:pPr>
      <w:r>
        <w:rPr>
          <w:rFonts w:ascii="仿宋_GB2312" w:eastAsia="仿宋_GB2312" w:hint="eastAsia"/>
          <w:sz w:val="32"/>
          <w:szCs w:val="32"/>
          <w:lang w:val="en-US" w:eastAsia="zh-CN"/>
        </w:rPr>
        <w:t>4.</w:t>
      </w:r>
      <w:r>
        <w:rPr>
          <w:rFonts w:ascii="仿宋_GB2312" w:eastAsia="仿宋_GB2312" w:cs="仿宋_GB2312" w:hAnsi="仿宋_GB2312" w:hint="eastAsia"/>
          <w:color w:val="000000"/>
          <w:sz w:val="32"/>
          <w:szCs w:val="32"/>
          <w:lang w:val="en-US" w:eastAsia="zh-CN"/>
        </w:rPr>
        <w:t>社会保障和就业支出（类）人力资源和社会保障管理事务（款）行政运行（项）: 反映行政单位的基本支出</w:t>
      </w:r>
      <w:r>
        <w:rPr>
          <w:rFonts w:ascii="仿宋_GB2312" w:eastAsia="仿宋_GB2312" w:hint="eastAsia"/>
          <w:sz w:val="32"/>
          <w:szCs w:val="32"/>
        </w:rPr>
        <w:t>。</w:t>
      </w:r>
    </w:p>
    <w:p>
      <w:pPr>
        <w:spacing w:line="600" w:lineRule="exact"/>
        <w:ind w:firstLine="640"/>
        <w:outlineLvl w:val="9"/>
        <w:rPr>
          <w:rFonts w:ascii="仿宋_GB2312" w:eastAsia="仿宋_GB2312" w:cs="仿宋_GB2312" w:hAnsi="仿宋_GB2312" w:hint="eastAsia"/>
          <w:color w:val="000000"/>
          <w:sz w:val="32"/>
          <w:szCs w:val="32"/>
          <w:lang w:eastAsia="zh-CN"/>
        </w:rPr>
      </w:pPr>
      <w:r>
        <w:rPr>
          <w:rFonts w:ascii="仿宋_GB2312" w:eastAsia="仿宋_GB2312" w:cs="仿宋_GB2312" w:hAnsi="仿宋_GB2312" w:hint="eastAsia"/>
          <w:color w:val="000000"/>
          <w:sz w:val="32"/>
          <w:szCs w:val="32"/>
          <w:lang w:val="en-US" w:eastAsia="zh-CN"/>
        </w:rPr>
        <w:t>5.</w:t>
      </w:r>
      <w:r>
        <w:rPr>
          <w:rFonts w:ascii="仿宋_GB2312" w:eastAsia="仿宋_GB2312" w:cs="仿宋_GB2312" w:hAnsi="仿宋_GB2312" w:hint="eastAsia"/>
          <w:color w:val="000000"/>
          <w:sz w:val="32"/>
          <w:szCs w:val="32"/>
        </w:rPr>
        <w:t>社会保障和就业支出（类）人力资源和社会保障管理事务（款）一般行政管理事务（项）: 反映行政单位未单独设置项级科目的其他项目支出</w:t>
      </w:r>
      <w:r>
        <w:rPr>
          <w:rFonts w:ascii="仿宋_GB2312" w:eastAsia="仿宋_GB2312" w:cs="仿宋_GB2312" w:hAnsi="仿宋_GB2312" w:hint="eastAsia"/>
          <w:color w:val="000000"/>
          <w:sz w:val="32"/>
          <w:szCs w:val="32"/>
          <w:lang w:eastAsia="zh-CN"/>
        </w:rPr>
        <w:t>。</w:t>
      </w:r>
    </w:p>
    <w:p>
      <w:pPr>
        <w:spacing w:line="600" w:lineRule="exact"/>
        <w:ind w:firstLine="640"/>
        <w:outlineLvl w:val="9"/>
        <w:rPr>
          <w:rFonts w:ascii="仿宋_GB2312" w:eastAsia="仿宋_GB2312" w:cs="仿宋_GB2312" w:hAnsi="仿宋_GB2312" w:hint="eastAsia"/>
          <w:color w:val="000000"/>
          <w:sz w:val="32"/>
          <w:szCs w:val="32"/>
          <w:lang w:eastAsia="zh-CN"/>
        </w:rPr>
      </w:pPr>
      <w:r>
        <w:rPr>
          <w:rFonts w:ascii="仿宋_GB2312" w:eastAsia="仿宋_GB2312" w:cs="仿宋_GB2312" w:hAnsi="仿宋_GB2312" w:hint="eastAsia"/>
          <w:color w:val="000000"/>
          <w:sz w:val="32"/>
          <w:szCs w:val="32"/>
          <w:lang w:val="en-US" w:eastAsia="zh-CN"/>
        </w:rPr>
        <w:t>6</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000000"/>
          <w:sz w:val="32"/>
          <w:szCs w:val="32"/>
        </w:rPr>
        <w:t>社会保障和就业支出（类）人力资源和社会保障管理事务（款）劳动保障监察（项）: 反映劳动保障监察事务支出</w:t>
      </w:r>
      <w:r>
        <w:rPr>
          <w:rFonts w:ascii="仿宋_GB2312" w:eastAsia="仿宋_GB2312" w:cs="仿宋_GB2312" w:hAnsi="仿宋_GB2312" w:hint="eastAsia"/>
          <w:color w:val="000000"/>
          <w:sz w:val="32"/>
          <w:szCs w:val="32"/>
          <w:lang w:eastAsia="zh-CN"/>
        </w:rPr>
        <w:t>。</w:t>
      </w:r>
    </w:p>
    <w:p>
      <w:pPr>
        <w:spacing w:line="600" w:lineRule="exact"/>
        <w:ind w:firstLine="640"/>
        <w:outlineLvl w:val="9"/>
        <w:rPr>
          <w:rFonts w:ascii="仿宋_GB2312" w:eastAsia="仿宋_GB2312" w:cs="仿宋_GB2312" w:hAnsi="仿宋_GB2312" w:hint="eastAsia"/>
          <w:color w:val="000000"/>
          <w:sz w:val="32"/>
          <w:szCs w:val="32"/>
          <w:lang w:eastAsia="zh-CN"/>
        </w:rPr>
      </w:pPr>
      <w:r>
        <w:rPr>
          <w:rFonts w:ascii="仿宋_GB2312" w:eastAsia="仿宋_GB2312" w:cs="仿宋_GB2312" w:hAnsi="仿宋_GB2312" w:hint="eastAsia"/>
          <w:color w:val="000000"/>
          <w:sz w:val="32"/>
          <w:szCs w:val="32"/>
          <w:lang w:val="en-US" w:eastAsia="zh-CN"/>
        </w:rPr>
        <w:t>7</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000000"/>
          <w:sz w:val="32"/>
          <w:szCs w:val="32"/>
        </w:rPr>
        <w:t>社会保障和就业支出（类）人力资源和社会保障管理事务（款）就业管理事务（项）:反映就业和职业技能鉴定管理方面的支出</w:t>
      </w:r>
      <w:r>
        <w:rPr>
          <w:rFonts w:ascii="仿宋_GB2312" w:eastAsia="仿宋_GB2312" w:cs="仿宋_GB2312" w:hAnsi="仿宋_GB2312" w:hint="eastAsia"/>
          <w:color w:val="000000"/>
          <w:sz w:val="32"/>
          <w:szCs w:val="32"/>
          <w:lang w:eastAsia="zh-CN"/>
        </w:rPr>
        <w:t>。</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lang w:val="en-US" w:eastAsia="zh-CN"/>
        </w:rPr>
        <w:t>8</w:t>
      </w:r>
      <w:r>
        <w:rPr>
          <w:rFonts w:ascii="仿宋_GB2312" w:eastAsia="仿宋_GB2312" w:cs="仿宋_GB2312" w:hAnsi="仿宋_GB2312" w:hint="eastAsia"/>
          <w:color w:val="000000"/>
          <w:sz w:val="32"/>
          <w:szCs w:val="32"/>
        </w:rPr>
        <w:t>.社会保障和就业支出（类）人力资源和社会保障管理事务（款）</w:t>
      </w:r>
      <w:r>
        <w:rPr>
          <w:rFonts w:ascii="仿宋_GB2312" w:eastAsia="仿宋_GB2312" w:cs="仿宋_GB2312" w:hAnsi="仿宋_GB2312" w:hint="eastAsia"/>
          <w:color w:val="000000"/>
          <w:sz w:val="32"/>
          <w:szCs w:val="32"/>
          <w:lang w:eastAsia="zh-CN"/>
        </w:rPr>
        <w:t>劳动人事争议调解仲裁</w:t>
      </w:r>
      <w:r>
        <w:rPr>
          <w:rFonts w:ascii="仿宋_GB2312" w:eastAsia="仿宋_GB2312" w:cs="仿宋_GB2312" w:hAnsi="仿宋_GB2312" w:hint="eastAsia"/>
          <w:color w:val="000000"/>
          <w:sz w:val="32"/>
          <w:szCs w:val="32"/>
        </w:rPr>
        <w:t>（项）: 反映</w:t>
      </w:r>
      <w:r>
        <w:rPr>
          <w:rFonts w:ascii="仿宋_GB2312" w:eastAsia="仿宋_GB2312" w:cs="仿宋_GB2312" w:hAnsi="仿宋_GB2312" w:hint="eastAsia"/>
          <w:color w:val="000000"/>
          <w:sz w:val="32"/>
          <w:szCs w:val="32"/>
          <w:lang w:eastAsia="zh-CN"/>
        </w:rPr>
        <w:t>仲裁机构实体化建设、办案经费、调解仲裁能力建设等</w:t>
      </w:r>
      <w:r>
        <w:rPr>
          <w:rFonts w:ascii="仿宋_GB2312" w:eastAsia="仿宋_GB2312" w:cs="仿宋_GB2312" w:hAnsi="仿宋_GB2312" w:hint="eastAsia"/>
          <w:color w:val="000000"/>
          <w:sz w:val="32"/>
          <w:szCs w:val="32"/>
        </w:rPr>
        <w:t>支出。</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lang w:val="en-US" w:eastAsia="zh-CN"/>
        </w:rPr>
        <w:t>9.</w:t>
      </w:r>
      <w:r>
        <w:rPr>
          <w:rFonts w:ascii="仿宋_GB2312" w:eastAsia="仿宋_GB2312" w:cs="仿宋_GB2312" w:hAnsi="仿宋_GB2312" w:hint="eastAsia"/>
          <w:color w:val="000000"/>
          <w:sz w:val="32"/>
          <w:szCs w:val="32"/>
        </w:rPr>
        <w:t>社会保障和就业支出（类）人力资源和社会保障管理事务（款）</w:t>
      </w:r>
      <w:r>
        <w:rPr>
          <w:rFonts w:ascii="仿宋_GB2312" w:eastAsia="仿宋_GB2312" w:cs="仿宋_GB2312" w:hAnsi="仿宋_GB2312" w:hint="eastAsia"/>
          <w:color w:val="000000"/>
          <w:sz w:val="32"/>
          <w:szCs w:val="32"/>
          <w:lang w:eastAsia="zh-CN"/>
        </w:rPr>
        <w:t>事业运行</w:t>
      </w:r>
      <w:r>
        <w:rPr>
          <w:rFonts w:ascii="仿宋_GB2312" w:eastAsia="仿宋_GB2312" w:cs="仿宋_GB2312" w:hAnsi="仿宋_GB2312" w:hint="eastAsia"/>
          <w:color w:val="000000"/>
          <w:sz w:val="32"/>
          <w:szCs w:val="32"/>
        </w:rPr>
        <w:t>（项）: 反映</w:t>
      </w:r>
      <w:r>
        <w:rPr>
          <w:rFonts w:ascii="仿宋_GB2312" w:eastAsia="仿宋_GB2312" w:cs="仿宋_GB2312" w:hAnsi="仿宋_GB2312" w:hint="eastAsia"/>
          <w:color w:val="000000"/>
          <w:sz w:val="32"/>
          <w:szCs w:val="32"/>
          <w:lang w:eastAsia="zh-CN"/>
        </w:rPr>
        <w:t>事业单位的基本</w:t>
      </w:r>
      <w:r>
        <w:rPr>
          <w:rFonts w:ascii="仿宋_GB2312" w:eastAsia="仿宋_GB2312" w:cs="仿宋_GB2312" w:hAnsi="仿宋_GB2312" w:hint="eastAsia"/>
          <w:color w:val="000000"/>
          <w:sz w:val="32"/>
          <w:szCs w:val="32"/>
        </w:rPr>
        <w:t>支出</w:t>
      </w:r>
      <w:r>
        <w:rPr>
          <w:rFonts w:ascii="仿宋_GB2312" w:eastAsia="仿宋_GB2312" w:cs="仿宋_GB2312" w:hAnsi="仿宋_GB2312" w:hint="eastAsia"/>
          <w:color w:val="000000"/>
          <w:sz w:val="32"/>
          <w:szCs w:val="32"/>
          <w:lang w:eastAsia="zh-CN"/>
        </w:rPr>
        <w:t>，不包括行政单位后勤服务中心、医务室等附属事业单位</w:t>
      </w:r>
      <w:r>
        <w:rPr>
          <w:rFonts w:ascii="仿宋_GB2312" w:eastAsia="仿宋_GB2312" w:cs="仿宋_GB2312" w:hAnsi="仿宋_GB2312" w:hint="eastAsia"/>
          <w:color w:val="000000"/>
          <w:sz w:val="32"/>
          <w:szCs w:val="32"/>
        </w:rPr>
        <w:t>。</w:t>
      </w:r>
    </w:p>
    <w:p>
      <w:pPr>
        <w:spacing w:line="600" w:lineRule="exact"/>
        <w:ind w:firstLine="640"/>
        <w:outlineLvl w:val="9"/>
        <w:rPr>
          <w:rFonts w:ascii="仿宋_GB2312" w:eastAsia="仿宋_GB2312" w:cs="仿宋" w:hAnsi="Calibri" w:hint="eastAsia"/>
          <w:color w:val="auto"/>
          <w:kern w:val="0"/>
          <w:sz w:val="32"/>
          <w:szCs w:val="32"/>
          <w:lang w:val="en-US" w:eastAsia="zh-CN" w:bidi="ar-SA"/>
          <w:highlight w:val="auto"/>
        </w:rPr>
      </w:pPr>
      <w:r>
        <w:rPr>
          <w:rFonts w:ascii="仿宋_GB2312" w:eastAsia="仿宋_GB2312" w:cs="仿宋" w:hAnsi="Calibri" w:hint="eastAsia"/>
          <w:color w:val="auto"/>
          <w:kern w:val="0"/>
          <w:sz w:val="32"/>
          <w:szCs w:val="32"/>
          <w:lang w:val="en-US" w:eastAsia="zh-CN" w:bidi="ar-SA"/>
          <w:highlight w:val="auto"/>
        </w:rPr>
        <w:t>10.社会保障和就业支出（类）人力资源和社会保障管理事务（款）其他人力资源和社会保障管理事务支出（项）: 反映除上述项目以外其他用于人力资源和社会保障管理事务方面的支出。</w:t>
      </w:r>
    </w:p>
    <w:p>
      <w:pPr>
        <w:pStyle w:val="17"/>
        <w:outlineLvl w:val="9"/>
        <w:rPr>
          <w:lang w:val="en-US"/>
        </w:rPr>
      </w:pPr>
      <w:r>
        <w:rPr>
          <w:rFonts w:cs="仿宋_GB2312" w:hAnsi="仿宋_GB2312" w:hint="eastAsia"/>
          <w:color w:val="000000"/>
          <w:sz w:val="32"/>
          <w:szCs w:val="32"/>
          <w:lang w:val="en-US" w:eastAsia="zh-CN"/>
        </w:rPr>
        <w:t xml:space="preserve">    11.</w:t>
      </w:r>
      <w:r>
        <w:rPr>
          <w:rFonts w:ascii="仿宋_GB2312" w:eastAsia="仿宋_GB2312" w:cs="仿宋_GB2312" w:hAnsi="仿宋_GB2312" w:hint="eastAsia"/>
          <w:color w:val="000000"/>
          <w:sz w:val="32"/>
          <w:szCs w:val="32"/>
        </w:rPr>
        <w:t>社会保障和就业支出（类）行政事业单位</w:t>
      </w:r>
      <w:r>
        <w:rPr>
          <w:rFonts w:ascii="仿宋_GB2312" w:eastAsia="仿宋_GB2312" w:cs="仿宋_GB2312" w:hAnsi="仿宋_GB2312" w:hint="eastAsia"/>
          <w:color w:val="000000"/>
          <w:sz w:val="32"/>
          <w:szCs w:val="32"/>
          <w:lang w:eastAsia="zh-CN"/>
        </w:rPr>
        <w:t>养老支出</w:t>
      </w:r>
      <w:r>
        <w:rPr>
          <w:rFonts w:ascii="仿宋_GB2312" w:eastAsia="仿宋_GB2312" w:cs="仿宋_GB2312" w:hAnsi="仿宋_GB2312" w:hint="eastAsia"/>
          <w:color w:val="000000"/>
          <w:sz w:val="32"/>
          <w:szCs w:val="32"/>
        </w:rPr>
        <w:t>（款）机关事业单位基本养老保险缴费支出（项）:反映机关事业单位实施养老保险制度由单位缴纳的基本养老保险费支出</w:t>
      </w:r>
      <w:r>
        <w:rPr>
          <w:rFonts w:cs="仿宋_GB2312" w:hAnsi="仿宋_GB2312" w:hint="eastAsia"/>
          <w:color w:val="000000"/>
          <w:sz w:val="32"/>
          <w:szCs w:val="32"/>
          <w:lang w:val="en-US" w:eastAsia="zh-CN"/>
        </w:rPr>
        <w:t>。</w:t>
      </w:r>
    </w:p>
    <w:p>
      <w:pPr>
        <w:spacing w:line="600" w:lineRule="exact"/>
        <w:ind w:firstLine="640"/>
        <w:outlineLvl w:val="9"/>
        <w:rPr>
          <w:rFonts w:ascii="仿宋_GB2312" w:eastAsia="仿宋_GB2312" w:cs="仿宋" w:hAnsi="Calibri" w:hint="eastAsia"/>
          <w:color w:val="auto"/>
          <w:kern w:val="0"/>
          <w:sz w:val="32"/>
          <w:szCs w:val="32"/>
          <w:lang w:val="en-US" w:eastAsia="zh-CN" w:bidi="ar-SA"/>
          <w:highlight w:val="auto"/>
        </w:rPr>
      </w:pPr>
      <w:r>
        <w:rPr>
          <w:rFonts w:ascii="仿宋_GB2312" w:eastAsia="仿宋_GB2312" w:cs="仿宋" w:hAnsi="Calibri" w:hint="eastAsia"/>
          <w:color w:val="auto"/>
          <w:kern w:val="0"/>
          <w:sz w:val="32"/>
          <w:szCs w:val="32"/>
          <w:lang w:val="en-US" w:eastAsia="zh-CN" w:bidi="ar-SA"/>
          <w:highlight w:val="auto"/>
        </w:rPr>
        <w:t>12.社会保障和就业支出（类）行政事业单位养老支出（款）机关事业单位职业年金缴费支出（项）:反映机关事业单位实施养老保险制度由单位实际缴纳的职业年金支出。</w:t>
      </w:r>
    </w:p>
    <w:p>
      <w:pPr>
        <w:pStyle w:val="17"/>
        <w:outlineLvl w:val="9"/>
        <w:rPr>
          <w:rFonts w:eastAsia="仿宋_GB2312"/>
          <w:lang w:val="en-US" w:eastAsia="zh-CN"/>
        </w:rPr>
      </w:pPr>
      <w:r>
        <w:rPr>
          <w:rFonts w:cs="仿宋_GB2312" w:hAnsi="仿宋_GB2312" w:hint="eastAsia"/>
          <w:color w:val="000000"/>
          <w:sz w:val="32"/>
          <w:szCs w:val="32"/>
          <w:lang w:val="en-US" w:eastAsia="zh-CN"/>
        </w:rPr>
        <w:t xml:space="preserve">    13.</w:t>
      </w:r>
      <w:r>
        <w:rPr>
          <w:rFonts w:ascii="仿宋_GB2312" w:eastAsia="仿宋_GB2312" w:cs="仿宋_GB2312" w:hAnsi="仿宋_GB2312" w:hint="eastAsia"/>
          <w:color w:val="000000"/>
          <w:sz w:val="32"/>
          <w:szCs w:val="32"/>
        </w:rPr>
        <w:t>社会保障和就业支出（类）就业补助（款）其他就业补助支出（项）:反映除上述项目以外按规定确定的其他用于促进就业的补助支出。</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1</w:t>
      </w:r>
      <w:r>
        <w:rPr>
          <w:rFonts w:ascii="仿宋_GB2312" w:eastAsia="仿宋_GB2312" w:cs="仿宋_GB2312" w:hAnsi="仿宋_GB2312" w:hint="eastAsia"/>
          <w:color w:val="000000"/>
          <w:sz w:val="32"/>
          <w:szCs w:val="32"/>
          <w:lang w:val="en-US" w:eastAsia="zh-CN"/>
        </w:rPr>
        <w:t>4</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eastAsia="zh-CN"/>
        </w:rPr>
        <w:t>卫生健康支出</w:t>
      </w:r>
      <w:r>
        <w:rPr>
          <w:rFonts w:ascii="仿宋_GB2312" w:eastAsia="仿宋_GB2312" w:cs="仿宋_GB2312" w:hAnsi="仿宋_GB2312" w:hint="eastAsia"/>
          <w:color w:val="000000"/>
          <w:sz w:val="32"/>
          <w:szCs w:val="32"/>
        </w:rPr>
        <w:t>（类）行政事业单位医疗（款）行政单位医疗（项）:反映财政部门集中安排的行政单位基本养老保险缴费经费，未参加医疗保险的行政单位的公费医疗经费，按国家规定享受离休人员、红军老战士待遇人员的医疗经费。</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1</w:t>
      </w:r>
      <w:r>
        <w:rPr>
          <w:rFonts w:ascii="仿宋_GB2312" w:eastAsia="仿宋_GB2312" w:cs="仿宋_GB2312" w:hAnsi="仿宋_GB2312" w:hint="eastAsia"/>
          <w:color w:val="000000"/>
          <w:sz w:val="32"/>
          <w:szCs w:val="32"/>
          <w:lang w:val="en-US" w:eastAsia="zh-CN"/>
        </w:rPr>
        <w:t>5</w:t>
      </w:r>
      <w:r>
        <w:rPr>
          <w:rFonts w:ascii="仿宋_GB2312" w:eastAsia="仿宋_GB2312" w:cs="仿宋_GB2312" w:hAnsi="仿宋_GB2312" w:hint="eastAsia"/>
          <w:color w:val="000000"/>
          <w:sz w:val="32"/>
          <w:szCs w:val="32"/>
        </w:rPr>
        <w:t>.农林水支出（类）</w:t>
      </w:r>
      <w:r>
        <w:rPr>
          <w:rFonts w:ascii="仿宋_GB2312" w:eastAsia="仿宋_GB2312" w:cs="仿宋_GB2312" w:hAnsi="仿宋_GB2312" w:hint="eastAsia"/>
          <w:color w:val="000000"/>
          <w:sz w:val="32"/>
          <w:szCs w:val="32"/>
          <w:lang w:eastAsia="zh-CN"/>
        </w:rPr>
        <w:t>巩固脱贫攻坚成果衔接乡村振兴</w:t>
      </w:r>
      <w:r>
        <w:rPr>
          <w:rFonts w:ascii="仿宋_GB2312" w:eastAsia="仿宋_GB2312" w:cs="仿宋_GB2312" w:hAnsi="仿宋_GB2312" w:hint="eastAsia"/>
          <w:color w:val="000000"/>
          <w:sz w:val="32"/>
          <w:szCs w:val="32"/>
        </w:rPr>
        <w:t>（款）其他</w:t>
      </w:r>
      <w:r>
        <w:rPr>
          <w:rFonts w:ascii="仿宋_GB2312" w:eastAsia="仿宋_GB2312" w:cs="仿宋_GB2312" w:hAnsi="仿宋_GB2312" w:hint="eastAsia"/>
          <w:color w:val="000000"/>
          <w:sz w:val="32"/>
          <w:szCs w:val="32"/>
          <w:lang w:eastAsia="zh-CN"/>
        </w:rPr>
        <w:t>巩固脱贫攻坚成果衔接乡村振兴支出</w:t>
      </w:r>
      <w:r>
        <w:rPr>
          <w:rFonts w:ascii="仿宋_GB2312" w:eastAsia="仿宋_GB2312" w:cs="仿宋_GB2312" w:hAnsi="仿宋_GB2312" w:hint="eastAsia"/>
          <w:color w:val="000000"/>
          <w:sz w:val="32"/>
          <w:szCs w:val="32"/>
        </w:rPr>
        <w:t>（项）:反映除上述项目以外其他用于</w:t>
      </w:r>
      <w:r>
        <w:rPr>
          <w:rFonts w:ascii="仿宋_GB2312" w:eastAsia="仿宋_GB2312" w:cs="仿宋_GB2312" w:hAnsi="仿宋_GB2312" w:hint="eastAsia"/>
          <w:color w:val="000000"/>
          <w:sz w:val="32"/>
          <w:szCs w:val="32"/>
          <w:lang w:eastAsia="zh-CN"/>
        </w:rPr>
        <w:t>巩固脱贫攻坚成果同乡村振兴有效衔接</w:t>
      </w:r>
      <w:r>
        <w:rPr>
          <w:rFonts w:ascii="仿宋_GB2312" w:eastAsia="仿宋_GB2312" w:cs="仿宋_GB2312" w:hAnsi="仿宋_GB2312" w:hint="eastAsia"/>
          <w:color w:val="000000"/>
          <w:sz w:val="32"/>
          <w:szCs w:val="32"/>
        </w:rPr>
        <w:t>方面的支出。</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1</w:t>
      </w:r>
      <w:r>
        <w:rPr>
          <w:rFonts w:ascii="仿宋_GB2312" w:eastAsia="仿宋_GB2312" w:cs="仿宋_GB2312" w:hAnsi="仿宋_GB2312" w:hint="eastAsia"/>
          <w:color w:val="000000"/>
          <w:sz w:val="32"/>
          <w:szCs w:val="32"/>
          <w:lang w:val="en-US" w:eastAsia="zh-CN"/>
        </w:rPr>
        <w:t>6</w:t>
      </w:r>
      <w:r>
        <w:rPr>
          <w:rFonts w:ascii="仿宋_GB2312" w:eastAsia="仿宋_GB2312" w:cs="仿宋_GB2312" w:hAnsi="仿宋_GB2312" w:hint="eastAsia"/>
          <w:color w:val="000000"/>
          <w:sz w:val="32"/>
          <w:szCs w:val="32"/>
        </w:rPr>
        <w:t>.农林水支出（类）普惠金融发展支出（款）创业担保贷款贴息</w:t>
      </w:r>
      <w:r>
        <w:rPr>
          <w:rFonts w:ascii="仿宋_GB2312" w:eastAsia="仿宋_GB2312" w:cs="仿宋_GB2312" w:hAnsi="仿宋_GB2312" w:hint="eastAsia"/>
          <w:color w:val="000000"/>
          <w:sz w:val="32"/>
          <w:szCs w:val="32"/>
          <w:lang w:eastAsia="zh-CN"/>
        </w:rPr>
        <w:t>及奖补</w:t>
      </w:r>
      <w:r>
        <w:rPr>
          <w:rFonts w:ascii="仿宋_GB2312" w:eastAsia="仿宋_GB2312" w:cs="仿宋_GB2312" w:hAnsi="仿宋_GB2312" w:hint="eastAsia"/>
          <w:color w:val="000000"/>
          <w:sz w:val="32"/>
          <w:szCs w:val="32"/>
        </w:rPr>
        <w:t>（项）:反映财政用于符合条件的人员</w:t>
      </w:r>
      <w:r>
        <w:rPr>
          <w:rFonts w:ascii="仿宋_GB2312" w:eastAsia="仿宋_GB2312" w:cs="仿宋_GB2312" w:hAnsi="仿宋_GB2312" w:hint="eastAsia"/>
          <w:color w:val="000000"/>
          <w:sz w:val="32"/>
          <w:szCs w:val="32"/>
          <w:lang w:eastAsia="zh-CN"/>
        </w:rPr>
        <w:t>和小微企业</w:t>
      </w:r>
      <w:r>
        <w:rPr>
          <w:rFonts w:ascii="仿宋_GB2312" w:eastAsia="仿宋_GB2312" w:cs="仿宋_GB2312" w:hAnsi="仿宋_GB2312" w:hint="eastAsia"/>
          <w:color w:val="000000"/>
          <w:sz w:val="32"/>
          <w:szCs w:val="32"/>
        </w:rPr>
        <w:t>创业担保贷款的贴息</w:t>
      </w:r>
      <w:r>
        <w:rPr>
          <w:rFonts w:ascii="仿宋_GB2312" w:eastAsia="仿宋_GB2312" w:cs="仿宋_GB2312" w:hAnsi="仿宋_GB2312" w:hint="eastAsia"/>
          <w:color w:val="000000"/>
          <w:sz w:val="32"/>
          <w:szCs w:val="32"/>
          <w:lang w:eastAsia="zh-CN"/>
        </w:rPr>
        <w:t>及奖补</w:t>
      </w:r>
      <w:r>
        <w:rPr>
          <w:rFonts w:ascii="仿宋_GB2312" w:eastAsia="仿宋_GB2312" w:cs="仿宋_GB2312" w:hAnsi="仿宋_GB2312" w:hint="eastAsia"/>
          <w:color w:val="000000"/>
          <w:sz w:val="32"/>
          <w:szCs w:val="32"/>
        </w:rPr>
        <w:t>支出。</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1</w:t>
      </w:r>
      <w:r>
        <w:rPr>
          <w:rFonts w:ascii="仿宋_GB2312" w:eastAsia="仿宋_GB2312" w:cs="仿宋_GB2312" w:hAnsi="仿宋_GB2312" w:hint="eastAsia"/>
          <w:color w:val="000000"/>
          <w:sz w:val="32"/>
          <w:szCs w:val="32"/>
          <w:lang w:val="en-US" w:eastAsia="zh-CN"/>
        </w:rPr>
        <w:t>7</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val="en-US" w:eastAsia="zh-CN"/>
        </w:rPr>
        <w:t>住房保障支出（类）住房改革支出（款）住房公积金（项）:反映行政事业单位按人力资源和社会保障部、财政部规定的基本工资和津贴补贴以及规定比例为职工缴纳的住房公积金。</w:t>
      </w:r>
    </w:p>
    <w:p>
      <w:pPr>
        <w:pStyle w:val="17"/>
        <w:outlineLvl w:val="9"/>
        <w:rPr>
          <w:rFonts w:eastAsia="仿宋_GB2312"/>
          <w:lang w:val="en-US" w:eastAsia="zh-CN"/>
        </w:rPr>
      </w:pPr>
      <w:r>
        <w:rPr>
          <w:rFonts w:cs="仿宋_GB2312" w:hAnsi="仿宋_GB2312" w:hint="eastAsia"/>
          <w:color w:val="000000"/>
          <w:sz w:val="32"/>
          <w:szCs w:val="32"/>
          <w:lang w:val="en-US" w:eastAsia="zh-CN"/>
        </w:rPr>
        <w:t xml:space="preserve">    18.</w:t>
      </w:r>
      <w:r>
        <w:rPr>
          <w:rFonts w:ascii="仿宋_GB2312" w:eastAsia="仿宋_GB2312" w:hint="eastAsia"/>
          <w:color w:val="000000"/>
          <w:sz w:val="32"/>
          <w:szCs w:val="32"/>
        </w:rPr>
        <w:t>基本支出：指为保障机构正常运转、完成日常工作任务而发生的人员支出和公用支出</w:t>
      </w:r>
      <w:r>
        <w:rPr>
          <w:rFonts w:ascii="仿宋_GB2312" w:eastAsia="仿宋_GB2312" w:cs="仿宋_GB2312" w:hAnsi="仿宋_GB2312" w:hint="eastAsia"/>
          <w:color w:val="000000"/>
          <w:sz w:val="32"/>
          <w:szCs w:val="32"/>
        </w:rPr>
        <w:t>。</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1</w:t>
      </w:r>
      <w:r>
        <w:rPr>
          <w:rFonts w:ascii="仿宋_GB2312" w:eastAsia="仿宋_GB2312" w:cs="仿宋_GB2312" w:hAnsi="仿宋_GB2312" w:hint="eastAsia"/>
          <w:color w:val="000000"/>
          <w:sz w:val="32"/>
          <w:szCs w:val="32"/>
          <w:lang w:val="en-US" w:eastAsia="zh-CN"/>
        </w:rPr>
        <w:t>9</w:t>
      </w:r>
      <w:r>
        <w:rPr>
          <w:rFonts w:ascii="仿宋_GB2312" w:eastAsia="仿宋_GB2312" w:cs="仿宋_GB2312" w:hAnsi="仿宋_GB2312" w:hint="eastAsia"/>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lang w:val="en-US" w:eastAsia="zh-CN"/>
        </w:rPr>
        <w:t>20</w:t>
      </w:r>
      <w:r>
        <w:rPr>
          <w:rFonts w:ascii="仿宋_GB2312" w:eastAsia="仿宋_GB2312" w:cs="仿宋_GB2312" w:hAnsi="仿宋_GB2312" w:hint="eastAsia"/>
          <w:color w:val="000000"/>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cs="仿宋_GB2312" w:hAnsi="仿宋_GB2312" w:hint="eastAsia"/>
          <w:color w:val="000000"/>
          <w:sz w:val="32"/>
          <w:szCs w:val="32"/>
        </w:rPr>
        <w:t>。</w:t>
      </w:r>
    </w:p>
    <w:p>
      <w:pPr>
        <w:spacing w:line="600" w:lineRule="exact"/>
        <w:ind w:firstLine="640"/>
        <w:outlineLvl w:val="9"/>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lang w:val="en-US" w:eastAsia="zh-CN"/>
        </w:rPr>
        <w:t>21</w:t>
      </w:r>
      <w:r>
        <w:rPr>
          <w:rFonts w:ascii="仿宋_GB2312" w:eastAsia="仿宋_GB2312" w:cs="仿宋_GB2312" w:hAnsi="仿宋_GB2312" w:hint="eastAsia"/>
          <w:color w:val="000000"/>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outlineLvl w:val="9"/>
        <w:rPr>
          <w:rFonts w:ascii="仿宋" w:eastAsia="仿宋" w:hAnsi="仿宋"/>
          <w:b/>
          <w:color w:val="auto"/>
          <w:sz w:val="32"/>
          <w:szCs w:val="32"/>
          <w:highlight w:val="auto"/>
        </w:rPr>
      </w:pPr>
    </w:p>
    <w:p>
      <w:pPr>
        <w:spacing w:line="600" w:lineRule="exact"/>
        <w:jc w:val="center"/>
        <w:outlineLvl w:val="0"/>
        <w:rPr>
          <w:rStyle w:val="1Char"/>
          <w:rFonts w:ascii="黑体" w:eastAsia="黑体" w:hAnsi="黑体" w:hint="eastAsia"/>
          <w:b w:val="0"/>
          <w:color w:val="auto"/>
          <w:lang w:eastAsia="zh-CN"/>
          <w:highlight w:val="auto"/>
        </w:rPr>
      </w:pPr>
      <w:bookmarkStart w:id="65" w:name="_Toc15377226"/>
      <w:r>
        <w:rPr>
          <w:rFonts w:ascii="宋体"/>
          <w:b/>
          <w:color w:val="auto"/>
          <w:sz w:val="44"/>
          <w:szCs w:val="44"/>
          <w:highlight w:val="auto"/>
        </w:rPr>
        <w:br w:type="page"/>
      </w:r>
      <w:bookmarkStart w:id="66" w:name="_Toc15396614"/>
      <w:bookmarkStart w:id="67" w:name="_Toc6224"/>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四部分 附件</w:t>
      </w:r>
      <w:bookmarkEnd w:id="66"/>
      <w:bookmarkEnd w:id="67"/>
    </w:p>
    <w:p>
      <w:pPr>
        <w:keepNext w:val="0"/>
        <w:keepLines w:val="0"/>
        <w:pageBreakBefore w:val="0"/>
        <w:widowControl w:val="0"/>
        <w:kinsoku/>
        <w:wordWrap/>
        <w:overflowPunct/>
        <w:topLinePunct w:val="0"/>
        <w:autoSpaceDE/>
        <w:autoSpaceDN/>
        <w:bidi w:val="0"/>
        <w:spacing w:line="572" w:lineRule="exact"/>
        <w:jc w:val="left"/>
        <w:textAlignment w:val="auto"/>
        <w:outlineLvl w:val="9"/>
        <w:rPr>
          <w:rFonts w:ascii="方正小标宋简体" w:eastAsia="黑体" w:cs="方正小标宋简体" w:hAnsi="方正小标宋简体" w:hint="eastAsia"/>
          <w:color w:val="auto"/>
          <w:sz w:val="44"/>
          <w:szCs w:val="44"/>
          <w:lang w:val="en-US" w:eastAsia="zh-CN"/>
          <w:highlight w:val="auto"/>
        </w:rPr>
      </w:pPr>
      <w:r>
        <w:rPr>
          <w:rFonts w:ascii="黑体" w:eastAsia="黑体" w:cs="黑体" w:hAnsi="黑体" w:hint="eastAsia"/>
          <w:color w:val="auto"/>
          <w:sz w:val="32"/>
          <w:szCs w:val="32"/>
          <w:highlight w:val="auto"/>
        </w:rPr>
        <w:t>附件</w:t>
      </w:r>
      <w:r>
        <w:rPr>
          <w:rFonts w:ascii="黑体" w:eastAsia="黑体" w:cs="黑体" w:hAnsi="黑体" w:hint="eastAsia"/>
          <w:color w:val="auto"/>
          <w:sz w:val="32"/>
          <w:szCs w:val="32"/>
          <w:lang w:val="en-US" w:eastAsia="zh-CN"/>
          <w:highlight w:val="auto"/>
        </w:rPr>
        <w:t>1</w:t>
      </w:r>
    </w:p>
    <w:p>
      <w:pPr>
        <w:keepNext w:val="0"/>
        <w:keepLines w:val="0"/>
        <w:pageBreakBefore w:val="0"/>
        <w:widowControl w:val="0"/>
        <w:kinsoku/>
        <w:wordWrap/>
        <w:overflowPunct/>
        <w:topLinePunct w:val="0"/>
        <w:autoSpaceDE/>
        <w:autoSpaceDN/>
        <w:bidi w:val="0"/>
        <w:spacing w:line="576" w:lineRule="exact"/>
        <w:jc w:val="center"/>
        <w:textAlignment w:val="auto"/>
        <w:outlineLvl w:val="9"/>
        <w:rPr>
          <w:rFonts w:ascii="Times New Roman" w:eastAsia="方正小标宋简体" w:cs="Times New Roman" w:hAnsi="Times New Roman"/>
          <w:b/>
          <w:bCs/>
          <w:sz w:val="44"/>
          <w:szCs w:val="44"/>
          <w:lang w:val="en-US" w:eastAsia="zh-CN"/>
        </w:rPr>
      </w:pPr>
      <w:r>
        <w:rPr>
          <w:rFonts w:eastAsia="方正小标宋简体" w:cs="Times New Roman" w:hint="eastAsia"/>
          <w:b/>
          <w:bCs/>
          <w:sz w:val="44"/>
          <w:szCs w:val="44"/>
          <w:lang w:val="en-US" w:eastAsia="zh-CN"/>
        </w:rPr>
        <w:t>广元市利州区人力资源和社会保障局关于</w:t>
      </w:r>
    </w:p>
    <w:p>
      <w:pPr>
        <w:keepNext w:val="0"/>
        <w:keepLines w:val="0"/>
        <w:pageBreakBefore w:val="0"/>
        <w:widowControl w:val="0"/>
        <w:kinsoku/>
        <w:wordWrap/>
        <w:overflowPunct/>
        <w:topLinePunct w:val="0"/>
        <w:autoSpaceDE/>
        <w:autoSpaceDN/>
        <w:bidi w:val="0"/>
        <w:spacing w:line="576" w:lineRule="exact"/>
        <w:jc w:val="center"/>
        <w:textAlignment w:val="auto"/>
        <w:outlineLvl w:val="9"/>
        <w:rPr>
          <w:rFonts w:ascii="Times New Roman" w:eastAsia="方正小标宋简体" w:cs="Times New Roman" w:hAnsi="Times New Roman"/>
          <w:b/>
          <w:bCs/>
          <w:sz w:val="44"/>
          <w:szCs w:val="44"/>
        </w:rPr>
      </w:pPr>
      <w:r>
        <w:rPr>
          <w:rFonts w:ascii="Times New Roman" w:eastAsia="方正小标宋简体" w:cs="Times New Roman" w:hAnsi="Times New Roman"/>
          <w:b/>
          <w:bCs/>
          <w:sz w:val="44"/>
          <w:szCs w:val="44"/>
          <w:lang w:val="en-US" w:eastAsia="zh-CN"/>
        </w:rPr>
        <w:t>202</w:t>
      </w:r>
      <w:r>
        <w:rPr>
          <w:rFonts w:eastAsia="方正小标宋简体" w:cs="Times New Roman" w:hint="eastAsia"/>
          <w:b/>
          <w:bCs/>
          <w:sz w:val="44"/>
          <w:szCs w:val="44"/>
          <w:lang w:val="en-US" w:eastAsia="zh-CN"/>
        </w:rPr>
        <w:t>3</w:t>
      </w:r>
      <w:r>
        <w:rPr>
          <w:rFonts w:ascii="Times New Roman" w:eastAsia="方正小标宋简体" w:cs="Times New Roman" w:hAnsi="Times New Roman"/>
          <w:b/>
          <w:bCs/>
          <w:sz w:val="44"/>
          <w:szCs w:val="44"/>
          <w:lang w:val="en-US" w:eastAsia="zh-CN"/>
        </w:rPr>
        <w:t>年</w:t>
      </w:r>
      <w:r>
        <w:rPr>
          <w:rFonts w:ascii="Times New Roman" w:eastAsia="方正小标宋简体" w:cs="Times New Roman" w:hAnsi="Times New Roman"/>
          <w:b/>
          <w:bCs/>
          <w:sz w:val="44"/>
          <w:szCs w:val="44"/>
        </w:rPr>
        <w:t>部门</w:t>
      </w:r>
      <w:r>
        <w:rPr>
          <w:rFonts w:ascii="Times New Roman" w:eastAsia="方正小标宋简体" w:cs="Times New Roman" w:hAnsi="Times New Roman"/>
          <w:b/>
          <w:bCs/>
          <w:sz w:val="44"/>
          <w:szCs w:val="44"/>
          <w:lang w:eastAsia="zh-CN"/>
        </w:rPr>
        <w:t>整体支出</w:t>
      </w:r>
      <w:r>
        <w:rPr>
          <w:rFonts w:ascii="Times New Roman" w:eastAsia="方正小标宋简体" w:cs="Times New Roman" w:hAnsi="Times New Roman"/>
          <w:b/>
          <w:bCs/>
          <w:sz w:val="44"/>
          <w:szCs w:val="44"/>
        </w:rPr>
        <w:t>绩效自评报告</w:t>
      </w:r>
    </w:p>
    <w:p>
      <w:pPr>
        <w:keepNext w:val="0"/>
        <w:keepLines w:val="0"/>
        <w:pageBreakBefore w:val="0"/>
        <w:widowControl w:val="0"/>
        <w:kinsoku/>
        <w:wordWrap/>
        <w:overflowPunct/>
        <w:topLinePunct w:val="0"/>
        <w:autoSpaceDE/>
        <w:autoSpaceDN/>
        <w:bidi w:val="0"/>
        <w:spacing w:line="576" w:lineRule="exact"/>
        <w:ind w:firstLineChars="200" w:firstLine="420"/>
        <w:textAlignment w:val="auto"/>
        <w:outlineLvl w:val="9"/>
        <w:rPr>
          <w:rFonts w:ascii="Times New Roman" w:eastAsia="黑体" w:cs="Times New Roman" w:hAnsi="Times New Roman"/>
        </w:rPr>
      </w:pP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Times New Roman" w:eastAsia="黑体" w:cs="Times New Roman" w:hAnsi="Times New Roman"/>
        </w:rPr>
      </w:pPr>
      <w:r>
        <w:rPr>
          <w:rFonts w:ascii="仿宋_GB2312" w:eastAsia="仿宋_GB2312" w:cs="仿宋_GB2312" w:hAnsi="仿宋_GB2312" w:hint="eastAsia"/>
          <w:color w:val="auto"/>
          <w:sz w:val="30"/>
          <w:szCs w:val="30"/>
          <w:lang w:val="en-US" w:eastAsia="zh-CN"/>
          <w:highlight w:val="auto"/>
        </w:rPr>
        <w:t>为加强财政资金规范科学管理，提高资金使用效率，根据《关于开展2022年度区级部门绩效自评工作的通知》（广利财绩〔2023〕4号）的要求，现将我局2022年度部门整体支出绩效自评情况报告如下：</w:t>
      </w:r>
      <w:r>
        <w:rPr>
          <w:rFonts w:ascii="仿宋" w:eastAsia="仿宋" w:cs="仿宋" w:hAnsi="仿宋"/>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黑体" w:cs="Times New Roman" w:hAnsi="Times New Roman" w:hint="eastAsia"/>
          <w:sz w:val="32"/>
          <w:szCs w:val="32"/>
          <w:lang w:eastAsia="zh-CN"/>
        </w:rPr>
      </w:pPr>
      <w:r>
        <w:rPr>
          <w:rFonts w:ascii="Times New Roman" w:eastAsia="黑体" w:cs="Times New Roman" w:hAnsi="Times New Roman"/>
          <w:sz w:val="32"/>
          <w:szCs w:val="32"/>
        </w:rPr>
        <w:t>一、部门</w:t>
      </w:r>
      <w:r>
        <w:rPr>
          <w:rFonts w:eastAsia="黑体" w:cs="Times New Roman" w:hint="eastAsia"/>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28"/>
          <w:szCs w:val="28"/>
          <w:lang w:eastAsia="zh-CN"/>
        </w:rPr>
      </w:pPr>
      <w:r>
        <w:rPr>
          <w:rFonts w:ascii="Times New Roman" w:eastAsia="楷体_GB2312" w:cs="Times New Roman" w:hAnsi="Times New Roman"/>
          <w:b/>
          <w:sz w:val="32"/>
          <w:szCs w:val="32"/>
        </w:rPr>
        <w:t>（</w:t>
      </w:r>
      <w:r>
        <w:rPr>
          <w:rFonts w:ascii="Times New Roman" w:eastAsia="楷体_GB2312" w:cs="Times New Roman" w:hAnsi="Times New Roman"/>
          <w:b/>
          <w:sz w:val="32"/>
          <w:szCs w:val="32"/>
          <w:lang w:eastAsia="zh-CN"/>
        </w:rPr>
        <w:t>一</w:t>
      </w:r>
      <w:r>
        <w:rPr>
          <w:rFonts w:ascii="Times New Roman" w:eastAsia="楷体_GB2312" w:cs="Times New Roman" w:hAnsi="Times New Roman"/>
          <w:b/>
          <w:sz w:val="32"/>
          <w:szCs w:val="32"/>
        </w:rPr>
        <w:t>）机构</w:t>
      </w:r>
      <w:r>
        <w:rPr>
          <w:rFonts w:eastAsia="楷体_GB2312" w:cs="Times New Roman" w:hint="eastAsia"/>
          <w:b/>
          <w:sz w:val="32"/>
          <w:szCs w:val="32"/>
          <w:lang w:eastAsia="zh-CN"/>
        </w:rPr>
        <w:t>组成</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Times New Roman" w:hAnsi="Times New Roman" w:hint="eastAsia"/>
          <w:sz w:val="32"/>
          <w:szCs w:val="32"/>
          <w:lang w:eastAsia="zh-CN"/>
        </w:rPr>
      </w:pPr>
      <w:r>
        <w:rPr>
          <w:rFonts w:ascii="仿宋_GB2312" w:eastAsia="仿宋_GB2312" w:cs="仿宋_GB2312" w:hAnsi="仿宋_GB2312" w:hint="eastAsia"/>
          <w:color w:val="auto"/>
          <w:sz w:val="30"/>
          <w:szCs w:val="30"/>
          <w:lang w:val="en-US" w:eastAsia="zh-CN"/>
          <w:highlight w:val="auto"/>
        </w:rPr>
        <w:t>区人社局属一级预算单位，其中行政单位1个，下属参照公务员法管理的事业单位3个（区社会保险事务中心、区就业创业促进中心、区劳动监察综合行政执法大队），其他事业单位4个（区劳动人事争议仲裁院、区农民工服务中心、区人才交流中心、区人力资源服务中心）。</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b/>
          <w:sz w:val="32"/>
          <w:szCs w:val="32"/>
        </w:rPr>
      </w:pPr>
      <w:r>
        <w:rPr>
          <w:rFonts w:ascii="Times New Roman" w:eastAsia="楷体_GB2312" w:cs="Times New Roman" w:hAnsi="Times New Roman"/>
          <w:b/>
          <w:sz w:val="32"/>
          <w:szCs w:val="32"/>
        </w:rPr>
        <w:t>（</w:t>
      </w:r>
      <w:r>
        <w:rPr>
          <w:rFonts w:ascii="Times New Roman" w:eastAsia="楷体_GB2312" w:cs="Times New Roman" w:hAnsi="Times New Roman"/>
          <w:b/>
          <w:sz w:val="32"/>
          <w:szCs w:val="32"/>
          <w:lang w:eastAsia="zh-CN"/>
        </w:rPr>
        <w:t>二</w:t>
      </w: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机构职能和</w:t>
      </w:r>
      <w:r>
        <w:rPr>
          <w:rFonts w:ascii="Times New Roman" w:eastAsia="楷体_GB2312" w:cs="Times New Roman" w:hAnsi="Times New Roman"/>
          <w:b/>
          <w:sz w:val="32"/>
          <w:szCs w:val="32"/>
        </w:rPr>
        <w:t>人员概况</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局内共有编制101个，其中：行政编制14个，机关工勤1个，参照公务员法管理的事业编制41个，事业编制45个。年末机关在编在职人员92人，其中：公务员14人，机关工勤1；参照公务员法管理事业人员32人；事业人员45人。另有工勤控制数4人，三支一扶人员19人，本单位退休人员27人，代发水利农技站退休人员15人。</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eastAsia="楷体_GB2312" w:cs="Times New Roman" w:hint="eastAsia"/>
          <w:b/>
          <w:lang w:eastAsia="zh-CN"/>
        </w:rPr>
      </w:pPr>
      <w:r>
        <w:rPr>
          <w:rFonts w:ascii="仿宋_GB2312" w:eastAsia="仿宋_GB2312" w:cs="仿宋_GB2312" w:hAnsi="仿宋_GB2312" w:hint="eastAsia"/>
          <w:color w:val="auto"/>
          <w:sz w:val="30"/>
          <w:szCs w:val="30"/>
          <w:lang w:val="en-US" w:eastAsia="zh-CN"/>
          <w:highlight w:val="auto"/>
        </w:rPr>
        <w:t>主要职责：（一）贯彻执行人社事业发展的方针政策和法律法规；（二）组织实施全区人力资源市场发展规划；（三）负责就业创业促进工作；（四）统筹建立覆盖城乡的多层次社会保障体系；（五）构建和谐劳动关系；（六）推进深化职称制度改革；（七）指导事业单位人事制度改革；（八）贯彻执行事业单位人员工资收入分配政策；（九）贯彻执行国家表彰奖励制度；（十）贯彻执行农民工工作相关政策和规划；（十一）负责人社领域对外交流与合作工作；（十二）完成区委、区政府和上级业务主管部门交办的其他事项。</w:t>
      </w:r>
      <w:r>
        <w:rPr>
          <w:rFonts w:eastAsia="楷体_GB2312" w:cs="Times New Roman" w:hint="eastAsia"/>
          <w:b/>
          <w:lang w:eastAsia="zh-CN"/>
        </w:rPr>
        <w:tab/>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三</w:t>
      </w: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年度主要工作任务</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1、</w:t>
      </w:r>
      <w:r>
        <w:rPr>
          <w:rFonts w:ascii="仿宋_GB2312" w:eastAsia="仿宋_GB2312" w:cs="仿宋_GB2312" w:hAnsi="仿宋_GB2312"/>
          <w:color w:val="auto"/>
          <w:sz w:val="30"/>
          <w:szCs w:val="30"/>
          <w:lang w:val="en-US" w:eastAsia="zh-CN"/>
          <w:highlight w:val="auto"/>
        </w:rPr>
        <w:t>坚持就业优先战略</w:t>
      </w:r>
      <w:r>
        <w:rPr>
          <w:rFonts w:ascii="仿宋_GB2312" w:eastAsia="仿宋_GB2312" w:cs="仿宋_GB2312" w:hAnsi="仿宋_GB2312" w:hint="eastAsia"/>
          <w:color w:val="auto"/>
          <w:sz w:val="30"/>
          <w:szCs w:val="30"/>
          <w:lang w:val="en-US" w:eastAsia="zh-CN"/>
          <w:highlight w:val="auto"/>
        </w:rPr>
        <w:t>，牢牢稳住就业“基本盘”</w:t>
      </w:r>
      <w:r>
        <w:rPr>
          <w:rFonts w:ascii="仿宋_GB2312" w:eastAsia="仿宋_GB2312" w:cs="仿宋_GB2312" w:hAnsi="仿宋_GB2312"/>
          <w:color w:val="auto"/>
          <w:sz w:val="30"/>
          <w:szCs w:val="30"/>
          <w:lang w:val="en-US" w:eastAsia="zh-CN"/>
          <w:highlight w:val="auto"/>
        </w:rPr>
        <w:t>。</w:t>
      </w:r>
      <w:r>
        <w:rPr>
          <w:rFonts w:ascii="仿宋_GB2312" w:eastAsia="仿宋_GB2312" w:cs="仿宋_GB2312" w:hAnsi="仿宋_GB2312" w:hint="eastAsia"/>
          <w:color w:val="auto"/>
          <w:sz w:val="30"/>
          <w:szCs w:val="30"/>
          <w:lang w:val="en-US" w:eastAsia="zh-CN"/>
          <w:highlight w:val="auto"/>
        </w:rPr>
        <w:t>制定出台“就业20条”“大学生就业15条”等政策，全面落实补贴政策20项。一是暖心送岗助就业，劳务对接促增收。构建三级劳务服务平台，开展劳务对接2.6万余人次，创造劳务收入7200余万元；培育的嘉陵街道建设路社区被人社部办公厅评为国家级充分就业社区；《利州区“六个一批”稳岗就业》被人力资源报采用。二是共享员工解难题，企业用工有保障。创新“社区+工厂”灵活用工模式，广元市吉香居食品有限公司在利州区三堆镇、剑阁县下寺镇设立“分工厂”2个，共享用工100余人，切实解决企业缺工难题。三是技能比拼展风采，以赛提能淬精兵。“川育核工”特色劳务品牌荣获第五届“中国创翼”创业创新大赛劳务品牌专项赛四川赛区二等奖；玛雅美妆美容参加第五届“四川工匠杯”暨四川省第一届技工院校职业技能大赛荣获三等奖。四是技能培训暖民心，充电赋能促就业。选定2022—2023年定点职业培训机构20家，制定本年度培训工作方案，开展各类职业技能培训6600余人次。五是就业援助解民忧，为民服务有温度。制定“点对点”“一站式”外出返岗方案，集中安排返岗专车57辆次、专机2架次，输送劳动力3000余人。《广元利州85名农民工免费乘专机返岗复工》被央视频、四川观察等多家媒体报道。</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jc w:val="both"/>
        <w:textAlignment w:val="auto"/>
        <w:outlineLvl w:val="9"/>
        <w:rPr>
          <w:rFonts w:ascii="仿宋_GB2312" w:eastAsia="仿宋_GB2312" w:cs="仿宋_GB2312" w:hAnsi="仿宋_GB2312" w:hint="eastAsia"/>
          <w:color w:val="auto"/>
          <w:sz w:val="30"/>
          <w:szCs w:val="30"/>
          <w:lang w:val="en-US" w:eastAsia="zh-CN"/>
          <w:highlight w:val="auto"/>
        </w:rPr>
      </w:pPr>
      <w:r>
        <w:rPr>
          <w:rFonts w:eastAsia="楷体_GB2312" w:cs="Times New Roman" w:hint="eastAsia"/>
          <w:color w:val="auto"/>
          <w:sz w:val="32"/>
          <w:szCs w:val="32"/>
          <w:lang w:val="en-US" w:eastAsia="zh-CN"/>
        </w:rPr>
        <w:t>2、</w:t>
      </w:r>
      <w:r>
        <w:rPr>
          <w:rFonts w:ascii="Times New Roman" w:eastAsia="楷体_GB2312" w:cs="Times New Roman" w:hAnsi="Times New Roman"/>
          <w:color w:val="auto"/>
          <w:sz w:val="32"/>
          <w:szCs w:val="32"/>
          <w:lang w:val="en-US" w:eastAsia="zh-CN"/>
        </w:rPr>
        <w:t>织密社保民生网脉</w:t>
      </w:r>
      <w:r>
        <w:rPr>
          <w:rFonts w:ascii="Times New Roman" w:eastAsia="楷体_GB2312" w:cs="Times New Roman" w:hAnsi="Times New Roman" w:hint="eastAsia"/>
          <w:color w:val="auto"/>
          <w:sz w:val="32"/>
          <w:szCs w:val="32"/>
          <w:lang w:val="en-US" w:eastAsia="zh-CN"/>
        </w:rPr>
        <w:t>，不断扩大社保“覆盖面”。</w:t>
      </w:r>
      <w:r>
        <w:rPr>
          <w:rFonts w:ascii="仿宋_GB2312" w:eastAsia="仿宋_GB2312" w:cs="仿宋_GB2312" w:hAnsi="仿宋_GB2312" w:hint="eastAsia"/>
          <w:color w:val="auto"/>
          <w:sz w:val="30"/>
          <w:szCs w:val="30"/>
          <w:lang w:val="en-US" w:eastAsia="zh-CN"/>
          <w:highlight w:val="auto"/>
        </w:rPr>
        <w:t>全区基本养老保险参保22万人，新增扩面5973人。一是坚持深化改革，社保办理便民惠民。完成99个人社领域基本公共服务试点标准化建设，实现群众办事“一站受办”“一网通办”。推进</w:t>
      </w:r>
      <w:r>
        <w:rPr>
          <w:rFonts w:ascii="仿宋_GB2312" w:eastAsia="仿宋_GB2312" w:cs="仿宋_GB2312" w:hAnsi="仿宋_GB2312"/>
          <w:color w:val="auto"/>
          <w:sz w:val="30"/>
          <w:szCs w:val="30"/>
          <w:lang w:val="en-US" w:eastAsia="zh-CN"/>
          <w:highlight w:val="auto"/>
        </w:rPr>
        <w:t>49个</w:t>
      </w:r>
      <w:r>
        <w:rPr>
          <w:rFonts w:ascii="仿宋_GB2312" w:eastAsia="仿宋_GB2312" w:cs="仿宋_GB2312" w:hAnsi="仿宋_GB2312" w:hint="eastAsia"/>
          <w:color w:val="auto"/>
          <w:sz w:val="30"/>
          <w:szCs w:val="30"/>
          <w:lang w:val="en-US" w:eastAsia="zh-CN"/>
          <w:highlight w:val="auto"/>
        </w:rPr>
        <w:t>社保卡联网即时制卡网点建设，实现</w:t>
      </w:r>
      <w:r>
        <w:rPr>
          <w:rFonts w:ascii="仿宋_GB2312" w:eastAsia="仿宋_GB2312" w:cs="仿宋_GB2312" w:hAnsi="仿宋_GB2312"/>
          <w:color w:val="auto"/>
          <w:sz w:val="30"/>
          <w:szCs w:val="30"/>
          <w:lang w:val="en-US" w:eastAsia="zh-CN"/>
          <w:highlight w:val="auto"/>
        </w:rPr>
        <w:t>“城市10分钟+农村5公里”经办服务圈</w:t>
      </w:r>
      <w:r>
        <w:rPr>
          <w:rFonts w:ascii="仿宋_GB2312" w:eastAsia="仿宋_GB2312" w:cs="仿宋_GB2312" w:hAnsi="仿宋_GB2312" w:hint="eastAsia"/>
          <w:color w:val="auto"/>
          <w:sz w:val="30"/>
          <w:szCs w:val="30"/>
          <w:lang w:val="en-US" w:eastAsia="zh-CN"/>
          <w:highlight w:val="auto"/>
        </w:rPr>
        <w:t>。二是坚持多措并举，开拓工伤保险新局面。充分发挥“综窗受理”优势，为企业提供“零距离服务”，新增小微企业、新型企业参保139户；充分保障职工合法权益，受理工伤申请211件，办结工伤认定190人，审核提前退休25人，化解工伤纠纷75余起。三是坚持为民导向，社保待遇零延迟。推行社保卡“一卡通”待遇发放，通过“信息比对为主、自助认证和社会化服务认证相结合”的认证模式，建立高龄、行动不便等特殊人群上门服务台账，确保社保待遇按时足额发放。</w:t>
      </w:r>
    </w:p>
    <w:p>
      <w:pPr>
        <w:pStyle w:val="19"/>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outlineLvl w:val="9"/>
        <w:rPr>
          <w:rFonts w:ascii="仿宋_GB2312" w:eastAsia="仿宋_GB2312" w:cs="仿宋_GB2312" w:hAnsi="仿宋_GB2312" w:hint="eastAsia"/>
          <w:color w:val="auto"/>
          <w:kern w:val="2"/>
          <w:sz w:val="30"/>
          <w:szCs w:val="30"/>
          <w:lang w:val="en-US" w:eastAsia="zh-CN" w:bidi="ar-SA"/>
          <w:highlight w:val="auto"/>
        </w:rPr>
      </w:pPr>
      <w:r>
        <w:rPr>
          <w:rFonts w:ascii="Times New Roman" w:eastAsia="楷体_GB2312" w:cs="Times New Roman" w:hAnsi="Times New Roman" w:hint="eastAsia"/>
          <w:color w:val="auto"/>
          <w:sz w:val="32"/>
          <w:szCs w:val="32"/>
          <w:lang w:val="en-US" w:eastAsia="zh-CN"/>
        </w:rPr>
        <w:t>3、推进人才引培工程，聚力打造人才“新洼地”。</w:t>
      </w:r>
      <w:r>
        <w:rPr>
          <w:rFonts w:ascii="仿宋_GB2312" w:eastAsia="仿宋_GB2312" w:cs="仿宋_GB2312" w:hAnsi="仿宋_GB2312" w:hint="eastAsia"/>
          <w:color w:val="auto"/>
          <w:kern w:val="2"/>
          <w:sz w:val="30"/>
          <w:szCs w:val="30"/>
          <w:lang w:val="en-US" w:eastAsia="zh-CN" w:bidi="ar-SA"/>
          <w:highlight w:val="auto"/>
        </w:rPr>
        <w:t>一是拓宽招才渠道，筑巢引凤纳贤。组织事业单位工作人员（含三支一扶人员）招聘考试9次，聘用（招募）271人；申报2022年智兴天府专家行·四川省专家智力服务项目4个，柔性引进高级职称以上专家10名，获批“智兴天府专家行·四川省专家智力服务联合行动广元行”项目1个。二是拓宽晋升渠道，优化岗位结构。坚持“程序公开，组织到位、方案科学”的原则，对全区事业单位管理岗位推行职员等级晋升，完成应晋升总数59.66%，全区无信访，深受各级干部肯定。三是拓宽评审渠道，服务用才需求。实行“一企一策、一人一策”，开通企业职称评审“绿色通道”，全面实现职称证书电子化。核实并上传职称评审数据424个，推荐农业、教育、卫生等专业技术人员参与评审278名，评审教师中、初级职称308名。</w:t>
      </w:r>
    </w:p>
    <w:p>
      <w:pPr>
        <w:keepNext w:val="0"/>
        <w:keepLines w:val="0"/>
        <w:pageBreakBefore w:val="0"/>
        <w:widowControl w:val="0"/>
        <w:kinsoku/>
        <w:wordWrap/>
        <w:overflowPunct w:val="0"/>
        <w:topLinePunct w:val="0"/>
        <w:autoSpaceDE/>
        <w:autoSpaceDN/>
        <w:bidi w:val="0"/>
        <w:snapToGrid/>
        <w:spacing w:line="576" w:lineRule="exact"/>
        <w:ind w:left="0" w:firstLineChars="200" w:firstLine="640"/>
        <w:textAlignment w:val="auto"/>
        <w:outlineLvl w:val="9"/>
        <w:rPr>
          <w:rFonts w:ascii="仿宋_GB2312" w:eastAsia="仿宋_GB2312" w:cs="仿宋_GB2312" w:hAnsi="仿宋_GB2312" w:hint="eastAsia"/>
          <w:color w:val="auto"/>
          <w:sz w:val="30"/>
          <w:szCs w:val="30"/>
          <w:lang w:val="en-US" w:eastAsia="zh-CN"/>
          <w:highlight w:val="auto"/>
        </w:rPr>
      </w:pPr>
      <w:r>
        <w:rPr>
          <w:rFonts w:eastAsia="楷体_GB2312" w:cs="Times New Roman" w:hint="eastAsia"/>
          <w:color w:val="auto"/>
          <w:sz w:val="32"/>
          <w:szCs w:val="32"/>
          <w:lang w:val="en-US" w:eastAsia="zh-CN"/>
        </w:rPr>
        <w:t>4、</w:t>
      </w:r>
      <w:r>
        <w:rPr>
          <w:rFonts w:ascii="Times New Roman" w:eastAsia="楷体_GB2312" w:cs="Times New Roman" w:hAnsi="Times New Roman"/>
          <w:color w:val="auto"/>
          <w:sz w:val="32"/>
          <w:szCs w:val="32"/>
          <w:lang w:val="en-US" w:eastAsia="zh-CN"/>
        </w:rPr>
        <w:t>打造最优营商环境</w:t>
      </w:r>
      <w:r>
        <w:rPr>
          <w:rFonts w:ascii="Times New Roman" w:eastAsia="楷体_GB2312" w:cs="Times New Roman" w:hAnsi="Times New Roman" w:hint="eastAsia"/>
          <w:color w:val="auto"/>
          <w:sz w:val="32"/>
          <w:szCs w:val="32"/>
          <w:lang w:val="en-US" w:eastAsia="zh-CN"/>
        </w:rPr>
        <w:t>，唱响劳动关系“和谐曲”。</w:t>
      </w:r>
      <w:r>
        <w:rPr>
          <w:rFonts w:ascii="仿宋_GB2312" w:eastAsia="仿宋_GB2312" w:cs="仿宋_GB2312" w:hAnsi="仿宋_GB2312" w:hint="eastAsia"/>
          <w:color w:val="auto"/>
          <w:sz w:val="30"/>
          <w:szCs w:val="30"/>
          <w:lang w:val="en-US" w:eastAsia="zh-CN"/>
          <w:highlight w:val="auto"/>
        </w:rPr>
        <w:t>制定出台《优化涉企惠企服务工作方案》，统筹推进我局优化营商环境工作。一是飓风治欠暖民心，守好群众钱袋子</w:t>
      </w:r>
      <w:r>
        <w:rPr>
          <w:rFonts w:ascii="仿宋_GB2312" w:eastAsia="仿宋_GB2312" w:cs="仿宋_GB2312" w:hAnsi="仿宋_GB2312"/>
          <w:color w:val="auto"/>
          <w:sz w:val="30"/>
          <w:szCs w:val="30"/>
          <w:lang w:val="en-US" w:eastAsia="zh-CN"/>
          <w:highlight w:val="auto"/>
        </w:rPr>
        <w:t>。坚决依法打击恶意拖欠劳动者工资违法行为</w:t>
      </w:r>
      <w:r>
        <w:rPr>
          <w:rFonts w:ascii="仿宋_GB2312" w:eastAsia="仿宋_GB2312" w:cs="仿宋_GB2312" w:hAnsi="仿宋_GB2312" w:hint="eastAsia"/>
          <w:color w:val="auto"/>
          <w:sz w:val="30"/>
          <w:szCs w:val="30"/>
          <w:lang w:val="en-US" w:eastAsia="zh-CN"/>
          <w:highlight w:val="auto"/>
        </w:rPr>
        <w:t>，</w:t>
      </w:r>
      <w:r>
        <w:rPr>
          <w:rFonts w:ascii="仿宋_GB2312" w:eastAsia="仿宋_GB2312" w:cs="仿宋_GB2312" w:hAnsi="仿宋_GB2312"/>
          <w:color w:val="auto"/>
          <w:sz w:val="30"/>
          <w:szCs w:val="30"/>
          <w:lang w:val="en-US" w:eastAsia="zh-CN"/>
          <w:highlight w:val="auto"/>
        </w:rPr>
        <w:t>移送欠薪案件8起，切实维护劳动者合法权益</w:t>
      </w:r>
      <w:r>
        <w:rPr>
          <w:rFonts w:ascii="仿宋_GB2312" w:eastAsia="仿宋_GB2312" w:cs="仿宋_GB2312" w:hAnsi="仿宋_GB2312" w:hint="eastAsia"/>
          <w:color w:val="auto"/>
          <w:sz w:val="30"/>
          <w:szCs w:val="30"/>
          <w:lang w:val="en-US" w:eastAsia="zh-CN"/>
          <w:highlight w:val="auto"/>
        </w:rPr>
        <w:t>；全省首批劳资专管员培训班结业仪式在我区举行，获得市委常委、常务副市长许国斌高度肯定。二是畅通渠道疏民心，巧解群众烦心事。向社会公开劳动维权举报电话，12345政务服务热线电话交办件1081件，受理综合性投诉313件次，受理率、办结率100%。三是调解仲裁顺民心，化解矛盾解民忧。劳动人事争议调解成功率67%，到期结案率100％；受省厅邀请到全省师资调解员骨干培训班分享基层调解工作经验；筹备拍摄调解组织先进经验宣传片并在省台播出；主导建立的雪峰寺社区劳动人事争议调解中心被人力资源社会保障部办公厅等四部门评为“2022年度工作突出基层劳动人事争议调解组织”。四是靠前服务贴民心，流程再造提质效。对人社业务流程进行再规范、再优化、再提升，深挖潜在风险，制定防控措施，确保人社业务高效便民；组织开展“局长走流程”，完善人社领域34个服务事项流程优化、信息化建设和服务措施。</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四</w:t>
      </w: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部门整体支出绩效目标</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一是大力促进就业创业。持续推进广元·川陕甘区域中心人力资源市场建设，主动融入成渝地区双城经济圈发展。进一步完善驻外农民工工作站服务功能，构建劳动力流出地和流入地衔接机制。围绕保障企业用工，开展到户到人岗位对接和点对点输送。大力开展订单、定向培训，强化校企合作，建设实训基地，加快推进企业新型学徒培训。二是深化社会保障制度改革。进一步深入推进全民参保计划。以广覆盖、保增长为奋斗目标，努力挖掘新的扩面资源。切实做好社保扶贫与乡村振兴战略有效衔接，稳妥推进机关事业单位“中人”养老保险待遇核定兑现和见面工作。三是加强人才人事工作。不断健全人才服务政策，赴高校和科研院所开展校政合作，引进高层次人才。深化事业单位人事制度改革，按照中央、省的统一安排，适时推进县以下事业单位管理岗位职员等级晋升制度工作，进一步优化基层事业单位工作人员结构，稳定基层事业单位工作人员队伍，拓展基层事业单位工作人员晋升空间。贯彻落实职称制度改革，加大民营企业专业技术人员职称破格评审工作力度。四是构建和谐劳动关系。加强台账管理和常态监管，动态掌握工程项目落实实名制、工资专用账户、按人按月发放工资等情况。积极开展排查检查，结合根治欠薪夏季、冬季专项行动，狠抓工资保障制度落实特别是针对每年年底出现的农民工集中讨薪现象，从源头上做好预防工作。完善特殊工种提前退休公示程序和重大疑难工伤认定案件与法律顾问、法院、公安部门沟通协调机制。加大人社领域信访维稳工作协调力度，加强对基层调解组织的工作指导，促进基层调解组织发挥最大功效。</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黑体" w:cs="Times New Roman" w:hAnsi="Times New Roman"/>
          <w:sz w:val="32"/>
          <w:szCs w:val="32"/>
        </w:rPr>
      </w:pPr>
      <w:r>
        <w:rPr>
          <w:rFonts w:ascii="Times New Roman" w:eastAsia="黑体" w:cs="Times New Roman" w:hAnsi="Times New Roman" w:hint="eastAsia"/>
          <w:sz w:val="32"/>
          <w:szCs w:val="32"/>
          <w:lang w:val="en-US" w:eastAsia="zh-CN"/>
        </w:rPr>
        <w:t>二</w:t>
      </w:r>
      <w:r>
        <w:rPr>
          <w:rFonts w:ascii="Times New Roman" w:eastAsia="黑体" w:cs="Times New Roman" w:hAnsi="Times New Roman"/>
          <w:sz w:val="32"/>
          <w:szCs w:val="32"/>
          <w:lang w:eastAsia="zh-CN"/>
        </w:rPr>
        <w:t>、部</w:t>
      </w:r>
      <w:r>
        <w:rPr>
          <w:rFonts w:ascii="Times New Roman" w:eastAsia="黑体" w:cs="Times New Roman" w:hAnsi="Times New Roman"/>
          <w:sz w:val="32"/>
          <w:szCs w:val="32"/>
        </w:rPr>
        <w:t>门</w:t>
      </w:r>
      <w:r>
        <w:rPr>
          <w:rFonts w:ascii="Times New Roman" w:eastAsia="黑体" w:cs="Times New Roman" w:hAnsi="Times New Roman" w:hint="eastAsia"/>
          <w:sz w:val="32"/>
          <w:szCs w:val="32"/>
          <w:lang w:eastAsia="zh-CN"/>
        </w:rPr>
        <w:t>资金收支</w:t>
      </w:r>
      <w:r>
        <w:rPr>
          <w:rFonts w:ascii="Times New Roman" w:eastAsia="黑体" w:cs="Times New Roman" w:hAnsi="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rPr>
        <w:t>（一）</w:t>
      </w:r>
      <w:r>
        <w:rPr>
          <w:rFonts w:ascii="Times New Roman" w:eastAsia="楷体_GB2312" w:cs="Times New Roman" w:hAnsi="Times New Roman" w:hint="eastAsia"/>
          <w:b/>
          <w:sz w:val="32"/>
          <w:szCs w:val="32"/>
          <w:lang w:eastAsia="zh-CN"/>
        </w:rPr>
        <w:t>部门总体收支情况</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1、2022年收入总计13328.45万元（含上级转移收入10081.36万元），其中本年收入13328.45万元，年初财政拨款结转和结余34.34万元。</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2、2022年支出总计13328.45万元（含上级转移收入10081.36万元），其中本年支出合计13008.55万元，年末财政拨款结转和结余319.9万元。</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Times New Roman" w:eastAsia="仿宋_GB2312" w:cs="Times New Roman" w:hAnsi="Times New Roman" w:hint="eastAsia"/>
          <w:color w:val="auto"/>
          <w:sz w:val="32"/>
          <w:szCs w:val="32"/>
          <w:lang w:val="en-US" w:eastAsia="zh-CN"/>
        </w:rPr>
      </w:pPr>
      <w:r>
        <w:rPr>
          <w:rFonts w:ascii="仿宋_GB2312" w:eastAsia="仿宋_GB2312" w:cs="仿宋_GB2312" w:hAnsi="仿宋_GB2312" w:hint="eastAsia"/>
          <w:color w:val="auto"/>
          <w:sz w:val="30"/>
          <w:szCs w:val="30"/>
          <w:lang w:val="en-US" w:eastAsia="zh-CN"/>
          <w:highlight w:val="auto"/>
        </w:rPr>
        <w:t>3、2022年总体结转结余319.99万元</w:t>
      </w:r>
      <w:r>
        <w:rPr>
          <w:rFonts w:ascii="Times New Roman" w:eastAsia="仿宋_GB2312" w:cs="Times New Roman" w:hAnsi="Times New Roman" w:hint="eastAsia"/>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lang w:eastAsia="zh-CN"/>
        </w:rPr>
        <w:t>（二）</w:t>
      </w:r>
      <w:r>
        <w:rPr>
          <w:rFonts w:ascii="Times New Roman" w:eastAsia="楷体_GB2312" w:cs="Times New Roman" w:hAnsi="Times New Roman" w:hint="eastAsia"/>
          <w:b/>
          <w:sz w:val="32"/>
          <w:szCs w:val="32"/>
          <w:lang w:eastAsia="zh-CN"/>
        </w:rPr>
        <w:t>部门财政拨款收支情况</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1、2022年收入总计13328.45万元（含上级转移收入10081.36万元），其中本年收入13328.45万元，年初财政拨款结转和结余34.34万元。</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2、2022年支出总计13328.45万元（含上级转移收入10081.36万元），其中本年支出合计13008.55万元，年末财政拨款结转和结余319.9万元。</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Times New Roman" w:eastAsia="仿宋_GB2312" w:cs="Times New Roman" w:hAnsi="Times New Roman" w:hint="eastAsia"/>
          <w:color w:val="auto"/>
          <w:sz w:val="32"/>
          <w:szCs w:val="32"/>
          <w:lang w:val="en-US" w:eastAsia="zh-CN"/>
        </w:rPr>
      </w:pPr>
      <w:r>
        <w:rPr>
          <w:rFonts w:ascii="仿宋_GB2312" w:eastAsia="仿宋_GB2312" w:cs="仿宋_GB2312" w:hAnsi="仿宋_GB2312" w:hint="eastAsia"/>
          <w:color w:val="auto"/>
          <w:sz w:val="30"/>
          <w:szCs w:val="30"/>
          <w:lang w:val="en-US" w:eastAsia="zh-CN"/>
          <w:highlight w:val="auto"/>
        </w:rPr>
        <w:t>3、2022年总体结转结余319.99万元。</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黑体" w:cs="Times New Roman" w:hAnsi="Times New Roman"/>
          <w:sz w:val="32"/>
          <w:szCs w:val="32"/>
          <w:lang w:val="en-US" w:eastAsia="zh-CN"/>
        </w:rPr>
      </w:pPr>
      <w:r>
        <w:rPr>
          <w:rFonts w:ascii="Times New Roman" w:eastAsia="黑体" w:cs="Times New Roman" w:hAnsi="Times New Roman" w:hint="eastAsia"/>
          <w:sz w:val="32"/>
          <w:szCs w:val="32"/>
          <w:lang w:val="en-US" w:eastAsia="zh-CN"/>
        </w:rPr>
        <w:t>三</w:t>
      </w:r>
      <w:r>
        <w:rPr>
          <w:rFonts w:ascii="Times New Roman" w:eastAsia="黑体" w:cs="Times New Roman" w:hAnsi="Times New Roman"/>
          <w:sz w:val="32"/>
          <w:szCs w:val="32"/>
          <w:lang w:val="en-US" w:eastAsia="zh-CN"/>
        </w:rPr>
        <w:t>、部门</w:t>
      </w:r>
      <w:r>
        <w:rPr>
          <w:rFonts w:ascii="Times New Roman" w:eastAsia="黑体" w:cs="Times New Roman" w:hAnsi="Times New Roman" w:hint="eastAsia"/>
          <w:sz w:val="32"/>
          <w:szCs w:val="32"/>
          <w:lang w:val="en-US" w:eastAsia="zh-CN"/>
        </w:rPr>
        <w:t>资金收支</w:t>
      </w:r>
      <w:r>
        <w:rPr>
          <w:rFonts w:ascii="Times New Roman" w:eastAsia="黑体" w:cs="Times New Roman" w:hAnsi="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一</w:t>
      </w: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部门预算项目绩效分析</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hint="eastAsia"/>
          <w:b/>
          <w:szCs w:val="32"/>
          <w:lang w:val="zh-CN"/>
        </w:rPr>
      </w:pPr>
      <w:r>
        <w:rPr>
          <w:b/>
          <w:szCs w:val="32"/>
          <w:lang w:val="zh-CN"/>
        </w:rPr>
        <w:t>1</w:t>
      </w:r>
      <w:r>
        <w:rPr>
          <w:rFonts w:hint="eastAsia"/>
          <w:b/>
          <w:szCs w:val="32"/>
          <w:lang w:val="zh-CN"/>
        </w:rPr>
        <w:t>、人员类项目绩效分析</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ascii="仿宋_GB2312" w:eastAsia="仿宋_GB2312" w:cs="仿宋_GB2312" w:hAnsi="仿宋_GB2312"/>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2022年人员类经费年初预算1004.86万元（在职在编公务员事业人员86人，三支一扶15人），主要用于人员的工资性支出，单位五险一金的缴费，退休人员生活补助、独子费、遗属生活补助等支出，资金由区财政安排全部纳入年初预算，资金到位率100%，资金使用率100%。2022年末人员合计111人，按程序进行了政策性追加人员经费，实际支出1399.33万元。资金支付根据执行进度、标准、支付依据合法合规，无截留、挪用等现象。</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hint="eastAsia"/>
          <w:b/>
          <w:szCs w:val="32"/>
          <w:lang w:val="zh-CN"/>
        </w:rPr>
      </w:pPr>
      <w:r>
        <w:rPr>
          <w:rFonts w:hint="eastAsia"/>
          <w:b/>
          <w:szCs w:val="32"/>
          <w:lang w:val="en-US" w:eastAsia="zh-CN"/>
        </w:rPr>
        <w:t>2</w:t>
      </w:r>
      <w:r>
        <w:rPr>
          <w:rFonts w:hint="eastAsia"/>
          <w:b/>
          <w:szCs w:val="32"/>
          <w:lang w:val="zh-CN"/>
        </w:rPr>
        <w:t>、运转类项目绩效分析</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ascii="仿宋_GB2312" w:eastAsia="仿宋_GB2312" w:cs="仿宋_GB2312" w:hAnsi="仿宋_GB2312"/>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2022年运转类经费年初预算111.23万元，包括公车补贴、培训费、办公费、会议费、水电气费、邮电费、公车补贴、公务接待、差旅费、工会经费等支出。资金由区财政局安排全部纳入年初预算，资金到位率100%，资金使用率100%。2022年末人员合计111人，增加人员按程序进行了政策性追加运转经费，实际支出167.99万元。资金支付根据执行进度、标准、支付依据合法合规，无截留、挪用等现象。</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hint="eastAsia"/>
          <w:b/>
          <w:szCs w:val="32"/>
          <w:lang w:val="zh-CN"/>
        </w:rPr>
      </w:pPr>
      <w:r>
        <w:rPr>
          <w:rFonts w:hint="eastAsia"/>
          <w:b/>
          <w:szCs w:val="32"/>
          <w:lang w:val="en-US" w:eastAsia="zh-CN"/>
        </w:rPr>
        <w:t>3</w:t>
      </w:r>
      <w:r>
        <w:rPr>
          <w:rFonts w:hint="eastAsia"/>
          <w:b/>
          <w:szCs w:val="32"/>
          <w:lang w:val="zh-CN"/>
        </w:rPr>
        <w:t>、特定目标类项目绩效分析</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ascii="仿宋_GB2312" w:eastAsia="仿宋_GB2312" w:cs="仿宋_GB2312" w:hAnsi="仿宋_GB2312"/>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2022年特定目标类项目14项，年初制定计划，纳入预算，资金拨付坚持按项目计划，项目进度和质量分阶段实施，坚持部门联审制，先做事，后报账，从而保证了专项资金专款专用，有效防止了截留，挤占和挪用，严格执行资金跟项目走，项目跟计划走，计划跟着规划和设计走的原则，使资金调拨和项目进程融为一体。在专项资金的使用方面，根据各项目事前绩效报告，分别设立明细科目，做到转账核算、专款专用。日常工作中，对资金的支出严格把关，对不符合审批程序的事项及时纠正，对不符合规定的票据拒绝报销，严格执行不同支出额度的签字程序。各项目经费严格按照单位的财务制度和预算支出范围使用，按照项目计划安排和实际工作情况开展。全面推行信息公开、公告、公示制度，确保项目建设资金的使用公证透明，确保项目实施达到预期的经济效益、社会效益、生态效益。</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二</w:t>
      </w: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部门整体履职绩效分析</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color w:val="auto"/>
          <w:sz w:val="30"/>
          <w:szCs w:val="30"/>
          <w:lang w:val="en-US" w:eastAsia="zh-CN"/>
          <w:highlight w:val="auto"/>
        </w:rPr>
        <w:t>1</w:t>
      </w:r>
      <w:r>
        <w:rPr>
          <w:rFonts w:ascii="仿宋_GB2312" w:eastAsia="仿宋_GB2312" w:cs="仿宋_GB2312" w:hAnsi="仿宋_GB2312" w:hint="eastAsia"/>
          <w:color w:val="auto"/>
          <w:sz w:val="30"/>
          <w:szCs w:val="30"/>
          <w:lang w:val="en-US" w:eastAsia="zh-CN"/>
          <w:highlight w:val="auto"/>
        </w:rPr>
        <w:t>、高度重视，专题研究。区人社局党组高度重视部门预算及支持工作，从预算编制到具体指标及支出工作，以及指标下达后，多次召开专题会议研究预算事宜，要求各部门结合全年工作谋划，将资金使用细化具体到工作任务上，力求将资金花在刀刃上，取得实效。绩效运行监控抓得紧盯得牢。时刻对照年初预算和年初绩效报告，扎实开展各项工作，确保资金花在实处，确保资金使用规范、绩效运行工作真抓实干。</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2、提高意识，及时反馈、督促。深入学习贯彻各类文件精神，不断提高部门预算绩效运行监控管理意识，进一步加强预算绩效运行监控管理的方式方法，按月整理调整支出，并及时反馈到各部门，分析原因，督促执行，不断提高预算执行率及资金使用效益。</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3、及时纠偏，调整谋划。2022年受新冠肺炎疫情影响，年初诸多工作谋划未能按时如愿开展，部分预算支出进度受到影响，结合前期预算执行及工作开展情况，及时调整预算规划及工作谋划，加快预算支出进度，确保绩效目标如期实现。</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三</w:t>
      </w: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结果应用情况</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ascii="仿宋_GB2312" w:eastAsia="仿宋_GB2312" w:cs="仿宋_GB2312" w:hAnsi="仿宋_GB2312"/>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综合以上各项指标，我局财务管理健全规范，没有发生违法违规现象，2022年的部门整体支出绩效自我评价结果是优秀。我们将在以后的工作中加强预算绩效管理，严格控制各项经费的开支，提高经费的使用效率。</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楷体_GB2312" w:cs="Times New Roman" w:hAnsi="Times New Roman" w:hint="eastAsia"/>
          <w:b/>
          <w:sz w:val="32"/>
          <w:szCs w:val="32"/>
          <w:lang w:eastAsia="zh-CN"/>
        </w:rPr>
      </w:pP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四</w:t>
      </w:r>
      <w:r>
        <w:rPr>
          <w:rFonts w:ascii="Times New Roman" w:eastAsia="楷体_GB2312" w:cs="Times New Roman" w:hAnsi="Times New Roman"/>
          <w:b/>
          <w:sz w:val="32"/>
          <w:szCs w:val="32"/>
        </w:rPr>
        <w:t>）</w:t>
      </w:r>
      <w:r>
        <w:rPr>
          <w:rFonts w:ascii="Times New Roman" w:eastAsia="楷体_GB2312" w:cs="Times New Roman" w:hAnsi="Times New Roman" w:hint="eastAsia"/>
          <w:b/>
          <w:sz w:val="32"/>
          <w:szCs w:val="32"/>
          <w:lang w:eastAsia="zh-CN"/>
        </w:rPr>
        <w:t>自评质量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Times New Roman" w:hAnsi="Times New Roman"/>
          <w:b/>
          <w:kern w:val="0"/>
          <w:sz w:val="30"/>
          <w:szCs w:val="32"/>
          <w:lang w:val="zh-CN" w:eastAsia="zh-CN" w:bidi="ar-SA"/>
        </w:rPr>
        <w:t>1</w:t>
      </w:r>
      <w:r>
        <w:rPr>
          <w:rFonts w:ascii="仿宋_GB2312" w:eastAsia="仿宋_GB2312" w:cs="Times New Roman" w:hAnsi="Times New Roman" w:hint="eastAsia"/>
          <w:b/>
          <w:kern w:val="0"/>
          <w:sz w:val="30"/>
          <w:szCs w:val="32"/>
          <w:lang w:val="zh-CN" w:eastAsia="zh-CN" w:bidi="ar-SA"/>
        </w:rPr>
        <w:t>、</w:t>
      </w:r>
      <w:r>
        <w:rPr>
          <w:rFonts w:ascii="仿宋_GB2312" w:eastAsia="仿宋_GB2312" w:cs="Times New Roman" w:hAnsi="Times New Roman"/>
          <w:b/>
          <w:kern w:val="0"/>
          <w:sz w:val="30"/>
          <w:szCs w:val="32"/>
          <w:lang w:val="zh-CN" w:eastAsia="zh-CN" w:bidi="ar-SA"/>
        </w:rPr>
        <w:t>编制内容完整、准确。</w:t>
      </w:r>
      <w:r>
        <w:rPr>
          <w:rFonts w:ascii="仿宋_GB2312" w:eastAsia="仿宋_GB2312" w:cs="仿宋_GB2312" w:hAnsi="仿宋_GB2312" w:hint="eastAsia"/>
          <w:color w:val="auto"/>
          <w:sz w:val="30"/>
          <w:szCs w:val="30"/>
          <w:lang w:val="zh-CN" w:eastAsia="zh-CN"/>
          <w:highlight w:val="auto"/>
        </w:rPr>
        <w:t>严格按照区财政局的要求</w:t>
      </w:r>
      <w:r>
        <w:rPr>
          <w:rFonts w:ascii="仿宋_GB2312" w:eastAsia="仿宋_GB2312" w:cs="仿宋_GB2312" w:hAnsi="仿宋_GB2312" w:hint="eastAsia"/>
          <w:color w:val="auto"/>
          <w:sz w:val="30"/>
          <w:szCs w:val="30"/>
          <w:lang w:val="en-US" w:eastAsia="zh-CN"/>
          <w:highlight w:val="auto"/>
        </w:rPr>
        <w:t>和部门预算编制口径</w:t>
      </w:r>
      <w:r>
        <w:rPr>
          <w:rFonts w:ascii="仿宋_GB2312" w:eastAsia="仿宋_GB2312" w:cs="仿宋_GB2312" w:hAnsi="仿宋_GB2312" w:hint="eastAsia"/>
          <w:color w:val="auto"/>
          <w:sz w:val="30"/>
          <w:szCs w:val="30"/>
          <w:lang w:val="zh-CN" w:eastAsia="zh-CN"/>
          <w:highlight w:val="auto"/>
        </w:rPr>
        <w:t>，汇总</w:t>
      </w:r>
      <w:r>
        <w:rPr>
          <w:rFonts w:ascii="仿宋_GB2312" w:eastAsia="仿宋_GB2312" w:cs="仿宋_GB2312" w:hAnsi="仿宋_GB2312" w:hint="eastAsia"/>
          <w:color w:val="auto"/>
          <w:sz w:val="30"/>
          <w:szCs w:val="30"/>
          <w:lang w:val="en-US" w:eastAsia="zh-CN"/>
          <w:highlight w:val="auto"/>
        </w:rPr>
        <w:t>编报了</w:t>
      </w:r>
      <w:r>
        <w:rPr>
          <w:rFonts w:ascii="仿宋_GB2312" w:eastAsia="仿宋_GB2312" w:cs="仿宋_GB2312" w:hAnsi="仿宋_GB2312" w:hint="eastAsia"/>
          <w:color w:val="auto"/>
          <w:sz w:val="30"/>
          <w:szCs w:val="30"/>
          <w:lang w:val="zh-CN" w:eastAsia="zh-CN"/>
          <w:highlight w:val="auto"/>
        </w:rPr>
        <w:t>本部门预算和绩效目标。严格执行收入预算编制口径，做到了应编尽编，无一漏报。严格执行支出预算“人员经费按实际标准、基本公用经费按人年定额、其他公用经费按项目”的编制口径，并将政府采购支出预算和“三公”经费支出预算列为编制重点，保证了支出预算编制的准确性和规范性。</w:t>
      </w:r>
    </w:p>
    <w:p>
      <w:pPr>
        <w:pStyle w:val="17"/>
        <w:keepNext w:val="0"/>
        <w:keepLines w:val="0"/>
        <w:pageBreakBefore w:val="0"/>
        <w:widowControl w:val="0"/>
        <w:kinsoku/>
        <w:wordWrap/>
        <w:topLinePunct w:val="0"/>
        <w:autoSpaceDE/>
        <w:autoSpaceDN/>
        <w:bidi w:val="0"/>
        <w:spacing w:beforeLines="0" w:before="0" w:line="576" w:lineRule="exact"/>
        <w:ind w:firstLineChars="200" w:firstLine="600"/>
        <w:textAlignment w:val="auto"/>
        <w:outlineLvl w:val="9"/>
        <w:rPr>
          <w:rFonts w:ascii="仿宋_GB2312" w:eastAsia="仿宋_GB2312" w:cs="仿宋_GB2312" w:hAnsi="仿宋_GB2312" w:hint="eastAsia"/>
          <w:color w:val="auto"/>
          <w:kern w:val="2"/>
          <w:sz w:val="30"/>
          <w:szCs w:val="30"/>
          <w:lang w:val="en-US" w:eastAsia="zh-CN" w:bidi="ar-SA"/>
          <w:highlight w:val="auto"/>
        </w:rPr>
      </w:pPr>
      <w:r>
        <w:rPr>
          <w:b/>
          <w:szCs w:val="32"/>
          <w:lang w:val="zh-CN"/>
        </w:rPr>
        <w:t>2</w:t>
      </w:r>
      <w:r>
        <w:rPr>
          <w:rFonts w:hint="eastAsia"/>
          <w:b/>
          <w:szCs w:val="32"/>
          <w:lang w:val="zh-CN"/>
        </w:rPr>
        <w:t>、</w:t>
      </w:r>
      <w:r>
        <w:rPr>
          <w:b/>
          <w:szCs w:val="32"/>
          <w:lang w:val="zh-CN"/>
        </w:rPr>
        <w:t>综合绩效目标、项目支出绩效目标编制完整、合理。</w:t>
      </w:r>
      <w:r>
        <w:rPr>
          <w:rFonts w:ascii="仿宋_GB2312" w:eastAsia="仿宋_GB2312" w:cs="仿宋_GB2312" w:hAnsi="仿宋_GB2312" w:hint="eastAsia"/>
          <w:color w:val="auto"/>
          <w:kern w:val="2"/>
          <w:sz w:val="30"/>
          <w:szCs w:val="30"/>
          <w:lang w:val="zh-CN" w:eastAsia="zh-CN" w:bidi="ar-SA"/>
          <w:highlight w:val="auto"/>
        </w:rPr>
        <w:t>根据项目类别，财务人员与具体项目经办人一同商讨绩效目标的编制，经项目负责人、局分管领导审核后报送区财政局。</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9"/>
        <w:rPr>
          <w:rFonts w:ascii="Times New Roman" w:eastAsia="黑体" w:cs="Times New Roman" w:hAnsi="Times New Roman"/>
          <w:sz w:val="32"/>
          <w:szCs w:val="32"/>
          <w:lang w:val="en-US" w:eastAsia="zh-CN"/>
        </w:rPr>
      </w:pPr>
      <w:r>
        <w:rPr>
          <w:rFonts w:ascii="Times New Roman" w:eastAsia="黑体" w:cs="Times New Roman" w:hAnsi="Times New Roman" w:hint="eastAsia"/>
          <w:sz w:val="32"/>
          <w:szCs w:val="32"/>
          <w:lang w:val="en-US" w:eastAsia="zh-CN"/>
        </w:rPr>
        <w:t>四</w:t>
      </w:r>
      <w:r>
        <w:rPr>
          <w:rFonts w:ascii="Times New Roman" w:eastAsia="黑体" w:cs="Times New Roman" w:hAnsi="Times New Roman"/>
          <w:sz w:val="32"/>
          <w:szCs w:val="32"/>
          <w:lang w:val="en-US" w:eastAsia="zh-CN"/>
        </w:rPr>
        <w:t>、评价结论及建议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outlineLvl w:val="9"/>
        <w:rPr>
          <w:rFonts w:ascii="仿宋_GB2312" w:eastAsia="仿宋_GB2312" w:cs="仿宋_GB2312" w:hAnsi="仿宋_GB2312" w:hint="eastAsia"/>
          <w:color w:val="auto"/>
          <w:sz w:val="30"/>
          <w:szCs w:val="30"/>
          <w:lang w:val="en-US" w:eastAsia="zh-CN"/>
          <w:highlight w:val="auto"/>
        </w:rPr>
      </w:pPr>
      <w:r>
        <w:rPr>
          <w:rFonts w:ascii="Times New Roman" w:eastAsia="楷体_GB2312" w:cs="Times New Roman" w:hAnsi="Times New Roman"/>
          <w:b/>
          <w:sz w:val="32"/>
          <w:szCs w:val="32"/>
        </w:rPr>
        <w:t>（一）</w:t>
      </w:r>
      <w:r>
        <w:rPr>
          <w:rFonts w:ascii="Times New Roman" w:eastAsia="楷体_GB2312" w:cs="Times New Roman" w:hAnsi="Times New Roman" w:hint="eastAsia"/>
          <w:b/>
          <w:sz w:val="32"/>
          <w:szCs w:val="32"/>
          <w:lang w:eastAsia="zh-CN"/>
        </w:rPr>
        <w:t>评价</w:t>
      </w:r>
      <w:r>
        <w:rPr>
          <w:rFonts w:ascii="Times New Roman" w:eastAsia="楷体_GB2312" w:cs="Times New Roman" w:hAnsi="Times New Roman"/>
          <w:b/>
          <w:sz w:val="32"/>
          <w:szCs w:val="32"/>
        </w:rPr>
        <w:t xml:space="preserve">结论 </w:t>
      </w:r>
      <w:r>
        <w:rPr>
          <w:rFonts w:ascii="Times New Roman" w:eastAsia="楷体_GB2312" w:cs="Times New Roman" w:hAnsi="Times New Roman" w:hint="eastAsia"/>
          <w:b/>
          <w:sz w:val="32"/>
          <w:szCs w:val="32"/>
          <w:lang w:eastAsia="zh-CN"/>
        </w:rPr>
        <w:t>。</w:t>
      </w:r>
      <w:r>
        <w:rPr>
          <w:rFonts w:ascii="仿宋_GB2312" w:eastAsia="仿宋_GB2312" w:cs="仿宋_GB2312" w:hAnsi="仿宋_GB2312" w:hint="eastAsia"/>
          <w:color w:val="auto"/>
          <w:sz w:val="30"/>
          <w:szCs w:val="30"/>
          <w:lang w:val="en-US" w:eastAsia="zh-CN"/>
          <w:highlight w:val="auto"/>
        </w:rPr>
        <w:t>我局在各项目实施过程中，建立健全相关制度、机制，严格执行，推进各专项工作的落实。项目资金管理实行专项管理，严格审批制度，真正做到了专款专用，确保项目资金有效的利用。总体来说项目审核严格，管理到位，完成及时，社会效果良好。我单位按照《关于开展2022年部门政策和项目支出绩效评价工作的通知》（广利财发〔2022〕7号）绩效评价指标体系开展绩效评价。自评得分为98分。</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outlineLvl w:val="9"/>
        <w:rPr>
          <w:rFonts w:ascii="仿宋_GB2312" w:eastAsia="仿宋_GB2312" w:cs="仿宋_GB2312" w:hAnsi="仿宋_GB2312"/>
          <w:color w:val="auto"/>
          <w:sz w:val="30"/>
          <w:szCs w:val="30"/>
          <w:lang w:val="en-US" w:eastAsia="zh-CN"/>
          <w:highlight w:val="auto"/>
        </w:rPr>
      </w:pPr>
      <w:r>
        <w:rPr>
          <w:rFonts w:ascii="Times New Roman" w:eastAsia="楷体_GB2312" w:cs="Times New Roman" w:hAnsi="Times New Roman"/>
          <w:b/>
          <w:sz w:val="32"/>
          <w:szCs w:val="32"/>
        </w:rPr>
        <w:t>（二）存在问题</w:t>
      </w:r>
      <w:r>
        <w:rPr>
          <w:rFonts w:ascii="Times New Roman" w:eastAsia="楷体_GB2312" w:cs="Times New Roman" w:hAnsi="Times New Roman" w:hint="eastAsia"/>
          <w:b/>
          <w:sz w:val="32"/>
          <w:szCs w:val="32"/>
          <w:lang w:eastAsia="zh-CN"/>
        </w:rPr>
        <w:t>。</w:t>
      </w:r>
      <w:r>
        <w:rPr>
          <w:rFonts w:ascii="仿宋_GB2312" w:eastAsia="仿宋_GB2312" w:cs="仿宋_GB2312" w:hAnsi="仿宋_GB2312" w:hint="eastAsia"/>
          <w:color w:val="auto"/>
          <w:sz w:val="30"/>
          <w:szCs w:val="30"/>
          <w:lang w:val="en-US" w:eastAsia="zh-CN"/>
          <w:highlight w:val="auto"/>
        </w:rPr>
        <w:t>一是2022年度，由于受疫情影响，我单位培训类、宣传类项目开展比预计有所减少，如新政策、新系统、新岗位的轮换等，使得人员培训继续提升；全民参保率、就业政策知晓度等也都还有待宣传的进一步加强；二是我单位实施绩效管理后财政预算资金管理精细化水平已有所提高，但是依然存在一些不足，特别是绩效指标设置的精准性、合理性有待进一步改善。</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outlineLvl w:val="9"/>
        <w:rPr>
          <w:rFonts w:ascii="黑体" w:eastAsia="黑体" w:cs="黑体" w:hAnsi="宋体" w:hint="eastAsia"/>
          <w:i w:val="0"/>
          <w:iCs w:val="0"/>
          <w:color w:val="000000"/>
          <w:kern w:val="0"/>
          <w:sz w:val="32"/>
          <w:szCs w:val="32"/>
          <w:u w:val="none"/>
          <w:lang w:val="en-US" w:eastAsia="zh-CN"/>
        </w:rPr>
      </w:pPr>
      <w:r>
        <w:rPr>
          <w:rFonts w:ascii="Times New Roman" w:eastAsia="楷体_GB2312" w:cs="Times New Roman" w:hAnsi="Times New Roman"/>
          <w:b/>
          <w:sz w:val="32"/>
          <w:szCs w:val="32"/>
        </w:rPr>
        <w:t>（三）改进建议</w:t>
      </w:r>
      <w:r>
        <w:rPr>
          <w:rFonts w:ascii="Times New Roman" w:eastAsia="楷体_GB2312" w:cs="Times New Roman" w:hAnsi="Times New Roman" w:hint="eastAsia"/>
          <w:b/>
          <w:sz w:val="32"/>
          <w:szCs w:val="32"/>
          <w:lang w:eastAsia="zh-CN"/>
        </w:rPr>
        <w:t>。</w:t>
      </w:r>
      <w:r>
        <w:rPr>
          <w:rFonts w:ascii="仿宋_GB2312" w:eastAsia="仿宋_GB2312" w:cs="仿宋_GB2312" w:hAnsi="仿宋_GB2312" w:hint="eastAsia"/>
          <w:color w:val="auto"/>
          <w:sz w:val="30"/>
          <w:szCs w:val="30"/>
          <w:lang w:val="en-US" w:eastAsia="zh-CN"/>
          <w:highlight w:val="auto"/>
        </w:rPr>
        <w:t>针对自评发现问题，我单位积极采取措施，进一步优化项目支出绩效管理：一是资金管理方面。加强预算编制准确性，提高资金执行率。我局在编制2023年度项目支出预算时，充分借鉴以往经验，进一步完善、细化预算科目，强化预算编制的准确性、科学性；同时，2023年预算执行过程中，加强日常财务管理，督促指导、及时通过面对面、短信、电话、微信等方式提醒各资金使用部门加快项目实施进度，切实提高资金使用效率。二是项目管理方面。加快预算执行过程管理，强化预算绩效监控。平时的绩效运行监控工作中，根据项目实施进度，及时向财政申请用款计划，保证项目正常推进。三是绩效管理方面。加强绩效管理，强化预算绩效管理意识，提高人员绩效管理水平，对项目绩效目标和指标设置把关，加强绩效目标和指标设置的科学性、合理性和规范性。</w:t>
      </w:r>
      <w:r>
        <w:rPr>
          <w:rFonts w:ascii="黑体" w:eastAsia="黑体" w:cs="黑体" w:hAnsi="宋体" w:hint="eastAsia"/>
          <w:i w:val="0"/>
          <w:iCs w:val="0"/>
          <w:color w:val="000000"/>
          <w:kern w:val="0"/>
          <w:sz w:val="32"/>
          <w:szCs w:val="32"/>
          <w:u w:val="none"/>
          <w:lang w:val="en-US" w:eastAsia="zh-CN"/>
        </w:rPr>
        <w:br w:type="page"/>
      </w:r>
    </w:p>
    <w:p>
      <w:pPr>
        <w:keepNext w:val="0"/>
        <w:keepLines w:val="0"/>
        <w:widowControl/>
        <w:suppressLineNumbers w:val="0"/>
        <w:jc w:val="left"/>
        <w:textAlignment w:val="center"/>
        <w:outlineLvl w:val="9"/>
        <w:rPr>
          <w:rFonts w:ascii="黑体" w:eastAsia="黑体" w:cs="黑体" w:hAnsi="宋体" w:hint="eastAsia"/>
          <w:i w:val="0"/>
          <w:iCs w:val="0"/>
          <w:color w:val="000000"/>
          <w:kern w:val="0"/>
          <w:sz w:val="32"/>
          <w:szCs w:val="32"/>
          <w:u w:val="none"/>
          <w:lang w:val="en-US" w:eastAsia="zh-CN"/>
        </w:rPr>
        <w:sectPr>
          <w:footerReference w:type="default" r:id="rId5"/>
          <w:footerReference w:type="first" r:id="rId6"/>
          <w:pgSz w:w="11906" w:h="16838"/>
          <w:pgMar w:top="1440" w:right="1800" w:bottom="1440" w:left="1800" w:header="851" w:footer="992" w:gutter="0"/>
          <w:pgNumType/>
          <w:cols w:num="1" w:space="425"/>
          <w:titlePg/>
          <w:docGrid w:type="lines" w:linePitch="312" w:charSpace="0"/>
        </w:sectPr>
      </w:pPr>
    </w:p>
    <w:tbl>
      <w:tblPr>
        <w:tblpPr w:leftFromText="180" w:rightFromText="180" w:vertAnchor="text" w:horzAnchor="page" w:tblpX="842" w:tblpY="1021"/>
        <w:tblOverlap w:val="never"/>
        <w:tblW w:w="14488"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900"/>
        <w:gridCol w:w="813"/>
        <w:gridCol w:w="1623"/>
        <w:gridCol w:w="2196"/>
        <w:gridCol w:w="936"/>
        <w:gridCol w:w="852"/>
        <w:gridCol w:w="948"/>
        <w:gridCol w:w="1248"/>
        <w:gridCol w:w="1272"/>
        <w:gridCol w:w="1071"/>
        <w:gridCol w:w="677"/>
        <w:gridCol w:w="240"/>
        <w:gridCol w:w="924"/>
        <w:gridCol w:w="788"/>
      </w:tblGrid>
      <w:tr>
        <w:trPr>
          <w:trHeight w:val="405"/>
        </w:trPr>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附件</w:t>
            </w:r>
          </w:p>
        </w:tc>
        <w:tc>
          <w:tcPr>
            <w:tcW w:w="813" w:type="dxa"/>
            <w:tcBorders>
              <w:top w:val="nil"/>
              <w:left w:val="nil"/>
              <w:bottom w:val="nil"/>
              <w:right w:val="nil"/>
            </w:tcBorders>
            <w:shd w:val="clear" w:color="auto" w:fill="auto"/>
            <w:noWrap/>
            <w:vAlign w:val="center"/>
          </w:tcPr>
          <w:p>
            <w:pPr>
              <w:outlineLvl w:val="9"/>
              <w:rPr>
                <w:rFonts w:ascii="黑体" w:eastAsia="黑体" w:cs="黑体" w:hAnsi="宋体" w:hint="eastAsia"/>
                <w:i w:val="0"/>
                <w:iCs w:val="0"/>
                <w:color w:val="000000"/>
                <w:sz w:val="24"/>
                <w:szCs w:val="24"/>
                <w:u w:val="none"/>
              </w:rPr>
            </w:pPr>
          </w:p>
        </w:tc>
        <w:tc>
          <w:tcPr>
            <w:tcW w:w="1623" w:type="dxa"/>
            <w:tcBorders>
              <w:top w:val="nil"/>
              <w:left w:val="nil"/>
              <w:bottom w:val="nil"/>
              <w:right w:val="nil"/>
            </w:tcBorders>
            <w:shd w:val="clear" w:color="auto" w:fill="auto"/>
            <w:noWrap/>
            <w:vAlign w:val="center"/>
          </w:tcPr>
          <w:p>
            <w:pPr>
              <w:outlineLvl w:val="9"/>
              <w:rPr>
                <w:rFonts w:ascii="黑体" w:eastAsia="黑体" w:cs="黑体" w:hAnsi="宋体" w:hint="eastAsia"/>
                <w:i w:val="0"/>
                <w:iCs w:val="0"/>
                <w:color w:val="000000"/>
                <w:sz w:val="24"/>
                <w:szCs w:val="24"/>
                <w:u w:val="none"/>
              </w:rPr>
            </w:pPr>
          </w:p>
        </w:tc>
        <w:tc>
          <w:tcPr>
            <w:tcW w:w="2196" w:type="dxa"/>
            <w:tcBorders>
              <w:top w:val="nil"/>
              <w:left w:val="nil"/>
              <w:bottom w:val="nil"/>
              <w:right w:val="nil"/>
            </w:tcBorders>
            <w:shd w:val="clear" w:color="auto" w:fill="auto"/>
            <w:noWrap/>
            <w:vAlign w:val="center"/>
          </w:tcPr>
          <w:p>
            <w:pPr>
              <w:outlineLvl w:val="9"/>
              <w:rPr>
                <w:rFonts w:ascii="黑体" w:eastAsia="黑体" w:cs="黑体" w:hAnsi="宋体" w:hint="eastAsia"/>
                <w:i w:val="0"/>
                <w:iCs w:val="0"/>
                <w:color w:val="000000"/>
                <w:sz w:val="24"/>
                <w:szCs w:val="24"/>
                <w:u w:val="none"/>
              </w:rPr>
            </w:pPr>
          </w:p>
        </w:tc>
        <w:tc>
          <w:tcPr>
            <w:tcW w:w="93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4"/>
                <w:szCs w:val="24"/>
                <w:u w:val="none"/>
              </w:rPr>
            </w:pPr>
          </w:p>
        </w:tc>
        <w:tc>
          <w:tcPr>
            <w:tcW w:w="85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4"/>
                <w:szCs w:val="24"/>
                <w:u w:val="none"/>
              </w:rPr>
            </w:pPr>
          </w:p>
        </w:tc>
        <w:tc>
          <w:tcPr>
            <w:tcW w:w="94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4"/>
                <w:szCs w:val="24"/>
                <w:u w:val="none"/>
              </w:rPr>
            </w:pPr>
          </w:p>
        </w:tc>
        <w:tc>
          <w:tcPr>
            <w:tcW w:w="124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4"/>
                <w:szCs w:val="24"/>
                <w:u w:val="none"/>
              </w:rPr>
            </w:pPr>
          </w:p>
        </w:tc>
        <w:tc>
          <w:tcPr>
            <w:tcW w:w="127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4"/>
                <w:szCs w:val="24"/>
                <w:u w:val="none"/>
              </w:rPr>
            </w:pPr>
          </w:p>
        </w:tc>
        <w:tc>
          <w:tcPr>
            <w:tcW w:w="1071"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4"/>
                <w:szCs w:val="24"/>
                <w:u w:val="none"/>
              </w:rPr>
            </w:pPr>
          </w:p>
        </w:tc>
        <w:tc>
          <w:tcPr>
            <w:tcW w:w="67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4"/>
                <w:szCs w:val="24"/>
                <w:u w:val="none"/>
              </w:rPr>
            </w:pPr>
          </w:p>
        </w:tc>
        <w:tc>
          <w:tcPr>
            <w:tcW w:w="240"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2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8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740"/>
        </w:trPr>
        <w:tc>
          <w:tcPr>
            <w:tcW w:w="137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部门整体支出绩效目标自评表（2022年度）</w:t>
            </w:r>
          </w:p>
        </w:tc>
        <w:tc>
          <w:tcPr>
            <w:tcW w:w="788" w:type="dxa"/>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kern w:val="0"/>
                <w:sz w:val="44"/>
                <w:szCs w:val="44"/>
                <w:u w:val="none"/>
                <w:lang w:val="en-US" w:eastAsia="zh-CN"/>
              </w:rPr>
            </w:pPr>
          </w:p>
        </w:tc>
      </w:tr>
      <w:tr>
        <w:trPr>
          <w:trHeight w:val="460"/>
        </w:trPr>
        <w:tc>
          <w:tcPr>
            <w:tcW w:w="33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单位名称</w:t>
            </w:r>
          </w:p>
        </w:tc>
        <w:tc>
          <w:tcPr>
            <w:tcW w:w="103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广元市利州区人力资源和社会保障局</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285"/>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w:t>
              <w:br/>
              <w:t>主要</w:t>
              <w:br/>
              <w:t>任务</w:t>
            </w:r>
          </w:p>
        </w:tc>
        <w:tc>
          <w:tcPr>
            <w:tcW w:w="24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任务名称</w:t>
            </w:r>
          </w:p>
        </w:tc>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主要内容</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预算金额（万元）</w:t>
            </w:r>
          </w:p>
        </w:tc>
        <w:tc>
          <w:tcPr>
            <w:tcW w:w="41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实际执行（万元）</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27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总额</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财政拨款</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总额</w:t>
            </w: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财政拨款</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88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基本支出</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主要用于单位人员工资、保险等基本支出和日常办公经费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1116.09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1116.09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1116.09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1116.09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1116.09 </w:t>
            </w: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45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三支一扶社会保险单位缴费</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保证全区三支一扶社会保险不断保</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19.31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19.31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19.31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19.31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19.31 </w:t>
            </w: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52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事业单位招考经费（含人才引进）</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完成事业单位公开考调、考核、招聘工作</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33.50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33.50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33.50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33.50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33.50 </w:t>
            </w: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94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人事代理和移交教师退休人员待遇财政补差</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积极衔接协调财政、社保对移交教师、人事代理等人员的待遇补差</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424.00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424.00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424.00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424.00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424.00 </w:t>
            </w: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48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全区人事档案数字管理</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保证全区事业单位人事档案资料袋的印刷</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107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农民工服务保障工作</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农民工座谈会会议费、农民工技能培训培训费、农民工宣传资料印刷费等</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50.00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50.00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50.00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50.00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50.00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1028"/>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劳动争议仲裁办案经费</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仲裁院所需资料印刷费、仲裁院办案补助、办公设备购置费、工作服购买等</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8.00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8.00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8.00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8.00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8.00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1022"/>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劳动监察办案经费</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保障农民工工资支付工作持续走在全省前列，劳动关系总体和谐稳定</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20.00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1058"/>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城乡居民养老保险区级配套及困难群众财政代缴个人保险缴费</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保障参保人员待遇发放，提高农村居民老年基本生活水平</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465.00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465.00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465.00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465.00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465.00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714"/>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就业补助（含协理员经费）</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保证雪峰孵化园创业园区正常运营等</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275.00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275.00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275.00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275.00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275.00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1082"/>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未就业高校毕业生见习补贴</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保证单位吸纳未就业高校毕业生就业见习进行工资补贴</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3.60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3.60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3.60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3.60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3.60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71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社保资料印刷费</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社保资料印刷，提高社保政策全民知晓度</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4.00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56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金保工程网络经费</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保证金保工程网络正常运行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11.00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11.00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11.00 </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11.00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11.00 </w:t>
            </w:r>
          </w:p>
        </w:tc>
        <w:tc>
          <w:tcPr>
            <w:tcW w:w="677" w:type="dxa"/>
            <w:tcBorders>
              <w:top w:val="single" w:sz="4" w:space="0" w:color="000000"/>
              <w:left w:val="single" w:sz="4" w:space="0" w:color="000000"/>
              <w:bottom w:val="single" w:sz="4" w:space="0" w:color="000000"/>
              <w:right w:val="nil"/>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40" w:type="dxa"/>
            <w:tcBorders>
              <w:top w:val="single" w:sz="4" w:space="0" w:color="000000"/>
              <w:left w:val="nil"/>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r>
      <w:tr>
        <w:trPr>
          <w:trHeight w:val="704"/>
        </w:trPr>
        <w:tc>
          <w:tcPr>
            <w:tcW w:w="900"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4632" w:type="dxa"/>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金额合计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2431.5</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20"/>
                <w:szCs w:val="20"/>
                <w:u w: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outlineLvl w:val="9"/>
              <w:rPr>
                <w:rFonts w:ascii="宋体" w:eastAsia="宋体" w:cs="宋体" w:hAnsi="宋体" w:hint="eastAsia"/>
                <w:i w:val="0"/>
                <w:iCs w:val="0"/>
                <w:color w:val="000000"/>
                <w:sz w:val="20"/>
                <w:szCs w:val="20"/>
                <w:u w:val="none"/>
              </w:rPr>
            </w:pPr>
          </w:p>
        </w:tc>
      </w:tr>
      <w:tr>
        <w:trPr>
          <w:trHeight w:val="28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w:t>
              <w:br/>
              <w:t>总体</w:t>
              <w:br/>
              <w:t>目标</w:t>
            </w:r>
          </w:p>
        </w:tc>
        <w:tc>
          <w:tcPr>
            <w:tcW w:w="5568" w:type="dxa"/>
            <w:gridSpan w:val="4"/>
            <w:tcBorders>
              <w:top w:val="single" w:sz="4" w:space="0" w:color="000000"/>
              <w:left w:val="single" w:sz="4" w:space="0" w:color="auto"/>
              <w:bottom w:val="single" w:sz="4" w:space="0" w:color="000000"/>
              <w:right w:val="nil"/>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预期目标</w:t>
            </w:r>
          </w:p>
        </w:tc>
        <w:tc>
          <w:tcPr>
            <w:tcW w:w="723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实际完成目标</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5860"/>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5568" w:type="dxa"/>
            <w:gridSpan w:val="4"/>
            <w:tcBorders>
              <w:top w:val="single" w:sz="4" w:space="0" w:color="000000"/>
              <w:left w:val="single" w:sz="4" w:space="0" w:color="auto"/>
              <w:bottom w:val="single" w:sz="4" w:space="0" w:color="000000"/>
              <w:right w:val="single" w:sz="4" w:space="0" w:color="000000"/>
            </w:tcBorders>
            <w:shd w:val="clear" w:color="auto" w:fill="auto"/>
          </w:tcPr>
          <w:p>
            <w:pPr>
              <w:keepNext w:val="0"/>
              <w:keepLines w:val="0"/>
              <w:widowControl/>
              <w:suppressLineNumbers w:val="0"/>
              <w:jc w:val="left"/>
              <w:textAlignment w:val="top"/>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br/>
              <w:t>（一）大力促进就业创业。持续推进广元·川陕甘区域中心人力资源市场建设，主动融入成渝地区双城经济圈发展。进一步完善驻外农民工工作站服务功能，构建劳动力流出地和流入地衔接机制。围绕保障企业用工，开展到户到人岗位对接和点对点输送。大力开展订单、定向培训，强化校企合作，建设实训基地，加快推进企业新型学徒培训。（二）深化社会保障制度改革。进一步深入推进全民参保计划。以广覆盖、保增长为奋斗目标，努力挖掘新的扩面资源。切实做好社保扶贫与乡村振兴战略有效衔接，稳妥推进机关事业单位“中人”养老保险待遇核定兑现和见面工作。（三）加强人才人事工作。不断健全人才服务政策，赴高校和科研院所开展校政合作，引进高层次人才。深化事业单位人事制度改革，按照中央、省的统一安排，适时推进县以下事业单位管理岗位职员等级晋升制度工作，进一步优化基层事业单位工作人员结构，稳定基层事业单位工作人员队伍，拓展基层事业单位工作人员晋升空间。贯彻落实职称制度改革，加大民营企业专业技术人员职称破格评审工作力度。（四）构建和谐劳动关系。加强台账管理和常态监管，动态掌握工程项目落实实名制、工资专用账户、按人按月发放工资等情况。积极开展排查检查，结合根治欠薪夏季、冬季专项行动，狠抓工资保障制度落实特别是针对每年年底出现的农民工集中讨薪现象，从源头上做好预防工作。完善特殊工种提前退休公示程序和重大疑难工伤认定案件与法律顾问、法院、公安部门沟通协调机制。加大人社领域信访维稳工作协调力度，加强对基层调解组织的工作指导，促进基层调解组织发挥最大功效。</w:t>
            </w:r>
          </w:p>
        </w:tc>
        <w:tc>
          <w:tcPr>
            <w:tcW w:w="7232" w:type="dxa"/>
            <w:gridSpan w:val="8"/>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br/>
              <w:t>1、坚持就业优先战略，牢牢稳住就业“基本盘”。制定出台“就业20条”“大学生就业15条”等政策，全面落实补贴政策20项。</w:t>
              <w:br/>
              <w:t>2、织密社保民生网脉，不断扩大社保“覆盖面”。全区基本养老保险参保22万人，新增扩面5973人。</w:t>
              <w:br/>
              <w:t>3、推进人才引培工程，聚力打造人才“新洼地”。一是拓宽招才渠道，筑巢引凤纳贤。组织事业单位工作人员（含三支一扶人员）招聘考试9次，聘用（招募）271人；申报2022年智兴天府专家行·四川省专家智力服务项目4个，柔性引进高级职称以上专家10名，获批“智兴天府专家行·四川省专家智力服务联合行动广元行”项目1个。</w:t>
              <w:br/>
              <w:t>4、打造最优营商环境，唱响劳动关系“和谐曲”。</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outlineLvl w:val="9"/>
              <w:rPr>
                <w:rFonts w:ascii="宋体" w:eastAsia="宋体" w:cs="宋体" w:hAnsi="宋体" w:hint="eastAsia"/>
                <w:i w:val="0"/>
                <w:iCs w:val="0"/>
                <w:color w:val="000000"/>
                <w:kern w:val="0"/>
                <w:sz w:val="20"/>
                <w:szCs w:val="20"/>
                <w:u w:val="none"/>
                <w:lang w:val="en-US" w:eastAsia="zh-CN"/>
              </w:rPr>
            </w:pPr>
          </w:p>
        </w:tc>
      </w:tr>
      <w:tr>
        <w:trPr>
          <w:trHeight w:val="885"/>
        </w:trPr>
        <w:tc>
          <w:tcPr>
            <w:tcW w:w="90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w:t>
              <w:br/>
              <w:t>度</w:t>
              <w:br/>
              <w:t>绩</w:t>
              <w:br/>
              <w:t>效</w:t>
              <w:br/>
              <w:t>指</w:t>
              <w:br/>
              <w:t>标</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3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指标值（包含数字及文字描述）</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实际完成指标值（包含数字及文字描述）</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指标分值（满分100）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自评得分</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 xml:space="preserve"> 未完成原因及改进措施</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54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产出指标</w:t>
            </w:r>
          </w:p>
        </w:tc>
        <w:tc>
          <w:tcPr>
            <w:tcW w:w="3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数量指标</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实现城镇新增就业</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城镇新增就业11478人，完成目标任务的127.5%。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失业人员再就业</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按进步完成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就业困难人员就业</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按进度完成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第三季度城镇居民人均可支配收入增长率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按季度完成目标值</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完成就业见习</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按进度完成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库区移民转移就业</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按进度完成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60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深入推进全民参保计划，参加社会养老保险</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≥17.83万人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全区基本养老保险参保22万人，新增扩面5973人。</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2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质量指标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提高社保农保政策全民知晓度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社保农保政策全民知晓率进一步提高</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74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做好人才招引工作，组织事业单位人事考试共招聘</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≥5场次</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组织事业单位工作人员（含三支一扶人员）招聘考试9次，聘用（招募）271人；</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2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积极开展农民工讨薪维权工作，全年主动监察企业</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≥42户</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坚决依法打击恶意拖欠劳动者工资违法行为，移送欠薪案件8起，切实维护劳动者合法权益；</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130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处理举报投诉，受理12345政务服务热线电话交办件</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≥800件</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向社会公开劳动维权举报电话，12345政务服务热线电话交办件1081件，受理综合性投诉313件次，受理率、办结率100%。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154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指导、审查、立案共处理劳动争议案件</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≥460件</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完成劳动争议案件500余件，主导建立的雪峰寺社区劳动人事争议调解中心被人力资源社会保障部办公厅等四部门评为“2022年度工作突出基层劳动人事争议调解组织”</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2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人事代理退休人员退休工资发放准确率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按月足额发放</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2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移交教师退休人员退休工资发放准确率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按月足额发放</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0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时效指标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补贴资金在2022年12月31日前支付率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按时足额发放</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0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资金支付时间</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据实报销</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按时足额发放</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0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资金在规定时间内下达率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按时下达</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0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退休资金在规定时间内支付到位率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按时足额发放</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3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未就高校毕业生补贴标准</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1500/人/月</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1970/人/月</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金保每月维护费用</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9200元/月</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金保网络费每月维护费用≥10000元</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资金支付费用</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据实报销</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据实报销</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预计三支一扶缴纳费用</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16090元/月</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按时足额缴纳</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效益指标</w:t>
            </w:r>
          </w:p>
        </w:tc>
        <w:tc>
          <w:tcPr>
            <w:tcW w:w="3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经济效益</w:t>
              <w:br/>
              <w:t>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保障农民工工资率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按时足额发放</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人事代理退休人员财政补差人数</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全部补差到位</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移交教师退休人员财政补差人数</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181人</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全部补差到位</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社会效益</w:t>
              <w:br/>
              <w:t>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吸纳未就业高校毕业生就业率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金保工程运行维护畅通率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完全畅通</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提升就业创业率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6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通过政策宣传，提高社保政策全民知晓度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进一步提升全民知晓率</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6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效益指标</w:t>
            </w:r>
          </w:p>
        </w:tc>
        <w:tc>
          <w:tcPr>
            <w:tcW w:w="3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社会效益</w:t>
              <w:br/>
              <w:t>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社保农保机保工程运行维护畅通率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100%畅通</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4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人事代理和移交教师退休人员待遇发放率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发放率100%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生态效益</w:t>
              <w:br/>
              <w:t>指标</w:t>
            </w:r>
          </w:p>
        </w:tc>
        <w:tc>
          <w:tcPr>
            <w:tcW w:w="936"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失业人员再就业率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8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936"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贫困劳动力就业率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8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936"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养老保险成功发放率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发放率100%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8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936"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事业单位人员招考成功率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6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可持续影响</w:t>
              <w:br/>
              <w:t>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和谐劳动关系稳定率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信访案件处理率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6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确保未就业高校毕业生就业</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举办毕业生就业培训，多渠道提供就业岗位</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45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大众创业、万众创新作为推动经济社会发展</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激发创新活力，提供发展动力</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按目标任务完成</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32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w:t>
              <w:br/>
              <w:t>指标</w:t>
            </w:r>
          </w:p>
        </w:tc>
        <w:tc>
          <w:tcPr>
            <w:tcW w:w="3819"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补贴未就高校毕业生满意度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满意度≥95%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32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参保人满意度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满意度≥95%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32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就业正常享受人民满意度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满意度≥95%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满意度≥95%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270"/>
        </w:trPr>
        <w:tc>
          <w:tcPr>
            <w:tcW w:w="90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1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待遇补差人员满意度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满意度≥95%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outlineLvl w:val="9"/>
              <w:rPr>
                <w:rFonts w:ascii="宋体" w:eastAsia="宋体" w:cs="宋体" w:hAnsi="宋体" w:hint="eastAsia"/>
                <w:i w:val="0"/>
                <w:iCs w:val="0"/>
                <w:color w:val="000000"/>
                <w:sz w:val="20"/>
                <w:szCs w:val="20"/>
                <w:u w:val="none"/>
              </w:rPr>
            </w:pPr>
          </w:p>
        </w:tc>
      </w:tr>
      <w:tr>
        <w:trPr>
          <w:trHeight w:val="840"/>
        </w:trPr>
        <w:tc>
          <w:tcPr>
            <w:tcW w:w="33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自评结论</w:t>
            </w:r>
          </w:p>
        </w:tc>
        <w:tc>
          <w:tcPr>
            <w:tcW w:w="103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我局在各项目实施过程中，建立健全相关制度、机制，严格执行，推进各专项工作的落实。项目资金管理实行专项管理，严格审批制度，真正做到了专款专用，确保项目资金有效的利用。总体来说项目审核严格，管理到位，完成及时，社会效果良好。我单位按照《关于开展2022年部门政策和项目支出绩效评价工作的通知》（广利财发〔2022〕7号）绩效评价指标体系开展绩效评价。自评得分为98分。</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840"/>
        </w:trPr>
        <w:tc>
          <w:tcPr>
            <w:tcW w:w="33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自评存在问题</w:t>
            </w:r>
          </w:p>
        </w:tc>
        <w:tc>
          <w:tcPr>
            <w:tcW w:w="103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是2022年度，由于受疫情影响，我单位培训类、宣传类项目开展比预计有所减少，如新政策、新系统、新岗位的轮换等，使得人员培训继续提升；全民参保率、就业政策知晓度等也都还有待宣传的进一步加强；二是我单位实施绩效管理后财政预算资金管理精细化水平已有所提高，但是依然存在一些不足，特别是绩效指标设置的精准性、合理性有待进一步改善。</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1360"/>
        </w:trPr>
        <w:tc>
          <w:tcPr>
            <w:tcW w:w="33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自评改进措施</w:t>
            </w:r>
          </w:p>
        </w:tc>
        <w:tc>
          <w:tcPr>
            <w:tcW w:w="103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针对自评发现问题，我单位积极采取措施，进一步优化项目支出绩效管理：一是资金管理方面。加强预算编制准确性，提高资金执行率。我局在编制2023年度项目支出预算时，充分借鉴以往经验，进一步完善、细化预算科目，强化预算编制的准确性、科学性；同时，2023年预算执行过程中，加强日常财务管理，督促指导、及时通过面对面、短信、电话、微信等方式提醒各资金使用部门加快项目实施进度，切实提高资金使用效率。二是项目管理方面。加快预算执行过程管理，强化预算绩效监控。平时的绩效运行监控工作中，根据项目实施进度，及时向财政申请用款计划，保证项目正常推进。三是绩效管理方面。加强绩效管理，强化预算绩效管理意识，提高人员绩效管理水平，对项目绩效目标和指标设置把关，加强绩效目标和指标设置的科学性、合理性和规范性。</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270"/>
        </w:trPr>
        <w:tc>
          <w:tcPr>
            <w:tcW w:w="64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项目负责人：谢欣珉</w:t>
            </w:r>
          </w:p>
        </w:tc>
        <w:tc>
          <w:tcPr>
            <w:tcW w:w="723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财务负责人：韩琳玲</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kern w:val="0"/>
                <w:sz w:val="20"/>
                <w:szCs w:val="20"/>
                <w:u w:val="none"/>
                <w:lang w:val="en-US" w:eastAsia="zh-CN"/>
              </w:rPr>
            </w:pPr>
          </w:p>
        </w:tc>
      </w:tr>
      <w:tr>
        <w:trPr>
          <w:trHeight w:val="340"/>
        </w:trPr>
        <w:tc>
          <w:tcPr>
            <w:tcW w:w="13700" w:type="dxa"/>
            <w:gridSpan w:val="13"/>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注：部门整体支出绩效目标自评表在年度预算执行完毕后填报。</w:t>
            </w:r>
          </w:p>
        </w:tc>
        <w:tc>
          <w:tcPr>
            <w:tcW w:w="788"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kern w:val="0"/>
                <w:sz w:val="22"/>
                <w:szCs w:val="22"/>
                <w:u w:val="none"/>
                <w:lang w:val="en-US" w:eastAsia="zh-CN"/>
              </w:rPr>
            </w:pPr>
          </w:p>
        </w:tc>
      </w:tr>
      <w:tr>
        <w:trPr>
          <w:trHeight w:val="340"/>
        </w:trPr>
        <w:tc>
          <w:tcPr>
            <w:tcW w:w="13700" w:type="dxa"/>
            <w:gridSpan w:val="13"/>
            <w:tcBorders>
              <w:top w:val="single" w:sz="4" w:space="0" w:color="000000"/>
              <w:left w:val="nil"/>
              <w:bottom w:val="nil"/>
              <w:right w:val="nil"/>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kern w:val="0"/>
                <w:sz w:val="22"/>
                <w:szCs w:val="22"/>
                <w:u w:val="none"/>
                <w:lang w:val="en-US" w:eastAsia="zh-CN"/>
              </w:rPr>
            </w:pPr>
          </w:p>
        </w:tc>
        <w:tc>
          <w:tcPr>
            <w:tcW w:w="788" w:type="dxa"/>
            <w:tcBorders>
              <w:top w:val="single" w:sz="4" w:space="0" w:color="000000"/>
              <w:left w:val="nil"/>
              <w:bottom w:val="nil"/>
              <w:right w:val="nil"/>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kern w:val="0"/>
                <w:sz w:val="22"/>
                <w:szCs w:val="22"/>
                <w:u w:val="none"/>
                <w:lang w:val="en-US" w:eastAsia="zh-CN"/>
              </w:rPr>
            </w:pPr>
          </w:p>
        </w:tc>
      </w:tr>
    </w:tbl>
    <w:p>
      <w:pPr>
        <w:pStyle w:val="17"/>
        <w:outlineLvl w:val="9"/>
        <w:rPr>
          <w:rFonts w:cs="宋体" w:hAnsi="宋体" w:hint="eastAsia"/>
          <w:color w:val="auto"/>
          <w:kern w:val="0"/>
          <w:sz w:val="32"/>
          <w:szCs w:val="32"/>
          <w:shd w:val="clear" w:color="auto" w:fill="FFFFFF"/>
          <w:lang w:val="zh-CN"/>
          <w:highlight w:val="auto"/>
        </w:rPr>
      </w:pPr>
    </w:p>
    <w:p>
      <w:pPr>
        <w:pStyle w:val="17"/>
        <w:outlineLvl w:val="9"/>
        <w:rPr>
          <w:rFonts w:cs="宋体" w:hAnsi="宋体" w:hint="eastAsia"/>
          <w:color w:val="auto"/>
          <w:kern w:val="0"/>
          <w:sz w:val="32"/>
          <w:szCs w:val="32"/>
          <w:shd w:val="clear" w:color="auto" w:fill="FFFFFF"/>
          <w:lang w:val="zh-CN"/>
          <w:highlight w:val="auto"/>
        </w:rPr>
        <w:sectPr>
          <w:footerReference w:type="default" r:id="rId14"/>
          <w:footerReference w:type="first" r:id="rId15"/>
          <w:pgSz w:w="16838" w:h="11906" w:orient="landscape"/>
          <w:pgMar w:top="1800" w:right="1440" w:bottom="1800" w:left="1440" w:header="851" w:footer="992" w:gutter="0"/>
          <w:pgNumType/>
          <w:cols w:num="1" w:space="425"/>
          <w:titlePg/>
          <w:docGrid w:type="lines" w:linePitch="312" w:charSpace="0"/>
        </w:sectPr>
      </w:pPr>
    </w:p>
    <w:p>
      <w:pPr>
        <w:pStyle w:val="17"/>
        <w:outlineLvl w:val="9"/>
        <w:rPr>
          <w:rFonts w:eastAsia="仿宋_GB2312"/>
          <w:color w:val="auto"/>
          <w:sz w:val="32"/>
          <w:szCs w:val="32"/>
          <w:lang w:val="en-US" w:eastAsia="zh-CN"/>
          <w:highlight w:val="auto"/>
        </w:rPr>
      </w:pPr>
      <w:r>
        <w:rPr>
          <w:rFonts w:cs="宋体" w:hAnsi="宋体" w:hint="eastAsia"/>
          <w:color w:val="auto"/>
          <w:kern w:val="0"/>
          <w:sz w:val="32"/>
          <w:szCs w:val="32"/>
          <w:shd w:val="clear" w:color="auto" w:fill="FFFFFF"/>
          <w:lang w:val="zh-CN"/>
          <w:highlight w:val="auto"/>
        </w:rPr>
        <w:t>附件</w:t>
      </w:r>
      <w:r>
        <w:rPr>
          <w:rFonts w:cs="宋体" w:hAnsi="宋体" w:hint="eastAsia"/>
          <w:color w:val="auto"/>
          <w:kern w:val="0"/>
          <w:sz w:val="32"/>
          <w:szCs w:val="32"/>
          <w:shd w:val="clear" w:color="auto" w:fill="FFFFFF"/>
          <w:lang w:val="en-US" w:eastAsia="zh-CN"/>
          <w:highlight w:val="auto"/>
        </w:rPr>
        <w:t>2</w:t>
      </w:r>
    </w:p>
    <w:p>
      <w:pPr>
        <w:pStyle w:val="36"/>
        <w:keepNext w:val="0"/>
        <w:keepLines w:val="0"/>
        <w:pageBreakBefore w:val="0"/>
        <w:widowControl w:val="0"/>
        <w:kinsoku/>
        <w:wordWrap/>
        <w:overflowPunct/>
        <w:topLinePunct w:val="0"/>
        <w:autoSpaceDE/>
        <w:autoSpaceDN/>
        <w:bidi w:val="0"/>
        <w:spacing w:line="576" w:lineRule="exact"/>
        <w:jc w:val="center"/>
        <w:textAlignment w:val="auto"/>
        <w:outlineLvl w:val="9"/>
        <w:rPr>
          <w:rFonts w:ascii="方正小标宋简体" w:eastAsia="方正小标宋简体" w:cs="方正小标宋简体" w:hAnsi="方正小标宋简体" w:hint="eastAsia"/>
          <w:b w:val="0"/>
          <w:bCs/>
          <w:sz w:val="44"/>
          <w:szCs w:val="44"/>
        </w:rPr>
      </w:pPr>
      <w:r>
        <w:rPr>
          <w:rFonts w:ascii="方正小标宋简体" w:eastAsia="方正小标宋简体" w:cs="方正小标宋简体" w:hAnsi="方正小标宋简体" w:hint="eastAsia"/>
          <w:b w:val="0"/>
          <w:bCs/>
          <w:sz w:val="44"/>
          <w:szCs w:val="44"/>
        </w:rPr>
        <w:t>202</w:t>
      </w:r>
      <w:r>
        <w:rPr>
          <w:rFonts w:ascii="方正小标宋简体" w:eastAsia="方正小标宋简体" w:cs="方正小标宋简体" w:hAnsi="方正小标宋简体" w:hint="eastAsia"/>
          <w:b w:val="0"/>
          <w:bCs/>
          <w:sz w:val="44"/>
          <w:szCs w:val="44"/>
          <w:lang w:val="en-US" w:eastAsia="zh-CN"/>
        </w:rPr>
        <w:t>3</w:t>
      </w:r>
      <w:r>
        <w:rPr>
          <w:rFonts w:ascii="方正小标宋简体" w:eastAsia="方正小标宋简体" w:cs="方正小标宋简体" w:hAnsi="方正小标宋简体" w:hint="eastAsia"/>
          <w:b w:val="0"/>
          <w:bCs/>
          <w:sz w:val="44"/>
          <w:szCs w:val="44"/>
        </w:rPr>
        <w:t>年</w:t>
      </w:r>
      <w:r>
        <w:rPr>
          <w:rFonts w:ascii="方正小标宋简体" w:eastAsia="方正小标宋简体" w:cs="方正小标宋简体" w:hAnsi="方正小标宋简体" w:hint="eastAsia"/>
          <w:b w:val="0"/>
          <w:bCs/>
          <w:sz w:val="44"/>
          <w:szCs w:val="44"/>
          <w:lang w:eastAsia="zh-CN"/>
        </w:rPr>
        <w:t>专项资金预算</w:t>
      </w:r>
      <w:r>
        <w:rPr>
          <w:rFonts w:ascii="方正小标宋简体" w:eastAsia="方正小标宋简体" w:cs="方正小标宋简体" w:hAnsi="方正小标宋简体" w:hint="eastAsia"/>
          <w:b w:val="0"/>
          <w:bCs/>
          <w:sz w:val="44"/>
          <w:szCs w:val="44"/>
        </w:rPr>
        <w:t>项目支出绩效</w:t>
      </w:r>
    </w:p>
    <w:p>
      <w:pPr>
        <w:pStyle w:val="36"/>
        <w:keepNext w:val="0"/>
        <w:keepLines w:val="0"/>
        <w:pageBreakBefore w:val="0"/>
        <w:widowControl w:val="0"/>
        <w:kinsoku/>
        <w:wordWrap/>
        <w:overflowPunct/>
        <w:topLinePunct w:val="0"/>
        <w:autoSpaceDE/>
        <w:autoSpaceDN/>
        <w:bidi w:val="0"/>
        <w:spacing w:line="576" w:lineRule="exact"/>
        <w:jc w:val="center"/>
        <w:textAlignment w:val="auto"/>
        <w:outlineLvl w:val="9"/>
        <w:rPr>
          <w:rFonts w:ascii="方正小标宋简体" w:eastAsia="方正小标宋简体" w:cs="方正小标宋简体" w:hAnsi="方正小标宋简体" w:hint="eastAsia"/>
          <w:b w:val="0"/>
          <w:bCs/>
          <w:color w:val="auto"/>
          <w:kern w:val="2"/>
          <w:sz w:val="44"/>
          <w:szCs w:val="44"/>
        </w:rPr>
      </w:pPr>
      <w:r>
        <w:rPr>
          <w:rFonts w:ascii="方正小标宋简体" w:eastAsia="方正小标宋简体" w:cs="方正小标宋简体" w:hAnsi="方正小标宋简体" w:hint="eastAsia"/>
          <w:b w:val="0"/>
          <w:bCs/>
          <w:sz w:val="44"/>
          <w:szCs w:val="44"/>
        </w:rPr>
        <w:t>自评报告</w:t>
      </w:r>
    </w:p>
    <w:p>
      <w:pPr>
        <w:keepNext w:val="0"/>
        <w:keepLines w:val="0"/>
        <w:pageBreakBefore w:val="0"/>
        <w:widowControl w:val="0"/>
        <w:kinsoku/>
        <w:wordWrap/>
        <w:overflowPunct/>
        <w:topLinePunct w:val="0"/>
        <w:autoSpaceDE/>
        <w:autoSpaceDN/>
        <w:bidi w:val="0"/>
        <w:spacing w:line="576" w:lineRule="exact"/>
        <w:jc w:val="center"/>
        <w:textAlignment w:val="auto"/>
        <w:outlineLvl w:val="9"/>
        <w:rPr>
          <w:rFonts w:ascii="仿宋_GB2312" w:hAnsi="宋体" w:hint="eastAsia"/>
          <w:szCs w:val="32"/>
        </w:rPr>
      </w:pPr>
    </w:p>
    <w:p>
      <w:pPr>
        <w:keepNext w:val="0"/>
        <w:keepLines w:val="0"/>
        <w:pageBreakBefore w:val="0"/>
        <w:widowControl w:val="0"/>
        <w:kinsoku/>
        <w:wordWrap/>
        <w:overflowPunct/>
        <w:topLinePunct w:val="0"/>
        <w:autoSpaceDE/>
        <w:autoSpaceDN/>
        <w:bidi w:val="0"/>
        <w:spacing w:line="576" w:lineRule="exact"/>
        <w:jc w:val="center"/>
        <w:textAlignment w:val="auto"/>
        <w:outlineLvl w:val="9"/>
        <w:rPr>
          <w:rFonts w:ascii="仿宋_GB2312" w:hAnsi="宋体" w:hint="eastAsia"/>
          <w:szCs w:val="32"/>
        </w:rPr>
      </w:pPr>
      <w:r>
        <w:rPr>
          <w:rFonts w:ascii="仿宋_GB2312" w:hAnsi="宋体" w:hint="eastAsia"/>
          <w:szCs w:val="32"/>
        </w:rPr>
        <w:t>（城乡居民养老保险基础养老金</w:t>
      </w:r>
      <w:r>
        <w:rPr>
          <w:rFonts w:ascii="仿宋_GB2312" w:hAnsi="宋体" w:hint="eastAsia"/>
          <w:szCs w:val="32"/>
          <w:lang w:eastAsia="zh-CN"/>
        </w:rPr>
        <w:t>中央</w:t>
      </w:r>
      <w:r>
        <w:rPr>
          <w:rFonts w:ascii="仿宋_GB2312" w:hAnsi="宋体" w:hint="eastAsia"/>
          <w:szCs w:val="32"/>
        </w:rPr>
        <w:t>补贴</w:t>
      </w:r>
      <w:r>
        <w:rPr>
          <w:rFonts w:ascii="仿宋_GB2312" w:hAnsi="宋体" w:hint="eastAsia"/>
          <w:szCs w:val="32"/>
          <w:lang w:eastAsia="zh-CN"/>
        </w:rPr>
        <w:t>及省级基础养老金及</w:t>
      </w:r>
      <w:r>
        <w:rPr>
          <w:rFonts w:ascii="仿宋_GB2312" w:hAnsi="宋体" w:hint="eastAsia"/>
          <w:szCs w:val="32"/>
        </w:rPr>
        <w:t>缴费补贴项目）</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jc w:val="both"/>
        <w:textAlignment w:val="auto"/>
        <w:outlineLvl w:val="9"/>
        <w:rPr>
          <w:rFonts w:ascii="仿宋_GB2312" w:eastAsia="仿宋_GB2312" w:cs="仿宋_GB2312" w:hAnsi="仿宋_GB2312" w:hint="eastAsia"/>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为规范和加强预算绩效管理，提高预算资金管理水平，合理配置资源，优化支出结构，规范预算资金分配，充分发挥财政资金使用效益，根据《广元市利州区财政局关于开展2022年度政策和项目支出重点绩效评价工作的通知》（广利财绩〔2023〕4号）文件要求，现将本中心2022年度城乡居民基本养老保险财政政策支出绩效评价报告如下：</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黑体" w:eastAsia="黑体" w:hAnsi="宋体" w:hint="eastAsia"/>
          <w:b/>
          <w:bCs/>
          <w:sz w:val="32"/>
          <w:szCs w:val="32"/>
          <w:lang w:val="zh-CN"/>
        </w:rPr>
      </w:pPr>
      <w:r>
        <w:rPr>
          <w:rFonts w:ascii="黑体" w:eastAsia="黑体" w:hAnsi="宋体" w:hint="eastAsia"/>
          <w:b/>
          <w:bCs/>
          <w:sz w:val="32"/>
          <w:szCs w:val="32"/>
        </w:rPr>
        <w:t>一、</w:t>
      </w:r>
      <w:r>
        <w:rPr>
          <w:rFonts w:ascii="黑体" w:eastAsia="黑体" w:hAnsi="宋体" w:hint="eastAsia"/>
          <w:b/>
          <w:bCs/>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（一）项目基本情况。</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color w:val="auto"/>
          <w:sz w:val="30"/>
          <w:szCs w:val="30"/>
          <w:lang w:val="en-US" w:eastAsia="zh-CN"/>
          <w:highlight w:val="auto"/>
        </w:rPr>
      </w:pPr>
      <w:r>
        <w:rPr>
          <w:rFonts w:ascii="仿宋_GB2312" w:eastAsia="仿宋_GB2312" w:cs="仿宋_GB2312" w:hAnsi="仿宋_GB2312" w:hint="eastAsia"/>
          <w:color w:val="auto"/>
          <w:sz w:val="30"/>
          <w:szCs w:val="30"/>
          <w:lang w:val="zh-CN" w:eastAsia="zh-CN"/>
          <w:highlight w:val="auto"/>
        </w:rPr>
        <w:t>按照《广元市人民政府关于建立统一的城乡居民基本养老保险制度的实施意见》（川府发【2014】2</w:t>
      </w:r>
      <w:r>
        <w:rPr>
          <w:rFonts w:ascii="仿宋_GB2312" w:eastAsia="仿宋_GB2312" w:cs="仿宋_GB2312" w:hAnsi="仿宋_GB2312" w:hint="eastAsia"/>
          <w:color w:val="auto"/>
          <w:sz w:val="30"/>
          <w:szCs w:val="30"/>
          <w:lang w:val="en-US" w:eastAsia="zh-CN"/>
          <w:highlight w:val="auto"/>
        </w:rPr>
        <w:t>9</w:t>
      </w:r>
      <w:r>
        <w:rPr>
          <w:rFonts w:ascii="仿宋_GB2312" w:eastAsia="仿宋_GB2312" w:cs="仿宋_GB2312" w:hAnsi="仿宋_GB2312" w:hint="eastAsia"/>
          <w:color w:val="auto"/>
          <w:sz w:val="30"/>
          <w:szCs w:val="30"/>
          <w:lang w:val="zh-CN" w:eastAsia="zh-CN"/>
          <w:highlight w:val="auto"/>
        </w:rPr>
        <w:t>号）文件基金筹集第三条政府补贴 “政府对符合领取城乡居民养老保险待遇条件的参保人全额支付基础养老金。国家规定标准的基础养老金由中央财政全额补助。地方人民政府应当对参保人缴费给予补贴，补贴标准不低于40元/年.人。除省级财政根据我市各县区人数、财力、民族、扩权等因素分档次补助外，其余部分，非扩权试点县区按</w:t>
      </w:r>
      <w:r>
        <w:rPr>
          <w:rFonts w:ascii="仿宋_GB2312" w:eastAsia="仿宋_GB2312" w:cs="仿宋_GB2312" w:hAnsi="仿宋_GB2312" w:hint="eastAsia"/>
          <w:color w:val="auto"/>
          <w:sz w:val="30"/>
          <w:szCs w:val="30"/>
          <w:lang w:val="en-US" w:eastAsia="zh-CN"/>
          <w:highlight w:val="auto"/>
        </w:rPr>
        <w:t>3:7的比例由市、区两级财政共同分担。</w:t>
      </w:r>
      <w:r>
        <w:rPr>
          <w:rFonts w:ascii="仿宋_GB2312" w:eastAsia="仿宋_GB2312" w:cs="仿宋_GB2312" w:hAnsi="仿宋_GB2312" w:hint="eastAsia"/>
          <w:color w:val="auto"/>
          <w:sz w:val="30"/>
          <w:szCs w:val="30"/>
          <w:lang w:val="zh-CN" w:eastAsia="zh-CN"/>
          <w:highlight w:val="auto"/>
        </w:rPr>
        <w:t>”之规定，由各经办机构上年编制预算方案，省人社厅审核，并结合上年度城乡居民基本养老待遇领取平均人数作为当年国家基础养老金预算基数下达预算，次年根据实际基金支付情况进行结算，多退少补。</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outlineLvl w:val="9"/>
        <w:rPr>
          <w:rFonts w:ascii="仿宋_GB2312" w:eastAsia="仿宋_GB2312" w:cs="仿宋_GB2312" w:hAnsi="仿宋_GB2312" w:hint="eastAsia"/>
          <w:color w:val="auto"/>
          <w:sz w:val="30"/>
          <w:szCs w:val="30"/>
          <w:lang w:val="en-US" w:eastAsia="zh-CN"/>
          <w:highlight w:val="auto"/>
        </w:rPr>
      </w:pPr>
      <w:r>
        <w:rPr>
          <w:rFonts w:ascii="楷体_GB2312" w:eastAsia="楷体_GB2312" w:cs="Times New Roman" w:hAnsi="宋体" w:hint="eastAsia"/>
          <w:b/>
          <w:sz w:val="32"/>
          <w:szCs w:val="32"/>
          <w:lang w:val="zh-CN"/>
        </w:rPr>
        <w:t>（二）项目绩效目标。</w:t>
      </w:r>
      <w:r>
        <w:rPr>
          <w:rFonts w:ascii="仿宋_GB2312" w:eastAsia="仿宋_GB2312" w:cs="仿宋_GB2312" w:hAnsi="仿宋_GB2312" w:hint="eastAsia"/>
          <w:color w:val="auto"/>
          <w:sz w:val="30"/>
          <w:szCs w:val="30"/>
          <w:lang w:val="zh-CN" w:eastAsia="zh-CN"/>
          <w:highlight w:val="auto"/>
        </w:rPr>
        <w:t>2022年城乡居民养老保险领取待遇中国家基础养老金补贴项目，主要用于符合城乡居民养老保险待遇领取条件人员的国家基础养老金发放。202</w:t>
      </w:r>
      <w:r>
        <w:rPr>
          <w:rFonts w:ascii="仿宋_GB2312" w:eastAsia="仿宋_GB2312" w:cs="仿宋_GB2312" w:hAnsi="仿宋_GB2312" w:hint="eastAsia"/>
          <w:color w:val="auto"/>
          <w:sz w:val="30"/>
          <w:szCs w:val="30"/>
          <w:lang w:val="en-US" w:eastAsia="zh-CN"/>
          <w:highlight w:val="auto"/>
        </w:rPr>
        <w:t>2</w:t>
      </w:r>
      <w:r>
        <w:rPr>
          <w:rFonts w:ascii="仿宋_GB2312" w:eastAsia="仿宋_GB2312" w:cs="仿宋_GB2312" w:hAnsi="仿宋_GB2312" w:hint="eastAsia"/>
          <w:color w:val="auto"/>
          <w:sz w:val="30"/>
          <w:szCs w:val="30"/>
          <w:lang w:val="zh-CN" w:eastAsia="zh-CN"/>
          <w:highlight w:val="auto"/>
        </w:rPr>
        <w:t>年发放</w:t>
      </w:r>
      <w:r>
        <w:rPr>
          <w:rFonts w:ascii="仿宋_GB2312" w:eastAsia="仿宋_GB2312" w:cs="仿宋_GB2312" w:hAnsi="仿宋_GB2312" w:hint="eastAsia"/>
          <w:color w:val="auto"/>
          <w:sz w:val="30"/>
          <w:szCs w:val="30"/>
          <w:lang w:val="en-US" w:eastAsia="zh-CN"/>
          <w:highlight w:val="auto"/>
        </w:rPr>
        <w:t>26431</w:t>
      </w:r>
      <w:r>
        <w:rPr>
          <w:rFonts w:ascii="仿宋_GB2312" w:eastAsia="仿宋_GB2312" w:cs="仿宋_GB2312" w:hAnsi="仿宋_GB2312" w:hint="eastAsia"/>
          <w:color w:val="auto"/>
          <w:sz w:val="30"/>
          <w:szCs w:val="30"/>
          <w:lang w:val="zh-CN" w:eastAsia="zh-CN"/>
          <w:highlight w:val="auto"/>
        </w:rPr>
        <w:t>人，全年发放基础养老金</w:t>
      </w:r>
      <w:r>
        <w:rPr>
          <w:rFonts w:ascii="仿宋_GB2312" w:eastAsia="仿宋_GB2312" w:cs="仿宋_GB2312" w:hAnsi="仿宋_GB2312" w:hint="eastAsia"/>
          <w:color w:val="auto"/>
          <w:sz w:val="30"/>
          <w:szCs w:val="30"/>
          <w:lang w:val="en-US" w:eastAsia="zh-CN"/>
          <w:highlight w:val="auto"/>
        </w:rPr>
        <w:t>3568.82万</w:t>
      </w:r>
      <w:r>
        <w:rPr>
          <w:rFonts w:ascii="仿宋_GB2312" w:eastAsia="仿宋_GB2312" w:cs="仿宋_GB2312" w:hAnsi="仿宋_GB2312" w:hint="eastAsia"/>
          <w:color w:val="auto"/>
          <w:sz w:val="30"/>
          <w:szCs w:val="30"/>
          <w:lang w:val="zh-CN" w:eastAsia="zh-CN"/>
          <w:highlight w:val="auto"/>
        </w:rPr>
        <w:t>元。</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zh-CN" w:eastAsia="zh-CN"/>
          <w:highlight w:val="auto"/>
        </w:rPr>
        <w:t>2022年城乡居民参保缴费人员缴费补贴</w:t>
      </w:r>
      <w:r>
        <w:rPr>
          <w:rFonts w:ascii="仿宋_GB2312" w:eastAsia="仿宋_GB2312" w:cs="仿宋_GB2312" w:hAnsi="仿宋_GB2312" w:hint="eastAsia"/>
          <w:color w:val="auto"/>
          <w:sz w:val="30"/>
          <w:szCs w:val="30"/>
          <w:lang w:val="en-US" w:eastAsia="zh-CN"/>
          <w:highlight w:val="auto"/>
        </w:rPr>
        <w:t>53874</w:t>
      </w:r>
      <w:r>
        <w:rPr>
          <w:rFonts w:ascii="仿宋_GB2312" w:eastAsia="仿宋_GB2312" w:cs="仿宋_GB2312" w:hAnsi="仿宋_GB2312" w:hint="eastAsia"/>
          <w:color w:val="auto"/>
          <w:sz w:val="30"/>
          <w:szCs w:val="30"/>
          <w:lang w:val="zh-CN" w:eastAsia="zh-CN"/>
          <w:highlight w:val="auto"/>
        </w:rPr>
        <w:t>人，根据缴费档次，补贴标准为</w:t>
      </w:r>
      <w:r>
        <w:rPr>
          <w:rFonts w:ascii="仿宋_GB2312" w:eastAsia="仿宋_GB2312" w:cs="仿宋_GB2312" w:hAnsi="仿宋_GB2312" w:hint="eastAsia"/>
          <w:color w:val="auto"/>
          <w:sz w:val="30"/>
          <w:szCs w:val="30"/>
          <w:lang w:val="en-US" w:eastAsia="zh-CN"/>
          <w:highlight w:val="auto"/>
        </w:rPr>
        <w:t>40-280元。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Times New Roman" w:hAnsi="宋体" w:hint="eastAsia"/>
          <w:b/>
          <w:sz w:val="32"/>
          <w:szCs w:val="32"/>
          <w:lang w:val="en-US" w:eastAsia="zh-CN"/>
        </w:rPr>
      </w:pPr>
      <w:r>
        <w:rPr>
          <w:rFonts w:ascii="楷体_GB2312" w:eastAsia="楷体_GB2312" w:cs="Times New Roman" w:hAnsi="宋体" w:hint="eastAsia"/>
          <w:b/>
          <w:sz w:val="32"/>
          <w:szCs w:val="32"/>
          <w:lang w:val="en-US" w:eastAsia="zh-CN"/>
        </w:rPr>
        <w:t>项目自评步骤及方法。</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一是高度重视，加强组织领导。成立了以分管局长为组长、中心主任为副组长，中心各股室业务骨干为成员的基金财务专项检查工作领导小组，明确了工作职责及工作要求。二是统筹力量，真查实排。确定此次绩效自评工作为我中心的首要工作，由社保中心基金财务股统筹力量，对照2023年财政绩效评价工作通知，填写项目支出绩效自评表，撰写自评报告，认真做好自评工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黑体" w:eastAsia="黑体" w:cs="Times New Roman" w:hAnsi="宋体" w:hint="eastAsia"/>
          <w:b/>
          <w:bCs/>
          <w:sz w:val="32"/>
          <w:szCs w:val="32"/>
          <w:lang w:val="en-US" w:eastAsia="zh-CN"/>
        </w:rPr>
      </w:pPr>
      <w:r>
        <w:rPr>
          <w:rFonts w:ascii="黑体" w:eastAsia="黑体" w:cs="Times New Roman" w:hAnsi="宋体" w:hint="eastAsia"/>
          <w:b/>
          <w:bCs/>
          <w:sz w:val="32"/>
          <w:szCs w:val="32"/>
          <w:lang w:val="en-US" w:eastAsia="zh-CN"/>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Times New Roman" w:hAnsi="宋体" w:hint="eastAsia"/>
          <w:b/>
          <w:color w:val="000000"/>
          <w:sz w:val="32"/>
          <w:szCs w:val="32"/>
          <w:lang w:val="zh-CN" w:eastAsia="zh-CN"/>
        </w:rPr>
      </w:pPr>
      <w:r>
        <w:rPr>
          <w:rFonts w:ascii="楷体_GB2312" w:eastAsia="楷体_GB2312" w:cs="Times New Roman" w:hAnsi="宋体" w:hint="eastAsia"/>
          <w:b/>
          <w:color w:val="000000"/>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zh-CN" w:eastAsia="zh-CN"/>
          <w:highlight w:val="auto"/>
        </w:rPr>
        <w:t>根据川人社发【202</w:t>
      </w:r>
      <w:r>
        <w:rPr>
          <w:rFonts w:ascii="仿宋_GB2312" w:eastAsia="仿宋_GB2312" w:cs="仿宋_GB2312" w:hAnsi="仿宋_GB2312" w:hint="eastAsia"/>
          <w:color w:val="auto"/>
          <w:sz w:val="30"/>
          <w:szCs w:val="30"/>
          <w:lang w:val="en-US" w:eastAsia="zh-CN"/>
          <w:highlight w:val="auto"/>
        </w:rPr>
        <w:t>2</w:t>
      </w:r>
      <w:r>
        <w:rPr>
          <w:rFonts w:ascii="仿宋_GB2312" w:eastAsia="仿宋_GB2312" w:cs="仿宋_GB2312" w:hAnsi="仿宋_GB2312" w:hint="eastAsia"/>
          <w:color w:val="auto"/>
          <w:sz w:val="30"/>
          <w:szCs w:val="30"/>
          <w:lang w:val="zh-CN" w:eastAsia="zh-CN"/>
          <w:highlight w:val="auto"/>
        </w:rPr>
        <w:t>】</w:t>
      </w:r>
      <w:r>
        <w:rPr>
          <w:rFonts w:ascii="仿宋_GB2312" w:eastAsia="仿宋_GB2312" w:cs="仿宋_GB2312" w:hAnsi="仿宋_GB2312" w:hint="eastAsia"/>
          <w:color w:val="auto"/>
          <w:sz w:val="30"/>
          <w:szCs w:val="30"/>
          <w:lang w:val="en-US" w:eastAsia="zh-CN"/>
          <w:highlight w:val="auto"/>
        </w:rPr>
        <w:t>20</w:t>
      </w:r>
      <w:r>
        <w:rPr>
          <w:rFonts w:ascii="仿宋_GB2312" w:eastAsia="仿宋_GB2312" w:cs="仿宋_GB2312" w:hAnsi="仿宋_GB2312" w:hint="eastAsia"/>
          <w:color w:val="auto"/>
          <w:sz w:val="30"/>
          <w:szCs w:val="30"/>
          <w:lang w:val="zh-CN" w:eastAsia="zh-CN"/>
          <w:highlight w:val="auto"/>
        </w:rPr>
        <w:t>号文件及广人社函【202</w:t>
      </w:r>
      <w:r>
        <w:rPr>
          <w:rFonts w:ascii="仿宋_GB2312" w:eastAsia="仿宋_GB2312" w:cs="仿宋_GB2312" w:hAnsi="仿宋_GB2312" w:hint="eastAsia"/>
          <w:color w:val="auto"/>
          <w:sz w:val="30"/>
          <w:szCs w:val="30"/>
          <w:lang w:val="en-US" w:eastAsia="zh-CN"/>
          <w:highlight w:val="auto"/>
        </w:rPr>
        <w:t>2</w:t>
      </w:r>
      <w:r>
        <w:rPr>
          <w:rFonts w:ascii="仿宋_GB2312" w:eastAsia="仿宋_GB2312" w:cs="仿宋_GB2312" w:hAnsi="仿宋_GB2312" w:hint="eastAsia"/>
          <w:color w:val="auto"/>
          <w:sz w:val="30"/>
          <w:szCs w:val="30"/>
          <w:lang w:val="zh-CN" w:eastAsia="zh-CN"/>
          <w:highlight w:val="auto"/>
        </w:rPr>
        <w:t>】</w:t>
      </w:r>
      <w:r>
        <w:rPr>
          <w:rFonts w:ascii="仿宋_GB2312" w:eastAsia="仿宋_GB2312" w:cs="仿宋_GB2312" w:hAnsi="仿宋_GB2312" w:hint="eastAsia"/>
          <w:color w:val="auto"/>
          <w:sz w:val="30"/>
          <w:szCs w:val="30"/>
          <w:lang w:val="en-US" w:eastAsia="zh-CN"/>
          <w:highlight w:val="auto"/>
        </w:rPr>
        <w:t>458</w:t>
      </w:r>
      <w:r>
        <w:rPr>
          <w:rFonts w:ascii="仿宋_GB2312" w:eastAsia="仿宋_GB2312" w:cs="仿宋_GB2312" w:hAnsi="仿宋_GB2312" w:hint="eastAsia"/>
          <w:color w:val="auto"/>
          <w:sz w:val="30"/>
          <w:szCs w:val="30"/>
          <w:lang w:val="zh-CN" w:eastAsia="zh-CN"/>
          <w:highlight w:val="auto"/>
        </w:rPr>
        <w:t>号文件精神：</w:t>
      </w:r>
      <w:r>
        <w:rPr>
          <w:rFonts w:ascii="仿宋_GB2312" w:eastAsia="仿宋_GB2312" w:cs="仿宋_GB2312" w:hAnsi="仿宋_GB2312" w:hint="eastAsia"/>
          <w:color w:val="auto"/>
          <w:sz w:val="30"/>
          <w:szCs w:val="30"/>
          <w:lang w:val="en-US" w:eastAsia="zh-CN"/>
          <w:highlight w:val="auto"/>
        </w:rPr>
        <w:t>1.从2022年1月1日起，我省城乡居民基本养老保险基础养老金最低标准提高到每人每月110元，即在每人每月105元的基础上增加5元。增加基础养老金所需资金由省市县财政共同负担，承担比例分别是20%、24%、56%; 2.根据《四川省人力资源和社会保障厅、四川省财政厅关于2022年提高城乡居民基本养老保险基础养老金最低标准的通知》（川人社办发〔2022〕63号）文件精神，自2022年7月1日起，我省城乡居民基础养老金最低标准提高到每人每月115元，即在每人每月110元的基础上增加5元，提高标准所需资金由中央财政全额补助。</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Times New Roman" w:hAnsi="宋体" w:hint="eastAsia"/>
          <w:b/>
          <w:color w:val="000000"/>
          <w:sz w:val="32"/>
          <w:szCs w:val="32"/>
          <w:lang w:val="zh-CN" w:eastAsia="zh-CN"/>
        </w:rPr>
      </w:pPr>
      <w:r>
        <w:rPr>
          <w:rFonts w:ascii="楷体_GB2312" w:eastAsia="楷体_GB2312" w:cs="Times New Roman" w:hAnsi="宋体" w:hint="eastAsia"/>
          <w:b/>
          <w:color w:val="000000"/>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1、资金计划及到位。财政补贴的中央基础养老金</w:t>
      </w:r>
      <w:r>
        <w:rPr>
          <w:rFonts w:ascii="仿宋_GB2312" w:eastAsia="仿宋_GB2312" w:cs="仿宋_GB2312" w:hAnsi="仿宋_GB2312" w:hint="eastAsia"/>
          <w:color w:val="auto"/>
          <w:sz w:val="30"/>
          <w:szCs w:val="30"/>
          <w:lang w:val="en-US" w:eastAsia="zh-CN"/>
          <w:highlight w:val="auto"/>
        </w:rPr>
        <w:t>2889.51万元</w:t>
      </w:r>
      <w:r>
        <w:rPr>
          <w:rFonts w:ascii="仿宋_GB2312" w:eastAsia="仿宋_GB2312" w:cs="仿宋_GB2312" w:hAnsi="仿宋_GB2312" w:hint="eastAsia"/>
          <w:color w:val="auto"/>
          <w:sz w:val="30"/>
          <w:szCs w:val="30"/>
          <w:lang w:val="zh-CN" w:eastAsia="zh-CN"/>
          <w:highlight w:val="auto"/>
        </w:rPr>
        <w:t>12月底前拨付到基金财政专户，资金到位率100%。按照发放时间进度，按月申报拨付计划，对参保缴费及基础养老金省级补贴</w:t>
      </w:r>
      <w:r>
        <w:rPr>
          <w:rFonts w:ascii="仿宋_GB2312" w:eastAsia="仿宋_GB2312" w:cs="仿宋_GB2312" w:hAnsi="仿宋_GB2312" w:hint="eastAsia"/>
          <w:color w:val="auto"/>
          <w:sz w:val="30"/>
          <w:szCs w:val="30"/>
          <w:lang w:val="en-US" w:eastAsia="zh-CN"/>
          <w:highlight w:val="auto"/>
        </w:rPr>
        <w:t>370.72万元于</w:t>
      </w:r>
      <w:r>
        <w:rPr>
          <w:rFonts w:ascii="仿宋_GB2312" w:eastAsia="仿宋_GB2312" w:cs="仿宋_GB2312" w:hAnsi="仿宋_GB2312" w:hint="eastAsia"/>
          <w:color w:val="auto"/>
          <w:sz w:val="30"/>
          <w:szCs w:val="30"/>
          <w:lang w:val="zh-CN" w:eastAsia="zh-CN"/>
          <w:highlight w:val="auto"/>
        </w:rPr>
        <w:t xml:space="preserve">12月底前全部拨付到基金财政专户，资金到位率100%。 </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2、资金使用。按照城乡居民养老待遇按月发放要求，及时足额发放至待遇领取人社保卡，社会化发放率100%,资金使用率100%。12月底，将当年缴费的参保人员补贴按照不同缴费档次补贴标准，通过业务系统平台分别记录到参保人个人账户。</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hAnsi="宋体" w:hint="eastAsia"/>
          <w:b/>
          <w:sz w:val="32"/>
          <w:szCs w:val="32"/>
          <w:lang w:val="zh-CN"/>
        </w:rPr>
      </w:pPr>
      <w:r>
        <w:rPr>
          <w:rFonts w:ascii="楷体_GB2312" w:eastAsia="楷体_GB2312" w:hAnsi="宋体" w:hint="eastAsia"/>
          <w:b/>
          <w:sz w:val="32"/>
          <w:szCs w:val="32"/>
          <w:lang w:val="zh-CN"/>
        </w:rPr>
        <w:t>（三）项目财务管理情况。</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中央、省预算的国家基础养老金和城乡居民社会养老保险缴费补贴，严格按照社会保险基金管理使用办法，实行收支两条线管理。本单位单设基金财务室，配专职会计和出纳各一人。严格按照</w:t>
      </w:r>
      <w:r>
        <w:rPr>
          <w:rFonts w:ascii="仿宋_GB2312" w:eastAsia="仿宋_GB2312" w:cs="仿宋_GB2312" w:hAnsi="仿宋_GB2312" w:hint="eastAsia"/>
          <w:color w:val="auto"/>
          <w:sz w:val="30"/>
          <w:szCs w:val="30"/>
          <w:lang w:val="en-US" w:eastAsia="zh-CN"/>
          <w:highlight w:val="auto"/>
        </w:rPr>
        <w:t>《社会保险基金财务制度》（财社〔2017〕144号）规定，分账核算，分别计息，专款专用，按月对账，做到账账相符，账实相符</w:t>
      </w:r>
      <w:r>
        <w:rPr>
          <w:rFonts w:ascii="仿宋_GB2312" w:eastAsia="仿宋_GB2312" w:cs="仿宋_GB2312" w:hAnsi="仿宋_GB2312" w:hint="eastAsia"/>
          <w:color w:val="auto"/>
          <w:sz w:val="30"/>
          <w:szCs w:val="30"/>
          <w:lang w:val="zh-CN" w:eastAsia="zh-CN"/>
          <w:highlight w:val="auto"/>
        </w:rPr>
        <w:t>。税务代收按季度将个人缴费资金由国库转入财政专户。居保财务每</w:t>
      </w:r>
      <w:r>
        <w:rPr>
          <w:rFonts w:ascii="仿宋_GB2312" w:eastAsia="仿宋_GB2312" w:cs="仿宋_GB2312" w:hAnsi="仿宋_GB2312" w:hint="eastAsia"/>
          <w:color w:val="auto"/>
          <w:sz w:val="30"/>
          <w:szCs w:val="30"/>
          <w:lang w:val="en-US" w:eastAsia="zh-CN"/>
          <w:highlight w:val="auto"/>
        </w:rPr>
        <w:t>2个月向财政申请待遇支付资金从财政专户转</w:t>
      </w:r>
      <w:r>
        <w:rPr>
          <w:rFonts w:ascii="仿宋_GB2312" w:eastAsia="仿宋_GB2312" w:cs="仿宋_GB2312" w:hAnsi="仿宋_GB2312" w:hint="eastAsia"/>
          <w:color w:val="auto"/>
          <w:sz w:val="30"/>
          <w:szCs w:val="30"/>
          <w:lang w:val="zh-CN" w:eastAsia="zh-CN"/>
          <w:highlight w:val="auto"/>
        </w:rPr>
        <w:t>入支出户，每月根据业务提供的拨付单开具相应的银行票据，出纳根据拨付单核对系统数据后出盘给银行，完成养老金待遇发放。该项目收支使用及财务处理均严格按照财务管理制度执行。为有效防范支付风险，我中心全面取消了手工和现金业务，所有支付业务通过系统内发放，杜绝人为挪用或违规修改数据现象，切实维护基金安全完整。</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黑体" w:eastAsia="黑体" w:cs="Times New Roman" w:hAnsi="宋体" w:hint="eastAsia"/>
          <w:b/>
          <w:bCs/>
          <w:sz w:val="32"/>
          <w:szCs w:val="32"/>
          <w:lang w:val="zh-CN" w:eastAsia="zh-CN"/>
        </w:rPr>
      </w:pPr>
      <w:r>
        <w:rPr>
          <w:rFonts w:ascii="黑体" w:eastAsia="黑体" w:cs="Times New Roman" w:hAnsi="宋体" w:hint="eastAsia"/>
          <w:b/>
          <w:bCs/>
          <w:sz w:val="32"/>
          <w:szCs w:val="32"/>
          <w:lang w:val="zh-CN" w:eastAsia="zh-CN"/>
        </w:rPr>
        <w:t>三、项目实施及管理情况</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color w:val="auto"/>
          <w:sz w:val="30"/>
          <w:szCs w:val="30"/>
          <w:lang w:val="en-US" w:eastAsia="zh-CN"/>
          <w:highlight w:val="auto"/>
        </w:rPr>
      </w:pPr>
      <w:r>
        <w:rPr>
          <w:rFonts w:ascii="仿宋_GB2312" w:eastAsia="仿宋_GB2312" w:cs="仿宋_GB2312" w:hAnsi="仿宋_GB2312" w:hint="eastAsia"/>
          <w:color w:val="auto"/>
          <w:sz w:val="30"/>
          <w:szCs w:val="30"/>
          <w:lang w:val="zh-CN" w:eastAsia="zh-CN"/>
          <w:highlight w:val="auto"/>
        </w:rPr>
        <w:t xml:space="preserve"> 202</w:t>
      </w:r>
      <w:r>
        <w:rPr>
          <w:rFonts w:ascii="仿宋_GB2312" w:eastAsia="仿宋_GB2312" w:cs="仿宋_GB2312" w:hAnsi="仿宋_GB2312" w:hint="eastAsia"/>
          <w:color w:val="auto"/>
          <w:sz w:val="30"/>
          <w:szCs w:val="30"/>
          <w:lang w:val="en-US" w:eastAsia="zh-CN"/>
          <w:highlight w:val="auto"/>
        </w:rPr>
        <w:t>2</w:t>
      </w:r>
      <w:r>
        <w:rPr>
          <w:rFonts w:ascii="仿宋_GB2312" w:eastAsia="仿宋_GB2312" w:cs="仿宋_GB2312" w:hAnsi="仿宋_GB2312" w:hint="eastAsia"/>
          <w:color w:val="auto"/>
          <w:sz w:val="30"/>
          <w:szCs w:val="30"/>
          <w:lang w:val="zh-CN" w:eastAsia="zh-CN"/>
          <w:highlight w:val="auto"/>
        </w:rPr>
        <w:t>年全年中央基础养老金补助资金</w:t>
      </w:r>
      <w:r>
        <w:rPr>
          <w:rFonts w:ascii="仿宋_GB2312" w:eastAsia="仿宋_GB2312" w:cs="仿宋_GB2312" w:hAnsi="仿宋_GB2312" w:hint="eastAsia"/>
          <w:color w:val="auto"/>
          <w:sz w:val="30"/>
          <w:szCs w:val="30"/>
          <w:lang w:val="en-US" w:eastAsia="zh-CN"/>
          <w:highlight w:val="auto"/>
        </w:rPr>
        <w:t>2804.76万元，省级基础养老金及参保缴费补助资金370.72万元，共计直达资金3175.48万元。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420"/>
        <w:textAlignment w:val="auto"/>
        <w:outlineLvl w:val="9"/>
        <w:rPr>
          <w:rFonts w:ascii="仿宋_GB2312" w:hAnsi="宋体" w:hint="eastAsia"/>
          <w:b/>
          <w:bCs/>
          <w:sz w:val="32"/>
          <w:szCs w:val="32"/>
          <w:lang w:val="zh-CN"/>
        </w:rPr>
      </w:pPr>
      <w:r>
        <w:rPr>
          <w:rFonts w:ascii="仿宋_GB2312" w:hAnsi="宋体" w:hint="eastAsia"/>
          <w:szCs w:val="32"/>
          <w:lang w:val="zh-CN"/>
        </w:rPr>
        <w:t xml:space="preserve"> </w:t>
      </w:r>
      <w:r>
        <w:rPr>
          <w:rFonts w:ascii="黑体" w:eastAsia="黑体" w:hAnsi="宋体" w:hint="eastAsia"/>
          <w:b/>
          <w:bCs/>
          <w:sz w:val="32"/>
          <w:szCs w:val="32"/>
          <w:lang w:eastAsia="zh-CN"/>
        </w:rPr>
        <w:t>四</w:t>
      </w:r>
      <w:r>
        <w:rPr>
          <w:rFonts w:ascii="黑体" w:eastAsia="黑体" w:hAnsi="宋体" w:hint="eastAsia"/>
          <w:b/>
          <w:bCs/>
          <w:sz w:val="32"/>
          <w:szCs w:val="32"/>
        </w:rPr>
        <w:t>、目标</w:t>
      </w:r>
      <w:r>
        <w:rPr>
          <w:rFonts w:ascii="黑体" w:eastAsia="黑体" w:hAnsi="宋体" w:hint="eastAsia"/>
          <w:b/>
          <w:bCs/>
          <w:sz w:val="32"/>
          <w:szCs w:val="32"/>
          <w:lang w:eastAsia="zh-CN"/>
        </w:rPr>
        <w:t>绩效</w:t>
      </w:r>
      <w:r>
        <w:rPr>
          <w:rFonts w:ascii="黑体" w:eastAsia="黑体" w:hAnsi="宋体" w:hint="eastAsia"/>
          <w:b/>
          <w:bCs/>
          <w:sz w:val="32"/>
          <w:szCs w:val="32"/>
        </w:rPr>
        <w:t>情况</w:t>
      </w:r>
      <w:r>
        <w:rPr>
          <w:rFonts w:ascii="仿宋_GB2312" w:hAnsi="宋体" w:hint="eastAsia"/>
          <w:b/>
          <w:bCs/>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（一）项目完成情况。</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中央、省、市、县四级财政预算的国家基础养老金项目，按月实施，根据每月实际领取待遇人数和应发放金额支付，全年支付完成率100%；省财政预算的城乡居民参保缴费补贴项目，按照年度终了一次性登记入账的方式，已于12月底分档次补贴标准记录到参保人个人账户，完成率100%。对照项目计划，每月2</w:t>
      </w:r>
      <w:r>
        <w:rPr>
          <w:rFonts w:ascii="仿宋_GB2312" w:eastAsia="仿宋_GB2312" w:cs="仿宋_GB2312" w:hAnsi="仿宋_GB2312" w:hint="eastAsia"/>
          <w:color w:val="auto"/>
          <w:sz w:val="30"/>
          <w:szCs w:val="30"/>
          <w:lang w:val="en-US" w:eastAsia="zh-CN"/>
          <w:highlight w:val="auto"/>
        </w:rPr>
        <w:t>0</w:t>
      </w:r>
      <w:r>
        <w:rPr>
          <w:rFonts w:ascii="仿宋_GB2312" w:eastAsia="仿宋_GB2312" w:cs="仿宋_GB2312" w:hAnsi="仿宋_GB2312" w:hint="eastAsia"/>
          <w:color w:val="auto"/>
          <w:sz w:val="30"/>
          <w:szCs w:val="30"/>
          <w:lang w:val="zh-CN" w:eastAsia="zh-CN"/>
          <w:highlight w:val="auto"/>
        </w:rPr>
        <w:t>日左右将待遇领取人员养老金按标准发放至参保人社保卡，无一错发和漏发。因账号发生变化等个人原因发放不成功的，次月进行勘误补发，社会化发放率100%。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Times New Roman" w:hAnsi="宋体" w:hint="eastAsia"/>
          <w:b/>
          <w:sz w:val="32"/>
          <w:szCs w:val="32"/>
          <w:lang w:val="zh-CN"/>
        </w:rPr>
      </w:pPr>
      <w:r>
        <w:rPr>
          <w:rFonts w:ascii="楷体_GB2312" w:eastAsia="楷体_GB2312" w:hAnsi="宋体" w:hint="eastAsia"/>
          <w:b/>
          <w:sz w:val="32"/>
          <w:szCs w:val="32"/>
          <w:lang w:val="zh-CN"/>
        </w:rPr>
        <w:t>（二）</w:t>
      </w:r>
      <w:r>
        <w:rPr>
          <w:rFonts w:ascii="楷体_GB2312" w:eastAsia="楷体_GB2312" w:cs="Times New Roman" w:hAnsi="宋体" w:hint="eastAsia"/>
          <w:b/>
          <w:sz w:val="32"/>
          <w:szCs w:val="32"/>
          <w:lang w:val="zh-CN"/>
        </w:rPr>
        <w:t>项目效益情况</w:t>
      </w:r>
    </w:p>
    <w:p>
      <w:pPr>
        <w:keepNext w:val="0"/>
        <w:keepLines w:val="0"/>
        <w:pageBreakBefore w:val="0"/>
        <w:widowControl w:val="0"/>
        <w:kinsoku/>
        <w:wordWrap/>
        <w:overflowPunct/>
        <w:topLinePunct w:val="0"/>
        <w:autoSpaceDE/>
        <w:autoSpaceDN/>
        <w:bidi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根据项目具体情况进行分析，2022年中央和省财政对城乡居民养老保险财政补助的项目，体现了党和政府对城乡居民，特别是农村人口养老保险制度建设的重视，使得地区社会保险基金支撑力和保障水平稳步提高，充分发挥社会保险稳定器的作用，为落实广大城乡居民养老保险待遇提供了有力保障，对参保人员缴费补助，在一定程度上促进了参保积极性，对参保扩面起到良好宣传作用，让广大群众主动自愿参保，自觉按年缴费，真正落实人人有社保，个个有养老。特别是2022年国家基础养老金上调政策实施后，参保群众满意度高达9</w:t>
      </w:r>
      <w:r>
        <w:rPr>
          <w:rFonts w:ascii="仿宋_GB2312" w:eastAsia="仿宋_GB2312" w:cs="仿宋_GB2312" w:hAnsi="仿宋_GB2312" w:hint="eastAsia"/>
          <w:color w:val="auto"/>
          <w:sz w:val="30"/>
          <w:szCs w:val="30"/>
          <w:lang w:val="en-US" w:eastAsia="zh-CN"/>
          <w:highlight w:val="auto"/>
        </w:rPr>
        <w:t>8</w:t>
      </w:r>
      <w:r>
        <w:rPr>
          <w:rFonts w:ascii="仿宋_GB2312" w:eastAsia="仿宋_GB2312" w:cs="仿宋_GB2312" w:hAnsi="仿宋_GB2312" w:hint="eastAsia"/>
          <w:color w:val="auto"/>
          <w:sz w:val="30"/>
          <w:szCs w:val="30"/>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黑体" w:eastAsia="黑体" w:hAnsi="宋体" w:hint="eastAsia"/>
          <w:b/>
          <w:bCs/>
          <w:sz w:val="32"/>
          <w:szCs w:val="32"/>
        </w:rPr>
      </w:pPr>
      <w:r>
        <w:rPr>
          <w:rFonts w:ascii="黑体" w:eastAsia="黑体" w:hAnsi="宋体" w:hint="eastAsia"/>
          <w:b/>
          <w:bCs/>
          <w:sz w:val="32"/>
          <w:szCs w:val="32"/>
        </w:rPr>
        <w:t>五、问题及建议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Ansi="仿宋_GB2312" w:hint="eastAsia"/>
          <w:color w:val="auto"/>
          <w:sz w:val="30"/>
          <w:szCs w:val="30"/>
          <w:lang w:val="zh-CN" w:eastAsia="zh-CN"/>
          <w:highlight w:val="auto"/>
        </w:rPr>
      </w:pPr>
      <w:r>
        <w:rPr>
          <w:rFonts w:ascii="楷体_GB2312" w:eastAsia="楷体_GB2312" w:hAnsi="宋体" w:hint="eastAsia"/>
          <w:b/>
          <w:sz w:val="32"/>
          <w:szCs w:val="32"/>
          <w:lang w:val="zh-CN"/>
        </w:rPr>
        <w:t>（一）存在的问题。</w:t>
      </w:r>
      <w:r>
        <w:rPr>
          <w:rFonts w:ascii="仿宋_GB2312" w:eastAsia="仿宋_GB2312" w:cs="仿宋_GB2312" w:hAnsi="仿宋_GB2312" w:hint="eastAsia"/>
          <w:color w:val="auto"/>
          <w:sz w:val="30"/>
          <w:szCs w:val="30"/>
          <w:lang w:val="zh-CN" w:eastAsia="zh-CN"/>
          <w:highlight w:val="auto"/>
        </w:rPr>
        <w:t>一是制度统筹层次较低，降低了城乡居保基金的支付和承受能力，不利于发挥基金调剂余缺的功能，也不利于人才的自由流动；二是养老保险待遇水平低，增调幅度低，保障功能弱，城乡居民养老保险国家基础养老金上调金额偏小，与社保待遇调整时间和金额差距较大；三是政策宣传不到位，老百姓容易混淆企保和居保对象及政策，一定层度上影响了参保缴费积极性。</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Ansi="仿宋_GB2312" w:hint="eastAsia"/>
          <w:color w:val="auto"/>
          <w:sz w:val="30"/>
          <w:szCs w:val="30"/>
          <w:lang w:val="zh-CN" w:eastAsia="zh-CN"/>
          <w:highlight w:val="auto"/>
        </w:rPr>
      </w:pPr>
      <w:r>
        <w:rPr>
          <w:rFonts w:ascii="楷体_GB2312" w:eastAsia="楷体_GB2312" w:hAnsi="宋体" w:hint="eastAsia"/>
          <w:b/>
          <w:sz w:val="32"/>
          <w:szCs w:val="32"/>
          <w:lang w:val="zh-CN"/>
        </w:rPr>
        <w:t>（二）相关建议。</w:t>
      </w:r>
      <w:r>
        <w:rPr>
          <w:rFonts w:ascii="仿宋_GB2312" w:eastAsia="仿宋_GB2312" w:cs="仿宋_GB2312" w:hAnsi="仿宋_GB2312" w:hint="eastAsia"/>
          <w:color w:val="auto"/>
          <w:sz w:val="30"/>
          <w:szCs w:val="30"/>
          <w:lang w:val="zh-CN" w:eastAsia="zh-CN"/>
          <w:highlight w:val="auto"/>
        </w:rPr>
        <w:t>一是提高制度的统筹层次，积极探进省级统筹，为最后全国统筹做准备。二是加大对贫困地区的扶持，提高增调幅度，缩小地区差异。三是加大政策宣传，用老百姓听得懂的话语将政策宣传落到实处，让老百姓切实了解政策实质。</w:t>
      </w:r>
    </w:p>
    <w:p>
      <w:pPr>
        <w:spacing w:line="580" w:lineRule="exact"/>
        <w:outlineLvl w:val="9"/>
        <w:rPr>
          <w:rStyle w:val="1Char"/>
          <w:rFonts w:ascii="黑体" w:eastAsia="黑体" w:hAnsi="黑体"/>
          <w:b w:val="0"/>
          <w:color w:val="auto"/>
          <w:highlight w:val="auto"/>
        </w:rPr>
      </w:pPr>
    </w:p>
    <w:p>
      <w:pPr>
        <w:widowControl/>
        <w:jc w:val="left"/>
        <w:outlineLvl w:val="9"/>
        <w:rPr>
          <w:rStyle w:val="1Char"/>
          <w:rFonts w:ascii="黑体" w:eastAsia="黑体" w:hAnsi="黑体"/>
          <w:b w:val="0"/>
          <w:color w:val="auto"/>
          <w:highlight w:val="auto"/>
        </w:rPr>
      </w:pPr>
      <w:r>
        <w:rPr>
          <w:rStyle w:val="1Char"/>
          <w:rFonts w:ascii="黑体" w:eastAsia="黑体" w:hAnsi="黑体"/>
          <w:b w:val="0"/>
          <w:color w:val="auto"/>
          <w:highlight w:val="auto"/>
        </w:rPr>
        <w:br w:type="page"/>
      </w:r>
    </w:p>
    <w:p>
      <w:pPr>
        <w:pStyle w:val="16"/>
        <w:outlineLvl w:val="9"/>
        <w:rPr>
          <w:rStyle w:val="1Char"/>
          <w:rFonts w:ascii="黑体" w:eastAsia="黑体" w:hAnsi="黑体"/>
          <w:b w:val="0"/>
          <w:color w:val="auto"/>
          <w:highlight w:val="auto"/>
        </w:rPr>
        <w:sectPr>
          <w:footerReference w:type="default" r:id="rId16"/>
          <w:footerReference w:type="first" r:id="rId17"/>
          <w:pgSz w:w="11906" w:h="16838"/>
          <w:pgMar w:top="1440" w:right="1800" w:bottom="1440" w:left="1800" w:header="851" w:footer="992" w:gutter="0"/>
          <w:pgNumType/>
          <w:cols w:num="1" w:space="425"/>
          <w:titlePg/>
          <w:docGrid w:type="lines" w:linePitch="312" w:charSpace="0"/>
        </w:sectPr>
      </w:pPr>
    </w:p>
    <w:tbl>
      <w:tblPr>
        <w:jc w:val="left"/>
        <w:tblInd w:w="93"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050"/>
        <w:gridCol w:w="992"/>
        <w:gridCol w:w="1544"/>
        <w:gridCol w:w="1992"/>
        <w:gridCol w:w="727"/>
        <w:gridCol w:w="854"/>
        <w:gridCol w:w="727"/>
        <w:gridCol w:w="770"/>
        <w:gridCol w:w="529"/>
        <w:gridCol w:w="590"/>
        <w:gridCol w:w="4306"/>
      </w:tblGrid>
      <w:tr>
        <w:trPr>
          <w:trHeight w:val="405"/>
        </w:trPr>
        <w:tc>
          <w:tcPr>
            <w:tcW w:w="105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附件</w:t>
            </w:r>
          </w:p>
        </w:tc>
        <w:tc>
          <w:tcPr>
            <w:tcW w:w="9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54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9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2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85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2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70"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2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90"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430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203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城乡居民养老保险区级配套及困难群众财政代缴个人保险缴费</w:t>
            </w:r>
          </w:p>
        </w:tc>
      </w:tr>
      <w:tr>
        <w:trPr>
          <w:trHeight w:val="280"/>
        </w:trPr>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广元市利州区社会保险事务中心</w:t>
            </w:r>
          </w:p>
        </w:tc>
      </w:tr>
      <w:tr>
        <w:trPr>
          <w:trHeight w:val="38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7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城乡居民基本养老保险基础养老补贴及时到位，保障全区26256人退休人员的养老金按时足额发放，提高城乡居民退休人员的生活质量、提升群众的满意度；维护社会秩序稳定，构建和谐社会。</w:t>
            </w:r>
          </w:p>
        </w:tc>
        <w:tc>
          <w:tcPr>
            <w:tcW w:w="6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2022年完成26256人城乡居民基本养老保险基础养老金按月足额发放。</w:t>
            </w:r>
          </w:p>
        </w:tc>
      </w:tr>
      <w:tr>
        <w:trPr>
          <w:trHeight w:val="82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203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城乡居民基本养老保险基础养老补贴及时到位，保障全区26256人退休人员的养老金按时足额发放，提高城乡居民退休人员的生活质量、提升群众的满意度；维护社会秩序稳定，构建和谐社会。</w:t>
            </w:r>
          </w:p>
        </w:tc>
      </w:tr>
      <w:tr>
        <w:trPr>
          <w:trHeight w:val="54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3,351.24</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3,269.38</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4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2,928.30</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2,804.76</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4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4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4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422.94</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464.62</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4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2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2022年财政全额代缴</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23000人</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丧葬抚恤支出</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1614</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1614人</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地方人民政府应当对参保人缴费给予补贴</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元/人年</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4.5</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资金在2022年拨付率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6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资金全部到位率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0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缴费补贴全部到位率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财政全额代缴资金全部到位</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4.5</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6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基础养老金发放</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26100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26100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2022年城乡居民参保缴费人员缴费补贴</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65600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65600人</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6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保障参保人员稳定率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30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保障参保人员待遇享受率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3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保证居保人员工资发放率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56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86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96</w:t>
            </w:r>
          </w:p>
        </w:tc>
        <w:tc>
          <w:tcPr>
            <w:tcW w:w="4306"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03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城乡居民基本养老保险基础养老补贴及时到位，保障全区26256人退休人员的养老金按时足额发放，提高城乡居民退休人员的生活质量、提升群众的满意度；维护社会秩序稳定，构建和谐社会。</w:t>
            </w:r>
          </w:p>
        </w:tc>
      </w:tr>
      <w:tr>
        <w:trPr>
          <w:trHeight w:val="460"/>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03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一是制度统筹层次较低，降低了城乡居保基金的支付和承受能力，不利于发挥基金调剂余缺的功能，也不利于人才的自由流动；二是养老保险待遇水平低，增调幅度低，保障功能弱，城乡居民养老保险国家基础养老金上调金额偏小，与社保待遇调整时间和金额差距较大；三是政策宣传不到位，老百姓容易混淆企保和居保对象及政策，一定层度上影响了参保缴费积极性。</w:t>
            </w:r>
          </w:p>
        </w:tc>
      </w:tr>
      <w:tr>
        <w:trPr>
          <w:trHeight w:val="500"/>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03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一是提高制度的统筹层次，积极探进省级统筹，为最后全国统筹做准备。二是加大对贫困地区的扶持，提高增调幅度，缩小地区差异。三是加大政策宣传，用老百姓听得懂的话语将政策宣传落到实处，让老百姓切实了解政策实质。</w:t>
            </w:r>
          </w:p>
        </w:tc>
      </w:tr>
      <w:tr>
        <w:trPr>
          <w:trHeight w:val="270"/>
        </w:trPr>
        <w:tc>
          <w:tcPr>
            <w:tcW w:w="6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项目负责人：陈国俊</w:t>
            </w:r>
          </w:p>
        </w:tc>
        <w:tc>
          <w:tcPr>
            <w:tcW w:w="77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财务负责人：白小蓉</w:t>
            </w:r>
          </w:p>
        </w:tc>
      </w:tr>
    </w:tbl>
    <w:p>
      <w:pPr>
        <w:pStyle w:val="16"/>
        <w:outlineLvl w:val="9"/>
        <w:rPr>
          <w:rStyle w:val="1Char"/>
          <w:rFonts w:ascii="黑体" w:eastAsia="黑体" w:hAnsi="黑体"/>
          <w:b w:val="0"/>
          <w:color w:val="auto"/>
          <w:highlight w:val="auto"/>
        </w:rPr>
      </w:pPr>
    </w:p>
    <w:p>
      <w:pPr>
        <w:outlineLvl w:val="9"/>
        <w:rPr>
          <w:rStyle w:val="1Char"/>
          <w:rFonts w:ascii="黑体" w:eastAsia="黑体" w:hAnsi="黑体"/>
          <w:b w:val="0"/>
          <w:color w:val="auto"/>
          <w:highlight w:val="auto"/>
        </w:rPr>
      </w:pPr>
    </w:p>
    <w:p>
      <w:pPr>
        <w:pStyle w:val="16"/>
        <w:outlineLvl w:val="9"/>
        <w:rPr>
          <w:rStyle w:val="1Char"/>
          <w:rFonts w:ascii="黑体" w:eastAsia="黑体" w:hAnsi="黑体"/>
          <w:b w:val="0"/>
          <w:color w:val="auto"/>
          <w:highlight w:val="auto"/>
        </w:rPr>
      </w:pPr>
    </w:p>
    <w:p>
      <w:pPr>
        <w:outlineLvl w:val="9"/>
        <w:rPr>
          <w:rStyle w:val="1Char"/>
          <w:rFonts w:ascii="黑体" w:eastAsia="黑体" w:hAnsi="黑体"/>
          <w:b w:val="0"/>
          <w:color w:val="auto"/>
          <w:highlight w:val="auto"/>
        </w:rPr>
      </w:pPr>
    </w:p>
    <w:p>
      <w:pPr>
        <w:pStyle w:val="16"/>
        <w:outlineLvl w:val="9"/>
        <w:rPr>
          <w:rStyle w:val="1Char"/>
          <w:rFonts w:ascii="黑体" w:eastAsia="黑体" w:hAnsi="黑体"/>
          <w:b w:val="0"/>
          <w:color w:val="auto"/>
          <w:highlight w:val="auto"/>
        </w:rPr>
      </w:pPr>
    </w:p>
    <w:p>
      <w:pPr>
        <w:outlineLvl w:val="9"/>
        <w:rPr>
          <w:rStyle w:val="1Char"/>
          <w:rFonts w:ascii="黑体" w:eastAsia="黑体" w:hAnsi="黑体"/>
          <w:b w:val="0"/>
          <w:color w:val="auto"/>
          <w:highlight w:val="auto"/>
        </w:rPr>
      </w:pPr>
    </w:p>
    <w:p>
      <w:pPr>
        <w:pStyle w:val="16"/>
        <w:outlineLvl w:val="9"/>
        <w:rPr>
          <w:rStyle w:val="1Char"/>
          <w:rFonts w:ascii="黑体" w:eastAsia="黑体" w:hAnsi="黑体"/>
          <w:b w:val="0"/>
          <w:color w:val="auto"/>
          <w:highlight w:val="auto"/>
        </w:rPr>
      </w:pPr>
    </w:p>
    <w:p>
      <w:pPr>
        <w:outlineLvl w:val="9"/>
        <w:rPr>
          <w:rStyle w:val="1Char"/>
          <w:rFonts w:ascii="黑体" w:eastAsia="黑体" w:hAnsi="黑体"/>
          <w:b w:val="0"/>
          <w:color w:val="auto"/>
          <w:highlight w:val="auto"/>
        </w:rPr>
      </w:pPr>
    </w:p>
    <w:p>
      <w:pPr>
        <w:pStyle w:val="16"/>
        <w:outlineLvl w:val="9"/>
        <w:rPr>
          <w:rStyle w:val="1Char"/>
          <w:rFonts w:ascii="黑体" w:eastAsia="黑体" w:hAnsi="黑体"/>
          <w:b w:val="0"/>
          <w:color w:val="auto"/>
          <w:highlight w:val="auto"/>
        </w:rPr>
        <w:sectPr>
          <w:pgSz w:w="16838" w:h="11906" w:orient="landscape"/>
          <w:pgMar w:top="1800" w:right="1440" w:bottom="1800" w:left="1440" w:header="851" w:footer="992" w:gutter="0"/>
          <w:pgNumType/>
          <w:cols w:num="1" w:space="425"/>
          <w:titlePg/>
          <w:docGrid w:type="lines" w:linePitch="312" w:charSpace="0"/>
        </w:sectPr>
      </w:pPr>
    </w:p>
    <w:p>
      <w:pPr>
        <w:keepNext w:val="0"/>
        <w:keepLines w:val="0"/>
        <w:pageBreakBefore w:val="0"/>
        <w:widowControl w:val="0"/>
        <w:kinsoku/>
        <w:wordWrap/>
        <w:overflowPunct/>
        <w:topLinePunct w:val="0"/>
        <w:autoSpaceDE/>
        <w:autoSpaceDN/>
        <w:bidi w:val="0"/>
        <w:spacing w:line="572" w:lineRule="exact"/>
        <w:jc w:val="left"/>
        <w:textAlignment w:val="auto"/>
        <w:outlineLvl w:val="9"/>
        <w:rPr>
          <w:rFonts w:ascii="方正小标宋简体" w:eastAsia="黑体" w:cs="方正小标宋简体" w:hAnsi="方正小标宋简体"/>
          <w:color w:val="auto"/>
          <w:sz w:val="44"/>
          <w:szCs w:val="44"/>
          <w:lang w:val="en-US" w:eastAsia="zh-CN"/>
          <w:highlight w:val="auto"/>
        </w:rPr>
      </w:pPr>
      <w:r>
        <w:rPr>
          <w:rFonts w:ascii="黑体" w:eastAsia="黑体" w:cs="黑体" w:hAnsi="黑体" w:hint="eastAsia"/>
          <w:color w:val="auto"/>
          <w:sz w:val="32"/>
          <w:szCs w:val="32"/>
          <w:highlight w:val="auto"/>
        </w:rPr>
        <w:t>附件</w:t>
      </w:r>
      <w:r>
        <w:rPr>
          <w:rFonts w:ascii="黑体" w:eastAsia="黑体" w:cs="黑体" w:hAnsi="黑体" w:hint="eastAsia"/>
          <w:color w:val="auto"/>
          <w:sz w:val="32"/>
          <w:szCs w:val="32"/>
          <w:lang w:val="en-US" w:eastAsia="zh-CN"/>
          <w:highlight w:val="auto"/>
        </w:rPr>
        <w:t>3</w:t>
      </w:r>
    </w:p>
    <w:p>
      <w:pPr>
        <w:outlineLvl w:val="9"/>
      </w:pPr>
    </w:p>
    <w:p>
      <w:pPr>
        <w:pStyle w:val="36"/>
        <w:keepNext w:val="0"/>
        <w:keepLines w:val="0"/>
        <w:pageBreakBefore w:val="0"/>
        <w:widowControl w:val="0"/>
        <w:kinsoku/>
        <w:wordWrap/>
        <w:overflowPunct/>
        <w:topLinePunct w:val="0"/>
        <w:autoSpaceDE/>
        <w:autoSpaceDN/>
        <w:bidi w:val="0"/>
        <w:spacing w:line="540" w:lineRule="exact"/>
        <w:jc w:val="center"/>
        <w:textAlignment w:val="auto"/>
        <w:outlineLvl w:val="9"/>
        <w:rPr>
          <w:rFonts w:ascii="方正小标宋简体" w:eastAsia="方正小标宋简体" w:cs="方正小标宋简体" w:hAnsi="方正小标宋简体" w:hint="eastAsia"/>
          <w:b/>
          <w:sz w:val="44"/>
          <w:szCs w:val="44"/>
        </w:rPr>
      </w:pPr>
      <w:r>
        <w:rPr>
          <w:rFonts w:ascii="方正小标宋简体" w:eastAsia="方正小标宋简体" w:cs="方正小标宋简体" w:hAnsi="方正小标宋简体" w:hint="eastAsia"/>
          <w:b/>
          <w:sz w:val="44"/>
          <w:szCs w:val="44"/>
        </w:rPr>
        <w:t>202</w:t>
      </w:r>
      <w:r>
        <w:rPr>
          <w:rFonts w:ascii="方正小标宋简体" w:eastAsia="方正小标宋简体" w:cs="方正小标宋简体" w:hAnsi="方正小标宋简体" w:hint="eastAsia"/>
          <w:b/>
          <w:sz w:val="44"/>
          <w:szCs w:val="44"/>
          <w:lang w:val="en-US" w:eastAsia="zh-CN"/>
        </w:rPr>
        <w:t>3</w:t>
      </w:r>
      <w:r>
        <w:rPr>
          <w:rFonts w:ascii="方正小标宋简体" w:eastAsia="方正小标宋简体" w:cs="方正小标宋简体" w:hAnsi="方正小标宋简体" w:hint="eastAsia"/>
          <w:b/>
          <w:sz w:val="44"/>
          <w:szCs w:val="44"/>
        </w:rPr>
        <w:t>年</w:t>
      </w:r>
      <w:r>
        <w:rPr>
          <w:rFonts w:ascii="方正小标宋简体" w:eastAsia="方正小标宋简体" w:cs="方正小标宋简体" w:hAnsi="方正小标宋简体" w:hint="eastAsia"/>
          <w:b/>
          <w:sz w:val="44"/>
          <w:szCs w:val="44"/>
          <w:lang w:eastAsia="zh-CN"/>
        </w:rPr>
        <w:t>专项资金预算</w:t>
      </w:r>
      <w:r>
        <w:rPr>
          <w:rFonts w:ascii="方正小标宋简体" w:eastAsia="方正小标宋简体" w:cs="方正小标宋简体" w:hAnsi="方正小标宋简体" w:hint="eastAsia"/>
          <w:b/>
          <w:sz w:val="44"/>
          <w:szCs w:val="44"/>
        </w:rPr>
        <w:t>项目支出绩效</w:t>
      </w:r>
    </w:p>
    <w:p>
      <w:pPr>
        <w:pStyle w:val="36"/>
        <w:keepNext w:val="0"/>
        <w:keepLines w:val="0"/>
        <w:pageBreakBefore w:val="0"/>
        <w:widowControl w:val="0"/>
        <w:kinsoku/>
        <w:wordWrap/>
        <w:overflowPunct/>
        <w:topLinePunct w:val="0"/>
        <w:autoSpaceDE/>
        <w:autoSpaceDN/>
        <w:bidi w:val="0"/>
        <w:spacing w:line="540" w:lineRule="exact"/>
        <w:jc w:val="center"/>
        <w:textAlignment w:val="auto"/>
        <w:outlineLvl w:val="9"/>
        <w:rPr>
          <w:rFonts w:ascii="方正小标宋简体" w:eastAsia="方正小标宋简体" w:cs="方正小标宋简体" w:hAnsi="方正小标宋简体" w:hint="eastAsia"/>
          <w:color w:val="auto"/>
          <w:kern w:val="2"/>
          <w:sz w:val="44"/>
          <w:szCs w:val="44"/>
        </w:rPr>
      </w:pPr>
      <w:r>
        <w:rPr>
          <w:rFonts w:ascii="方正小标宋简体" w:eastAsia="方正小标宋简体" w:cs="方正小标宋简体" w:hAnsi="方正小标宋简体" w:hint="eastAsia"/>
          <w:b/>
          <w:sz w:val="44"/>
          <w:szCs w:val="44"/>
        </w:rPr>
        <w:t>自评报告</w:t>
      </w:r>
    </w:p>
    <w:p>
      <w:pPr>
        <w:keepNext w:val="0"/>
        <w:keepLines w:val="0"/>
        <w:pageBreakBefore w:val="0"/>
        <w:widowControl w:val="0"/>
        <w:kinsoku/>
        <w:wordWrap/>
        <w:overflowPunct/>
        <w:topLinePunct w:val="0"/>
        <w:autoSpaceDE/>
        <w:autoSpaceDN/>
        <w:bidi w:val="0"/>
        <w:spacing w:line="540" w:lineRule="exact"/>
        <w:jc w:val="center"/>
        <w:textAlignment w:val="auto"/>
        <w:outlineLvl w:val="9"/>
        <w:rPr>
          <w:rFonts w:ascii="仿宋_GB2312" w:hAnsi="宋体" w:hint="eastAsia"/>
          <w:szCs w:val="32"/>
        </w:rPr>
      </w:pPr>
    </w:p>
    <w:p>
      <w:pPr>
        <w:keepNext w:val="0"/>
        <w:keepLines w:val="0"/>
        <w:pageBreakBefore w:val="0"/>
        <w:widowControl w:val="0"/>
        <w:kinsoku/>
        <w:wordWrap/>
        <w:overflowPunct/>
        <w:topLinePunct w:val="0"/>
        <w:autoSpaceDE/>
        <w:autoSpaceDN/>
        <w:bidi w:val="0"/>
        <w:spacing w:line="540" w:lineRule="exact"/>
        <w:jc w:val="center"/>
        <w:textAlignment w:val="auto"/>
        <w:outlineLvl w:val="9"/>
        <w:rPr>
          <w:rFonts w:ascii="仿宋_GB2312" w:hAnsi="宋体" w:hint="eastAsia"/>
          <w:sz w:val="32"/>
          <w:szCs w:val="32"/>
        </w:rPr>
      </w:pPr>
      <w:r>
        <w:rPr>
          <w:rFonts w:ascii="仿宋_GB2312" w:hAnsi="宋体" w:hint="eastAsia"/>
          <w:sz w:val="32"/>
          <w:szCs w:val="32"/>
        </w:rPr>
        <w:t>（</w:t>
      </w:r>
      <w:r>
        <w:rPr>
          <w:rFonts w:ascii="仿宋_GB2312" w:hAnsi="宋体" w:hint="eastAsia"/>
          <w:sz w:val="32"/>
          <w:szCs w:val="32"/>
          <w:lang w:eastAsia="zh-CN"/>
        </w:rPr>
        <w:t>老机保系统外代发人员财政补差项目</w:t>
      </w:r>
      <w:r>
        <w:rPr>
          <w:rFonts w:ascii="仿宋_GB2312" w:hAnsi="宋体" w:hint="eastAsia"/>
          <w:sz w:val="32"/>
          <w:szCs w:val="32"/>
        </w:rPr>
        <w:t>）</w:t>
      </w:r>
    </w:p>
    <w:p>
      <w:pPr>
        <w:pStyle w:val="36"/>
        <w:keepNext w:val="0"/>
        <w:keepLines w:val="0"/>
        <w:pageBreakBefore w:val="0"/>
        <w:widowControl w:val="0"/>
        <w:kinsoku/>
        <w:wordWrap/>
        <w:overflowPunct/>
        <w:topLinePunct w:val="0"/>
        <w:autoSpaceDE/>
        <w:autoSpaceDN/>
        <w:bidi w:val="0"/>
        <w:spacing w:line="540" w:lineRule="exact"/>
        <w:jc w:val="center"/>
        <w:textAlignment w:val="auto"/>
        <w:outlineLvl w:val="9"/>
        <w:rPr>
          <w:rFonts w:ascii="宋体" w:cs="Times New Roman" w:hAnsi="宋体" w:hint="eastAsia"/>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黑体" w:eastAsia="黑体" w:hAnsi="宋体" w:hint="eastAsia"/>
          <w:b/>
          <w:bCs/>
          <w:sz w:val="32"/>
          <w:szCs w:val="32"/>
          <w:lang w:val="zh-CN"/>
        </w:rPr>
      </w:pPr>
      <w:r>
        <w:rPr>
          <w:rFonts w:ascii="黑体" w:eastAsia="黑体" w:hAnsi="宋体" w:hint="eastAsia"/>
          <w:b/>
          <w:bCs/>
          <w:sz w:val="32"/>
          <w:szCs w:val="32"/>
        </w:rPr>
        <w:t>一、</w:t>
      </w:r>
      <w:r>
        <w:rPr>
          <w:rFonts w:ascii="黑体" w:eastAsia="黑体" w:hAnsi="宋体" w:hint="eastAsia"/>
          <w:b/>
          <w:bCs/>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楷体_GB2312" w:eastAsia="楷体_GB2312" w:hAnsi="宋体" w:hint="eastAsia"/>
          <w:b/>
          <w:color w:val="000000"/>
          <w:sz w:val="32"/>
          <w:szCs w:val="32"/>
          <w:lang w:val="zh-CN"/>
        </w:rPr>
      </w:pPr>
      <w:r>
        <w:rPr>
          <w:rFonts w:ascii="楷体_GB2312" w:eastAsia="楷体_GB2312" w:hAnsi="宋体" w:hint="eastAsia"/>
          <w:b/>
          <w:color w:val="000000"/>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color w:val="auto"/>
          <w:sz w:val="30"/>
          <w:szCs w:val="30"/>
          <w:lang w:val="en-US" w:eastAsia="zh-CN"/>
          <w:highlight w:val="auto"/>
        </w:rPr>
      </w:pPr>
      <w:r>
        <w:rPr>
          <w:rFonts w:ascii="仿宋_GB2312" w:eastAsia="仿宋_GB2312" w:cs="仿宋_GB2312" w:hAnsi="仿宋_GB2312" w:hint="eastAsia"/>
          <w:color w:val="auto"/>
          <w:sz w:val="30"/>
          <w:szCs w:val="30"/>
          <w:lang w:val="zh-CN" w:eastAsia="zh-CN"/>
          <w:highlight w:val="auto"/>
        </w:rPr>
        <w:t>根据《四川省人民政府关于妥善处理我省原机关事业单位养老保险试点有点问题的通知》（川府发【201</w:t>
      </w:r>
      <w:r>
        <w:rPr>
          <w:rFonts w:ascii="仿宋_GB2312" w:eastAsia="仿宋_GB2312" w:cs="仿宋_GB2312" w:hAnsi="仿宋_GB2312" w:hint="eastAsia"/>
          <w:color w:val="auto"/>
          <w:sz w:val="30"/>
          <w:szCs w:val="30"/>
          <w:lang w:val="en-US" w:eastAsia="zh-CN"/>
          <w:highlight w:val="auto"/>
        </w:rPr>
        <w:t>5</w:t>
      </w:r>
      <w:r>
        <w:rPr>
          <w:rFonts w:ascii="仿宋_GB2312" w:eastAsia="仿宋_GB2312" w:cs="仿宋_GB2312" w:hAnsi="仿宋_GB2312" w:hint="eastAsia"/>
          <w:color w:val="auto"/>
          <w:sz w:val="30"/>
          <w:szCs w:val="30"/>
          <w:lang w:val="zh-CN" w:eastAsia="zh-CN"/>
          <w:highlight w:val="auto"/>
        </w:rPr>
        <w:t>】</w:t>
      </w:r>
      <w:r>
        <w:rPr>
          <w:rFonts w:ascii="仿宋_GB2312" w:eastAsia="仿宋_GB2312" w:cs="仿宋_GB2312" w:hAnsi="仿宋_GB2312" w:hint="eastAsia"/>
          <w:color w:val="auto"/>
          <w:sz w:val="30"/>
          <w:szCs w:val="30"/>
          <w:lang w:val="en-US" w:eastAsia="zh-CN"/>
          <w:highlight w:val="auto"/>
        </w:rPr>
        <w:t>57</w:t>
      </w:r>
      <w:r>
        <w:rPr>
          <w:rFonts w:ascii="仿宋_GB2312" w:eastAsia="仿宋_GB2312" w:cs="仿宋_GB2312" w:hAnsi="仿宋_GB2312" w:hint="eastAsia"/>
          <w:color w:val="auto"/>
          <w:sz w:val="30"/>
          <w:szCs w:val="30"/>
          <w:lang w:val="zh-CN" w:eastAsia="zh-CN"/>
          <w:highlight w:val="auto"/>
        </w:rPr>
        <w:t>号）和《七届区人民政府第</w:t>
      </w:r>
      <w:r>
        <w:rPr>
          <w:rFonts w:ascii="仿宋_GB2312" w:eastAsia="仿宋_GB2312" w:cs="仿宋_GB2312" w:hAnsi="仿宋_GB2312" w:hint="eastAsia"/>
          <w:color w:val="auto"/>
          <w:sz w:val="30"/>
          <w:szCs w:val="30"/>
          <w:lang w:val="en-US" w:eastAsia="zh-CN"/>
          <w:highlight w:val="auto"/>
        </w:rPr>
        <w:t>80次常务会议纪要</w:t>
      </w:r>
      <w:r>
        <w:rPr>
          <w:rFonts w:ascii="仿宋_GB2312" w:eastAsia="仿宋_GB2312" w:cs="仿宋_GB2312" w:hAnsi="仿宋_GB2312" w:hint="eastAsia"/>
          <w:color w:val="auto"/>
          <w:sz w:val="30"/>
          <w:szCs w:val="30"/>
          <w:lang w:val="zh-CN" w:eastAsia="zh-CN"/>
          <w:highlight w:val="auto"/>
        </w:rPr>
        <w:t>》文件精神，原试点出现的基金缺口根据不同情况分别处理：因财政对参保缴费和养老金安排不足形成的基金缺口，由同级财政承担；因参保单位和个人应缴未缴养老保险形成的基金缺口，由参保单位负责归集并按规定补缴到位；因部门（单位）或管理机构挤占、挪用等形成的基金缺口，由责任单位负责弥补。</w:t>
      </w:r>
      <w:r>
        <w:rPr>
          <w:rFonts w:ascii="仿宋_GB2312" w:eastAsia="仿宋_GB2312" w:cs="仿宋_GB2312" w:hAnsi="仿宋_GB2312" w:hint="eastAsia"/>
          <w:color w:val="auto"/>
          <w:sz w:val="30"/>
          <w:szCs w:val="30"/>
          <w:lang w:val="en-US" w:eastAsia="zh-CN"/>
          <w:highlight w:val="auto"/>
        </w:rPr>
        <w:t>2016年8月，合计系统外代发287人。一部分是有人事代理退休人员83人，属于当年政府机构改革的分流人员，在转移企保后由区人社局按照机关养老保险人员核定退休工资、生活补贴、丧葬抚恤待遇，以及工资待遇调整。在其企业保险各项待遇基础上由地方财政找补持平，并纳入台账实名制管理。另一部分是2006年至2010年，原081系统105、116子弟校等9所学校共计204名退休教师移交到利州区教育局管理，这部分退休教师工资由省社保负责移交基础工资部分，区政府按地方退休教师待遇标准给予补差。2015年11月，我区机关事业单位社会保险局正式成立，根据省人社厅要求，这部分教师不能进入机关事业单位社会保险局的机保系统，须移交利州区社会保险事业管理局统一发放养老金，2016年8月开始，204名退休教师移交至利州区社会保险事业管理局管理。截止2020年12月共计系统外代发261人，其中人事代理人员78人，退休移交教师183人。</w:t>
      </w:r>
    </w:p>
    <w:p>
      <w:pPr>
        <w:keepNext w:val="0"/>
        <w:keepLines w:val="0"/>
        <w:pageBreakBefore w:val="0"/>
        <w:widowControl w:val="0"/>
        <w:numPr>
          <w:ilvl w:val="0"/>
          <w:numId w:val="6"/>
        </w:numPr>
        <w:kinsoku/>
        <w:wordWrap/>
        <w:overflowPunct/>
        <w:topLinePunct w:val="0"/>
        <w:autoSpaceDE/>
        <w:autoSpaceDN/>
        <w:bidi w:val="0"/>
        <w:adjustRightInd w:val="0"/>
        <w:snapToGrid w:val="0"/>
        <w:spacing w:line="540" w:lineRule="exact"/>
        <w:ind w:left="0" w:firstLineChars="200" w:firstLine="640"/>
        <w:textAlignment w:val="auto"/>
        <w:outlineLvl w:val="9"/>
        <w:rPr>
          <w:rFonts w:ascii="楷体_GB2312" w:eastAsia="楷体_GB2312" w:cs="Times New Roman" w:hAnsi="宋体" w:hint="eastAsia"/>
          <w:b/>
          <w:color w:val="000000"/>
          <w:sz w:val="32"/>
          <w:szCs w:val="32"/>
          <w:lang w:val="zh-CN"/>
        </w:rPr>
      </w:pPr>
      <w:r>
        <w:rPr>
          <w:rFonts w:ascii="楷体_GB2312" w:eastAsia="楷体_GB2312" w:cs="Times New Roman" w:hAnsi="宋体" w:hint="eastAsia"/>
          <w:b/>
          <w:color w:val="000000"/>
          <w:sz w:val="32"/>
          <w:szCs w:val="32"/>
          <w:lang w:val="zh-CN"/>
        </w:rPr>
        <w:t>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202</w:t>
      </w:r>
      <w:r>
        <w:rPr>
          <w:rFonts w:ascii="仿宋_GB2312" w:eastAsia="仿宋_GB2312" w:cs="仿宋_GB2312" w:hAnsi="仿宋_GB2312" w:hint="eastAsia"/>
          <w:color w:val="auto"/>
          <w:sz w:val="30"/>
          <w:szCs w:val="30"/>
          <w:lang w:val="en-US" w:eastAsia="zh-CN"/>
          <w:highlight w:val="auto"/>
        </w:rPr>
        <w:t>2</w:t>
      </w:r>
      <w:r>
        <w:rPr>
          <w:rFonts w:ascii="仿宋_GB2312" w:eastAsia="仿宋_GB2312" w:cs="仿宋_GB2312" w:hAnsi="仿宋_GB2312" w:hint="eastAsia"/>
          <w:color w:val="auto"/>
          <w:sz w:val="30"/>
          <w:szCs w:val="30"/>
          <w:lang w:val="zh-CN" w:eastAsia="zh-CN"/>
          <w:highlight w:val="auto"/>
        </w:rPr>
        <w:t>年我区</w:t>
      </w:r>
      <w:r>
        <w:rPr>
          <w:rFonts w:ascii="仿宋_GB2312" w:eastAsia="仿宋_GB2312" w:cs="仿宋_GB2312" w:hAnsi="仿宋_GB2312" w:hint="eastAsia"/>
          <w:color w:val="auto"/>
          <w:sz w:val="30"/>
          <w:szCs w:val="30"/>
          <w:lang w:val="en-US" w:eastAsia="zh-CN"/>
          <w:highlight w:val="auto"/>
        </w:rPr>
        <w:t>人事代理和退休移交教师人员补差</w:t>
      </w:r>
      <w:r>
        <w:rPr>
          <w:rFonts w:ascii="仿宋_GB2312" w:eastAsia="仿宋_GB2312" w:cs="仿宋_GB2312" w:hAnsi="仿宋_GB2312" w:hint="eastAsia"/>
          <w:color w:val="auto"/>
          <w:sz w:val="30"/>
          <w:szCs w:val="30"/>
          <w:lang w:val="zh-CN" w:eastAsia="zh-CN"/>
          <w:highlight w:val="auto"/>
        </w:rPr>
        <w:t>项目资金，主要用于符合补差的人事代理人员和退休移交教师的养老金发放的补差。202</w:t>
      </w:r>
      <w:r>
        <w:rPr>
          <w:rFonts w:ascii="仿宋_GB2312" w:eastAsia="仿宋_GB2312" w:cs="仿宋_GB2312" w:hAnsi="仿宋_GB2312" w:hint="eastAsia"/>
          <w:color w:val="auto"/>
          <w:sz w:val="30"/>
          <w:szCs w:val="30"/>
          <w:lang w:val="en-US" w:eastAsia="zh-CN"/>
          <w:highlight w:val="auto"/>
        </w:rPr>
        <w:t>2</w:t>
      </w:r>
      <w:r>
        <w:rPr>
          <w:rFonts w:ascii="仿宋_GB2312" w:eastAsia="仿宋_GB2312" w:cs="仿宋_GB2312" w:hAnsi="仿宋_GB2312" w:hint="eastAsia"/>
          <w:color w:val="auto"/>
          <w:sz w:val="30"/>
          <w:szCs w:val="30"/>
          <w:lang w:val="zh-CN" w:eastAsia="zh-CN"/>
          <w:highlight w:val="auto"/>
        </w:rPr>
        <w:t>年为</w:t>
      </w:r>
      <w:r>
        <w:rPr>
          <w:rFonts w:ascii="仿宋_GB2312" w:eastAsia="仿宋_GB2312" w:cs="仿宋_GB2312" w:hAnsi="仿宋_GB2312" w:hint="eastAsia"/>
          <w:color w:val="auto"/>
          <w:sz w:val="30"/>
          <w:szCs w:val="30"/>
          <w:lang w:val="en-US" w:eastAsia="zh-CN"/>
          <w:highlight w:val="auto"/>
        </w:rPr>
        <w:t>251人</w:t>
      </w:r>
      <w:r>
        <w:rPr>
          <w:rFonts w:ascii="仿宋_GB2312" w:eastAsia="仿宋_GB2312" w:cs="仿宋_GB2312" w:hAnsi="仿宋_GB2312" w:hint="eastAsia"/>
          <w:color w:val="auto"/>
          <w:sz w:val="30"/>
          <w:szCs w:val="30"/>
          <w:lang w:val="zh-CN" w:eastAsia="zh-CN"/>
          <w:highlight w:val="auto"/>
        </w:rPr>
        <w:t>，全年发放补差养老金</w:t>
      </w:r>
      <w:r>
        <w:rPr>
          <w:rFonts w:ascii="仿宋_GB2312" w:eastAsia="仿宋_GB2312" w:cs="仿宋_GB2312" w:hAnsi="仿宋_GB2312" w:hint="eastAsia"/>
          <w:color w:val="auto"/>
          <w:sz w:val="30"/>
          <w:szCs w:val="30"/>
          <w:lang w:val="en-US" w:eastAsia="zh-CN"/>
          <w:highlight w:val="auto"/>
        </w:rPr>
        <w:t>439.15</w:t>
      </w:r>
      <w:r>
        <w:rPr>
          <w:rFonts w:ascii="仿宋_GB2312" w:eastAsia="仿宋_GB2312" w:cs="仿宋_GB2312" w:hAnsi="仿宋_GB2312" w:hint="eastAsia"/>
          <w:color w:val="auto"/>
          <w:sz w:val="30"/>
          <w:szCs w:val="30"/>
          <w:lang w:val="zh-CN" w:eastAsia="zh-CN"/>
          <w:highlight w:val="auto"/>
        </w:rPr>
        <w:t>元。</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Chars="200" w:firstLine="640"/>
        <w:textAlignment w:val="auto"/>
        <w:outlineLvl w:val="9"/>
        <w:rPr>
          <w:rFonts w:ascii="楷体_GB2312" w:eastAsia="楷体_GB2312" w:cs="Times New Roman" w:hAnsi="宋体" w:hint="eastAsia"/>
          <w:b/>
          <w:color w:val="000000"/>
          <w:sz w:val="32"/>
          <w:szCs w:val="32"/>
          <w:lang w:val="zh-CN"/>
        </w:rPr>
      </w:pPr>
      <w:r>
        <w:rPr>
          <w:rFonts w:ascii="楷体_GB2312" w:eastAsia="楷体_GB2312" w:cs="Times New Roman" w:hAnsi="宋体" w:hint="eastAsia"/>
          <w:b/>
          <w:color w:val="000000"/>
          <w:sz w:val="32"/>
          <w:szCs w:val="32"/>
          <w:lang w:val="zh-CN" w:eastAsia="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一是高度重视，强组织领导。成立了以分管局长为组长、中心主任为副组长，中心各股室业务骨干为成员的基金财务专项检查工作领导小组，明确了工作职责及工作要求。二是统筹力量，真查实排。确定此次绩效自评工作为我中心的首要工作，由社保中心基金财务股统筹力量，对照2023年财政绩效评价工作通知，填写绩效自评表，撰写自评报告，认真做好自评工作。</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黑体" w:eastAsia="黑体" w:cs="Times New Roman" w:hAnsi="宋体" w:hint="eastAsia"/>
          <w:b/>
          <w:bCs/>
          <w:sz w:val="32"/>
          <w:szCs w:val="32"/>
          <w:lang w:val="en-US" w:eastAsia="zh-CN"/>
        </w:rPr>
      </w:pPr>
      <w:r>
        <w:rPr>
          <w:rFonts w:ascii="黑体" w:eastAsia="黑体" w:cs="Times New Roman" w:hAnsi="宋体" w:hint="eastAsia"/>
          <w:b/>
          <w:bCs/>
          <w:sz w:val="32"/>
          <w:szCs w:val="32"/>
          <w:lang w:val="en-US" w:eastAsia="zh-CN"/>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Chars="200" w:firstLine="640"/>
        <w:textAlignment w:val="auto"/>
        <w:outlineLvl w:val="9"/>
        <w:rPr>
          <w:rFonts w:ascii="楷体_GB2312" w:eastAsia="楷体_GB2312" w:cs="Times New Roman" w:hAnsi="宋体" w:hint="eastAsia"/>
          <w:b/>
          <w:color w:val="000000"/>
          <w:sz w:val="32"/>
          <w:szCs w:val="32"/>
          <w:lang w:val="zh-CN" w:eastAsia="zh-CN"/>
        </w:rPr>
      </w:pPr>
      <w:r>
        <w:rPr>
          <w:rFonts w:ascii="楷体_GB2312" w:eastAsia="楷体_GB2312" w:cs="Times New Roman" w:hAnsi="宋体" w:hint="eastAsia"/>
          <w:b/>
          <w:color w:val="000000"/>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zh-CN" w:eastAsia="zh-CN"/>
          <w:highlight w:val="auto"/>
        </w:rPr>
        <w:t>根据《四川省人民政府关于妥善处理我省原机关事业单位养老保险试点有点问题的通知》（川府发【201</w:t>
      </w:r>
      <w:r>
        <w:rPr>
          <w:rFonts w:ascii="仿宋_GB2312" w:eastAsia="仿宋_GB2312" w:cs="仿宋_GB2312" w:hAnsi="仿宋_GB2312" w:hint="eastAsia"/>
          <w:color w:val="auto"/>
          <w:sz w:val="30"/>
          <w:szCs w:val="30"/>
          <w:lang w:val="en-US" w:eastAsia="zh-CN"/>
          <w:highlight w:val="auto"/>
        </w:rPr>
        <w:t>5</w:t>
      </w:r>
      <w:r>
        <w:rPr>
          <w:rFonts w:ascii="仿宋_GB2312" w:eastAsia="仿宋_GB2312" w:cs="仿宋_GB2312" w:hAnsi="仿宋_GB2312" w:hint="eastAsia"/>
          <w:color w:val="auto"/>
          <w:sz w:val="30"/>
          <w:szCs w:val="30"/>
          <w:lang w:val="zh-CN" w:eastAsia="zh-CN"/>
          <w:highlight w:val="auto"/>
        </w:rPr>
        <w:t>】</w:t>
      </w:r>
      <w:r>
        <w:rPr>
          <w:rFonts w:ascii="仿宋_GB2312" w:eastAsia="仿宋_GB2312" w:cs="仿宋_GB2312" w:hAnsi="仿宋_GB2312" w:hint="eastAsia"/>
          <w:color w:val="auto"/>
          <w:sz w:val="30"/>
          <w:szCs w:val="30"/>
          <w:lang w:val="en-US" w:eastAsia="zh-CN"/>
          <w:highlight w:val="auto"/>
        </w:rPr>
        <w:t>57</w:t>
      </w:r>
      <w:r>
        <w:rPr>
          <w:rFonts w:ascii="仿宋_GB2312" w:eastAsia="仿宋_GB2312" w:cs="仿宋_GB2312" w:hAnsi="仿宋_GB2312" w:hint="eastAsia"/>
          <w:color w:val="auto"/>
          <w:sz w:val="30"/>
          <w:szCs w:val="30"/>
          <w:lang w:val="zh-CN" w:eastAsia="zh-CN"/>
          <w:highlight w:val="auto"/>
        </w:rPr>
        <w:t>号）和《七届区人民政府第</w:t>
      </w:r>
      <w:r>
        <w:rPr>
          <w:rFonts w:ascii="仿宋_GB2312" w:eastAsia="仿宋_GB2312" w:cs="仿宋_GB2312" w:hAnsi="仿宋_GB2312" w:hint="eastAsia"/>
          <w:color w:val="auto"/>
          <w:sz w:val="30"/>
          <w:szCs w:val="30"/>
          <w:lang w:val="en-US" w:eastAsia="zh-CN"/>
          <w:highlight w:val="auto"/>
        </w:rPr>
        <w:t>80次常务会议纪要</w:t>
      </w:r>
      <w:r>
        <w:rPr>
          <w:rFonts w:ascii="仿宋_GB2312" w:eastAsia="仿宋_GB2312" w:cs="仿宋_GB2312" w:hAnsi="仿宋_GB2312" w:hint="eastAsia"/>
          <w:color w:val="auto"/>
          <w:sz w:val="30"/>
          <w:szCs w:val="30"/>
          <w:lang w:val="zh-CN" w:eastAsia="zh-CN"/>
          <w:highlight w:val="auto"/>
        </w:rPr>
        <w:t>》文件精神，按待遇每年预计</w:t>
      </w:r>
      <w:r>
        <w:rPr>
          <w:rFonts w:ascii="仿宋_GB2312" w:eastAsia="仿宋_GB2312" w:cs="仿宋_GB2312" w:hAnsi="仿宋_GB2312" w:hint="eastAsia"/>
          <w:color w:val="auto"/>
          <w:sz w:val="30"/>
          <w:szCs w:val="30"/>
          <w:lang w:val="en-US" w:eastAsia="zh-CN"/>
          <w:highlight w:val="auto"/>
        </w:rPr>
        <w:t>0.5%的增长。</w:t>
      </w:r>
      <w:r>
        <w:rPr>
          <w:rFonts w:ascii="仿宋_GB2312" w:eastAsia="仿宋_GB2312" w:cs="仿宋_GB2312" w:hAnsi="仿宋_GB2312" w:hint="eastAsia"/>
          <w:color w:val="auto"/>
          <w:sz w:val="30"/>
          <w:szCs w:val="30"/>
          <w:lang w:val="zh-CN" w:eastAsia="zh-CN"/>
          <w:highlight w:val="auto"/>
        </w:rPr>
        <w:t>所需资金由财政全额负担</w:t>
      </w:r>
      <w:r>
        <w:rPr>
          <w:rFonts w:ascii="仿宋_GB2312" w:eastAsia="仿宋_GB2312" w:cs="仿宋_GB2312" w:hAnsi="仿宋_GB2312" w:hint="eastAsia"/>
          <w:color w:val="auto"/>
          <w:sz w:val="30"/>
          <w:szCs w:val="30"/>
          <w:lang w:val="en-US"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Chars="200" w:firstLine="640"/>
        <w:textAlignment w:val="auto"/>
        <w:outlineLvl w:val="9"/>
        <w:rPr>
          <w:rFonts w:ascii="楷体_GB2312" w:eastAsia="楷体_GB2312" w:cs="Times New Roman" w:hAnsi="宋体" w:hint="eastAsia"/>
          <w:b/>
          <w:color w:val="000000"/>
          <w:sz w:val="32"/>
          <w:szCs w:val="32"/>
          <w:lang w:val="zh-CN" w:eastAsia="zh-CN"/>
        </w:rPr>
      </w:pPr>
      <w:r>
        <w:rPr>
          <w:rFonts w:ascii="楷体_GB2312" w:eastAsia="楷体_GB2312" w:cs="Times New Roman" w:hAnsi="宋体" w:hint="eastAsia"/>
          <w:b/>
          <w:color w:val="000000"/>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1、资金计划及到位。财政补贴的系统外养老金补差</w:t>
      </w:r>
      <w:r>
        <w:rPr>
          <w:rFonts w:ascii="仿宋_GB2312" w:eastAsia="仿宋_GB2312" w:cs="仿宋_GB2312" w:hAnsi="仿宋_GB2312" w:hint="eastAsia"/>
          <w:color w:val="auto"/>
          <w:sz w:val="30"/>
          <w:szCs w:val="30"/>
          <w:lang w:val="en-US" w:eastAsia="zh-CN"/>
          <w:highlight w:val="auto"/>
        </w:rPr>
        <w:t>439.15万</w:t>
      </w:r>
      <w:r>
        <w:rPr>
          <w:rFonts w:ascii="仿宋_GB2312" w:eastAsia="仿宋_GB2312" w:cs="仿宋_GB2312" w:hAnsi="仿宋_GB2312" w:hint="eastAsia"/>
          <w:color w:val="auto"/>
          <w:sz w:val="30"/>
          <w:szCs w:val="30"/>
          <w:lang w:val="zh-CN" w:eastAsia="zh-CN"/>
          <w:highlight w:val="auto"/>
        </w:rPr>
        <w:t>元，按照年初预算，一次性拨付到位。年初已全额拨付到人社局，资金到位率100%。对人事代理人员和移交教师的补差</w:t>
      </w:r>
      <w:r>
        <w:rPr>
          <w:rFonts w:ascii="仿宋_GB2312" w:eastAsia="仿宋_GB2312" w:cs="仿宋_GB2312" w:hAnsi="仿宋_GB2312" w:hint="eastAsia"/>
          <w:color w:val="auto"/>
          <w:sz w:val="30"/>
          <w:szCs w:val="30"/>
          <w:lang w:val="en-US" w:eastAsia="zh-CN"/>
          <w:highlight w:val="auto"/>
        </w:rPr>
        <w:t>439.15万元按</w:t>
      </w:r>
      <w:r>
        <w:rPr>
          <w:rFonts w:ascii="仿宋_GB2312" w:eastAsia="仿宋_GB2312" w:cs="仿宋_GB2312" w:hAnsi="仿宋_GB2312" w:hint="eastAsia"/>
          <w:color w:val="auto"/>
          <w:sz w:val="30"/>
          <w:szCs w:val="30"/>
          <w:lang w:val="zh-CN" w:eastAsia="zh-CN"/>
          <w:highlight w:val="auto"/>
        </w:rPr>
        <w:t>发放时间进度，按月申报拨付计划，</w:t>
      </w:r>
      <w:r>
        <w:rPr>
          <w:rFonts w:ascii="仿宋_GB2312" w:eastAsia="仿宋_GB2312" w:cs="仿宋_GB2312" w:hAnsi="仿宋_GB2312" w:hint="eastAsia"/>
          <w:color w:val="auto"/>
          <w:sz w:val="30"/>
          <w:szCs w:val="30"/>
          <w:lang w:val="en-US" w:eastAsia="zh-CN"/>
          <w:highlight w:val="auto"/>
        </w:rPr>
        <w:t>每月</w:t>
      </w:r>
      <w:r>
        <w:rPr>
          <w:rFonts w:ascii="仿宋_GB2312" w:eastAsia="仿宋_GB2312" w:cs="仿宋_GB2312" w:hAnsi="仿宋_GB2312" w:hint="eastAsia"/>
          <w:color w:val="auto"/>
          <w:sz w:val="30"/>
          <w:szCs w:val="30"/>
          <w:lang w:val="zh-CN" w:eastAsia="zh-CN"/>
          <w:highlight w:val="auto"/>
        </w:rPr>
        <w:t xml:space="preserve">按时全部拨付到基金支出户，资金到位率100%。 </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2、资金使用。按照养老待遇按月发放要求，及时足额发放至待遇领取人社保卡，社会化发放率100%,资金使用率100%。每月，将人事代理和系统外移交教师补差的养老金发放到个人账户。</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Chars="200" w:firstLine="640"/>
        <w:textAlignment w:val="auto"/>
        <w:outlineLvl w:val="9"/>
        <w:rPr>
          <w:rFonts w:ascii="楷体_GB2312" w:eastAsia="楷体_GB2312" w:cs="Times New Roman" w:hAnsi="宋体" w:hint="eastAsia"/>
          <w:b/>
          <w:color w:val="000000"/>
          <w:sz w:val="32"/>
          <w:szCs w:val="32"/>
          <w:lang w:val="zh-CN" w:eastAsia="zh-CN"/>
        </w:rPr>
      </w:pPr>
      <w:r>
        <w:rPr>
          <w:rFonts w:ascii="楷体_GB2312" w:eastAsia="楷体_GB2312" w:cs="Times New Roman" w:hAnsi="宋体" w:hint="eastAsia"/>
          <w:b/>
          <w:color w:val="000000"/>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财政对人事代理和移交教师补差的养老金严格执行政策，坚决杜绝违规纳入，严格按照社会保险基金管理使用办法，实行收支两条线管理。本单位单设基金财务室，配专职会计和出纳各一人。严格按照</w:t>
      </w:r>
      <w:r>
        <w:rPr>
          <w:rFonts w:ascii="仿宋_GB2312" w:eastAsia="仿宋_GB2312" w:cs="仿宋_GB2312" w:hAnsi="仿宋_GB2312" w:hint="eastAsia"/>
          <w:color w:val="auto"/>
          <w:sz w:val="30"/>
          <w:szCs w:val="30"/>
          <w:lang w:val="en-US" w:eastAsia="zh-CN"/>
          <w:highlight w:val="auto"/>
        </w:rPr>
        <w:t>《社会保险基金财务制度》（财社〔2017〕144号）规定，分账核算，分别计息，专款专用，按月对账，做到账账相符，账实相符</w:t>
      </w:r>
      <w:r>
        <w:rPr>
          <w:rFonts w:ascii="仿宋_GB2312" w:eastAsia="仿宋_GB2312" w:cs="仿宋_GB2312" w:hAnsi="仿宋_GB2312" w:hint="eastAsia"/>
          <w:color w:val="auto"/>
          <w:sz w:val="30"/>
          <w:szCs w:val="30"/>
          <w:lang w:val="zh-CN" w:eastAsia="zh-CN"/>
          <w:highlight w:val="auto"/>
        </w:rPr>
        <w:t xml:space="preserve">。退管股按月生成拨付单据和系统外拨付加密文件，出纳核对数据和拨付单，同时开具相应的银行票据，完成补差待遇的发放。该项目收支使用及财务处理均严格按照财务管理制度执行。为有效防范支付风险，我中心全面取消了手工和现金业务，该支付业务通过系统外网银拨付，杜绝人为挪用或违规修改数据现象，切实维护基金安全完整。 </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黑体" w:eastAsia="黑体" w:cs="Times New Roman" w:hAnsi="宋体" w:hint="eastAsia"/>
          <w:b/>
          <w:bCs/>
          <w:sz w:val="32"/>
          <w:szCs w:val="32"/>
          <w:lang w:val="zh-CN" w:eastAsia="zh-CN"/>
        </w:rPr>
      </w:pPr>
      <w:r>
        <w:rPr>
          <w:rFonts w:ascii="黑体" w:eastAsia="黑体" w:cs="Times New Roman" w:hAnsi="宋体" w:hint="eastAsia"/>
          <w:b/>
          <w:bCs/>
          <w:sz w:val="32"/>
          <w:szCs w:val="32"/>
          <w:lang w:val="zh-CN" w:eastAsia="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en-US" w:eastAsia="zh-CN"/>
          <w:highlight w:val="auto"/>
        </w:rPr>
      </w:pPr>
      <w:r>
        <w:rPr>
          <w:rFonts w:ascii="仿宋_GB2312" w:eastAsia="仿宋_GB2312" w:cs="仿宋_GB2312" w:hAnsi="仿宋_GB2312" w:hint="eastAsia"/>
          <w:color w:val="auto"/>
          <w:sz w:val="30"/>
          <w:szCs w:val="30"/>
          <w:lang w:val="en-US" w:eastAsia="zh-CN"/>
          <w:highlight w:val="auto"/>
        </w:rPr>
        <w:t>为确保机关事业单位养老保险制度改革顺利实施，维护社会稳定，区人社局每年将人事代理和退休移交教师人员补差纳入年初财政预算。当年由财政转入人社局，人社局再转入社会保险事业管理局，</w:t>
      </w:r>
      <w:r>
        <w:rPr>
          <w:rFonts w:ascii="仿宋_GB2312" w:eastAsia="仿宋_GB2312" w:cs="仿宋_GB2312" w:hAnsi="仿宋_GB2312" w:hint="eastAsia"/>
          <w:color w:val="auto"/>
          <w:sz w:val="30"/>
          <w:szCs w:val="30"/>
          <w:lang w:val="zh-CN" w:eastAsia="zh-CN"/>
          <w:highlight w:val="auto"/>
        </w:rPr>
        <w:t>次年根据实际基金支付情况进行结算，多退少补。</w:t>
      </w:r>
      <w:r>
        <w:rPr>
          <w:rFonts w:ascii="仿宋_GB2312" w:eastAsia="仿宋_GB2312" w:cs="仿宋_GB2312" w:hAnsi="仿宋_GB2312" w:hint="eastAsia"/>
          <w:color w:val="auto"/>
          <w:sz w:val="30"/>
          <w:szCs w:val="30"/>
          <w:lang w:val="en-US" w:eastAsia="zh-CN"/>
          <w:highlight w:val="auto"/>
        </w:rPr>
        <w:t>2017年人社局转入477.12万元，2018年转439.8万元，2019年转入428.32万元，2020年转入436.27万元,2021年转入436.8万元,2022年转入439.15万元。</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仿宋_GB2312" w:hAnsi="宋体" w:hint="eastAsia"/>
          <w:b/>
          <w:bCs/>
          <w:sz w:val="32"/>
          <w:szCs w:val="32"/>
          <w:lang w:val="zh-CN"/>
        </w:rPr>
      </w:pPr>
      <w:r>
        <w:rPr>
          <w:rFonts w:ascii="黑体" w:eastAsia="黑体" w:hAnsi="宋体" w:hint="eastAsia"/>
          <w:b/>
          <w:bCs/>
          <w:sz w:val="32"/>
          <w:szCs w:val="32"/>
          <w:lang w:eastAsia="zh-CN"/>
        </w:rPr>
        <w:t>四</w:t>
      </w:r>
      <w:r>
        <w:rPr>
          <w:rFonts w:ascii="黑体" w:eastAsia="黑体" w:hAnsi="宋体" w:hint="eastAsia"/>
          <w:b/>
          <w:bCs/>
          <w:sz w:val="32"/>
          <w:szCs w:val="32"/>
        </w:rPr>
        <w:t>、目标</w:t>
      </w:r>
      <w:r>
        <w:rPr>
          <w:rFonts w:ascii="黑体" w:eastAsia="黑体" w:hAnsi="宋体" w:hint="eastAsia"/>
          <w:b/>
          <w:bCs/>
          <w:sz w:val="32"/>
          <w:szCs w:val="32"/>
          <w:lang w:eastAsia="zh-CN"/>
        </w:rPr>
        <w:t>绩效</w:t>
      </w:r>
      <w:r>
        <w:rPr>
          <w:rFonts w:ascii="黑体" w:eastAsia="黑体" w:hAnsi="宋体" w:hint="eastAsia"/>
          <w:b/>
          <w:bCs/>
          <w:sz w:val="32"/>
          <w:szCs w:val="32"/>
        </w:rPr>
        <w:t>情况</w:t>
      </w:r>
      <w:r>
        <w:rPr>
          <w:rFonts w:ascii="仿宋_GB2312" w:hAnsi="宋体" w:hint="eastAsia"/>
          <w:b/>
          <w:bCs/>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该项目资金，按月实施，根据每月实际领取待遇人数和应发放金额支付，全年支付完成率100%，对照项目计划，每月</w:t>
      </w:r>
      <w:r>
        <w:rPr>
          <w:rFonts w:ascii="仿宋_GB2312" w:eastAsia="仿宋_GB2312" w:cs="仿宋_GB2312" w:hAnsi="仿宋_GB2312" w:hint="eastAsia"/>
          <w:color w:val="auto"/>
          <w:sz w:val="30"/>
          <w:szCs w:val="30"/>
          <w:lang w:val="en-US" w:eastAsia="zh-CN"/>
          <w:highlight w:val="auto"/>
        </w:rPr>
        <w:t>15</w:t>
      </w:r>
      <w:r>
        <w:rPr>
          <w:rFonts w:ascii="仿宋_GB2312" w:eastAsia="仿宋_GB2312" w:cs="仿宋_GB2312" w:hAnsi="仿宋_GB2312" w:hint="eastAsia"/>
          <w:color w:val="auto"/>
          <w:sz w:val="30"/>
          <w:szCs w:val="30"/>
          <w:lang w:val="zh-CN" w:eastAsia="zh-CN"/>
          <w:highlight w:val="auto"/>
        </w:rPr>
        <w:t>日左右将待遇领取人员养老金按标准发放至参保人社保卡，无一错发和漏发。因账号发生变化等个人原因发放不成功的，次月进行勘误补发，社会化发放率100%。</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楷体_GB2312" w:eastAsia="楷体_GB2312" w:cs="Times New Roman" w:hAnsi="宋体" w:hint="eastAsia"/>
          <w:b/>
          <w:sz w:val="32"/>
          <w:szCs w:val="32"/>
          <w:lang w:val="zh-CN"/>
        </w:rPr>
      </w:pPr>
      <w:r>
        <w:rPr>
          <w:rFonts w:ascii="楷体_GB2312" w:eastAsia="楷体_GB2312" w:cs="Times New Roman" w:hAnsi="宋体" w:hint="eastAsia"/>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00"/>
        <w:textAlignment w:val="auto"/>
        <w:outlineLvl w:val="9"/>
        <w:rPr>
          <w:rFonts w:ascii="仿宋_GB2312" w:eastAsia="仿宋_GB2312" w:cs="仿宋_GB2312" w:hAnsi="仿宋_GB2312" w:hint="eastAsia"/>
          <w:color w:val="auto"/>
          <w:sz w:val="30"/>
          <w:szCs w:val="30"/>
          <w:lang w:val="zh-CN" w:eastAsia="zh-CN"/>
          <w:highlight w:val="auto"/>
        </w:rPr>
      </w:pPr>
      <w:r>
        <w:rPr>
          <w:rFonts w:ascii="仿宋_GB2312" w:eastAsia="仿宋_GB2312" w:cs="仿宋_GB2312" w:hAnsi="仿宋_GB2312" w:hint="eastAsia"/>
          <w:color w:val="auto"/>
          <w:sz w:val="30"/>
          <w:szCs w:val="30"/>
          <w:lang w:val="zh-CN" w:eastAsia="zh-CN"/>
          <w:highlight w:val="auto"/>
        </w:rPr>
        <w:t>根据项目具体情况进行分析，202</w:t>
      </w:r>
      <w:r>
        <w:rPr>
          <w:rFonts w:ascii="仿宋_GB2312" w:eastAsia="仿宋_GB2312" w:cs="仿宋_GB2312" w:hAnsi="仿宋_GB2312" w:hint="eastAsia"/>
          <w:color w:val="auto"/>
          <w:sz w:val="30"/>
          <w:szCs w:val="30"/>
          <w:lang w:val="en-US" w:eastAsia="zh-CN"/>
          <w:highlight w:val="auto"/>
        </w:rPr>
        <w:t>2</w:t>
      </w:r>
      <w:r>
        <w:rPr>
          <w:rFonts w:ascii="仿宋_GB2312" w:eastAsia="仿宋_GB2312" w:cs="仿宋_GB2312" w:hAnsi="仿宋_GB2312" w:hint="eastAsia"/>
          <w:color w:val="auto"/>
          <w:sz w:val="30"/>
          <w:szCs w:val="30"/>
          <w:lang w:val="zh-CN" w:eastAsia="zh-CN"/>
          <w:highlight w:val="auto"/>
        </w:rPr>
        <w:t>年地方财政对人事代理和移交教师的补差财政补助的项目，确保了机关事业单位养老保险制度改革顺利实施，维护了社会稳定。</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黑体" w:eastAsia="黑体" w:hAnsi="宋体" w:hint="eastAsia"/>
          <w:b/>
          <w:bCs/>
          <w:sz w:val="32"/>
          <w:szCs w:val="32"/>
        </w:rPr>
      </w:pPr>
      <w:r>
        <w:rPr>
          <w:rFonts w:ascii="黑体" w:eastAsia="黑体" w:hAnsi="宋体" w:hint="eastAsia"/>
          <w:b/>
          <w:bCs/>
          <w:sz w:val="32"/>
          <w:szCs w:val="32"/>
        </w:rPr>
        <w:t>五、问题及建议</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仿宋_GB2312" w:eastAsia="仿宋_GB2312" w:cs="仿宋_GB2312" w:hAnsi="仿宋_GB2312" w:hint="eastAsia"/>
          <w:color w:val="auto"/>
          <w:sz w:val="30"/>
          <w:szCs w:val="30"/>
          <w:lang w:val="zh-CN" w:eastAsia="zh-CN"/>
          <w:highlight w:val="auto"/>
        </w:rPr>
      </w:pPr>
      <w:r>
        <w:rPr>
          <w:rFonts w:ascii="楷体_GB2312" w:eastAsia="楷体_GB2312" w:cs="Times New Roman" w:hAnsi="宋体" w:hint="eastAsia"/>
          <w:b/>
          <w:sz w:val="32"/>
          <w:szCs w:val="32"/>
          <w:lang w:val="zh-CN"/>
        </w:rPr>
        <w:t>（一）存在的问题。</w:t>
      </w:r>
      <w:r>
        <w:rPr>
          <w:rFonts w:ascii="仿宋_GB2312" w:eastAsia="仿宋_GB2312" w:cs="仿宋_GB2312" w:hAnsi="仿宋_GB2312" w:hint="eastAsia"/>
          <w:color w:val="auto"/>
          <w:sz w:val="30"/>
          <w:szCs w:val="30"/>
          <w:lang w:val="zh-CN" w:eastAsia="zh-CN"/>
          <w:highlight w:val="auto"/>
        </w:rPr>
        <w:t>人事代理和退休教师移交人员属于机关事业单位养老保险制度改革的历史遗留问题，一直未能纳入社保系统发放。系统外发放存在一定的风险。</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仿宋_GB2312" w:eastAsia="仿宋_GB2312" w:cs="仿宋_GB2312" w:hAnsi="仿宋_GB2312" w:hint="eastAsia"/>
          <w:color w:val="auto"/>
          <w:sz w:val="30"/>
          <w:szCs w:val="30"/>
          <w:lang w:val="zh-CN" w:eastAsia="zh-CN"/>
          <w:highlight w:val="auto"/>
        </w:rPr>
      </w:pPr>
      <w:r>
        <w:rPr>
          <w:rFonts w:ascii="楷体_GB2312" w:eastAsia="楷体_GB2312" w:cs="Times New Roman" w:hAnsi="宋体" w:hint="eastAsia"/>
          <w:b/>
          <w:sz w:val="32"/>
          <w:szCs w:val="32"/>
          <w:lang w:val="zh-CN"/>
        </w:rPr>
        <w:t>（二）相关建议。</w:t>
      </w:r>
      <w:r>
        <w:rPr>
          <w:rFonts w:ascii="仿宋_GB2312" w:eastAsia="仿宋_GB2312" w:cs="仿宋_GB2312" w:hAnsi="仿宋_GB2312" w:hint="eastAsia"/>
          <w:color w:val="auto"/>
          <w:sz w:val="30"/>
          <w:szCs w:val="30"/>
          <w:lang w:val="zh-CN" w:eastAsia="zh-CN"/>
          <w:highlight w:val="auto"/>
        </w:rPr>
        <w:t>建议纳入社保系统发放。</w:t>
      </w:r>
    </w:p>
    <w:p>
      <w:pPr>
        <w:pStyle w:val="16"/>
        <w:outlineLvl w:val="9"/>
        <w:rPr>
          <w:sz w:val="32"/>
          <w:szCs w:val="32"/>
        </w:rPr>
      </w:pPr>
    </w:p>
    <w:p>
      <w:pPr>
        <w:outlineLvl w:val="9"/>
      </w:pPr>
    </w:p>
    <w:p>
      <w:pPr>
        <w:pStyle w:val="16"/>
        <w:outlineLvl w:val="9"/>
      </w:pPr>
    </w:p>
    <w:p>
      <w:pPr>
        <w:outlineLvl w:val="9"/>
      </w:pPr>
    </w:p>
    <w:p>
      <w:pPr>
        <w:pStyle w:val="16"/>
        <w:outlineLvl w:val="9"/>
      </w:pPr>
    </w:p>
    <w:p>
      <w:pPr>
        <w:pStyle w:val="16"/>
        <w:ind w:leftChars="0" w:left="0" w:firstLineChars="0" w:firstLine="0"/>
        <w:outlineLvl w:val="9"/>
        <w:sectPr>
          <w:pgSz w:w="11906" w:h="16838"/>
          <w:pgMar w:top="1440" w:right="1800" w:bottom="1440" w:left="1800" w:header="851" w:footer="992" w:gutter="0"/>
          <w:pgNumType/>
          <w:cols w:num="1" w:space="425"/>
          <w:titlePg/>
          <w:docGrid w:type="lines" w:linePitch="312" w:charSpace="0"/>
        </w:sectPr>
      </w:pPr>
    </w:p>
    <w:tbl>
      <w:tblPr>
        <w:jc w:val="left"/>
        <w:tblInd w:w="93"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104"/>
        <w:gridCol w:w="1107"/>
        <w:gridCol w:w="1072"/>
        <w:gridCol w:w="1576"/>
        <w:gridCol w:w="556"/>
        <w:gridCol w:w="757"/>
        <w:gridCol w:w="556"/>
        <w:gridCol w:w="926"/>
        <w:gridCol w:w="541"/>
        <w:gridCol w:w="618"/>
        <w:gridCol w:w="5268"/>
      </w:tblGrid>
      <w:tr>
        <w:trPr>
          <w:trHeight w:val="405"/>
        </w:trPr>
        <w:tc>
          <w:tcPr>
            <w:tcW w:w="110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附件</w:t>
            </w:r>
          </w:p>
        </w:tc>
        <w:tc>
          <w:tcPr>
            <w:tcW w:w="110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07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57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5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5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5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2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41"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1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26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7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人事代理和移交教师退休人员待遇财政补差</w:t>
            </w:r>
          </w:p>
        </w:tc>
      </w:tr>
      <w:tr>
        <w:trPr>
          <w:trHeight w:val="280"/>
        </w:trPr>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45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6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广元市利州区社会保险事务中心</w:t>
            </w:r>
          </w:p>
        </w:tc>
      </w:tr>
      <w:tr>
        <w:trPr>
          <w:trHeight w:val="380"/>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45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73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52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确保符合待遇领取条件人员的待遇补差按时足额兑现</w:t>
            </w:r>
          </w:p>
        </w:tc>
        <w:tc>
          <w:tcPr>
            <w:tcW w:w="73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2022年按月足额发放251人人事代理和移交教师退休人员待遇财政补差439.15万元</w:t>
            </w:r>
          </w:p>
        </w:tc>
      </w:tr>
      <w:tr>
        <w:trPr>
          <w:trHeight w:val="46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7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为化解历史遗留问题，积极衔接协调财政、社保对移交教师、人事代理等人员的待遇补差，确保社会的和谐稳定</w:t>
            </w:r>
          </w:p>
        </w:tc>
      </w:tr>
      <w:tr>
        <w:trPr>
          <w:trHeight w:val="540"/>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439.15</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439.15</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439.15</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439.15</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6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人事代理退休人员财政补差人数</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78人</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移交教师退休人员财政补差人数</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173</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173人</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6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退休资金在规定时间内支付到位率</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4.5</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6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保障人事代理人员养老待遇政策发放</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28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资金在规定时间内下达率</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人事代理退休人员退休工资发放准确率</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退休人员待遇财政补差金额</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439.15</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439.15万</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4.5</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3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退休人均每月区级补助标准</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1370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元/月</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b/>
                <w:bCs/>
                <w:i w:val="0"/>
                <w:iCs w:val="0"/>
                <w:color w:val="000000"/>
                <w:sz w:val="18"/>
                <w:szCs w:val="18"/>
                <w:u w:val="none"/>
              </w:rPr>
            </w:pPr>
          </w:p>
        </w:tc>
      </w:tr>
      <w:tr>
        <w:trPr>
          <w:trHeight w:val="4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移交教师退休人员退休工资发放准确率准确率</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34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人事代理和移交教师退休人员工资保障率</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4.5</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50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人事代理和移交教师退休人员工资补差人数</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251</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251人</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4.5</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50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对移交教师、人事代理等人员的待遇补差保障率</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4.5</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32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待遇补差人员满意度</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3.5</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5268"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97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为化解历史遗留问题，积极衔接协调财政、社保对移交教师、人事代理等人员的待遇补差，确保社会的和谐稳定。</w:t>
            </w:r>
          </w:p>
        </w:tc>
      </w:tr>
      <w:tr>
        <w:trPr>
          <w:trHeight w:val="460"/>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97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人事代理和退休教师移交人员属于机关事业单位养老保险制度改革的历史遗留问题，一直未能纳入社保系统发放。系统外发放存在一定的风险。</w:t>
            </w:r>
          </w:p>
        </w:tc>
      </w:tr>
      <w:tr>
        <w:trPr>
          <w:trHeight w:val="500"/>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97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建议纳入社保系统发放。</w:t>
            </w:r>
          </w:p>
        </w:tc>
      </w:tr>
      <w:tr>
        <w:trPr>
          <w:trHeight w:val="270"/>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项目负责人：陈国俊</w:t>
            </w:r>
          </w:p>
        </w:tc>
        <w:tc>
          <w:tcPr>
            <w:tcW w:w="86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财务负责人：白小蓉</w:t>
            </w:r>
          </w:p>
        </w:tc>
      </w:tr>
    </w:tbl>
    <w:p>
      <w:pPr>
        <w:outlineLvl w:val="9"/>
      </w:pPr>
    </w:p>
    <w:p>
      <w:pPr>
        <w:outlineLvl w:val="9"/>
      </w:pPr>
    </w:p>
    <w:p>
      <w:pPr>
        <w:pStyle w:val="16"/>
        <w:outlineLvl w:val="9"/>
      </w:pPr>
    </w:p>
    <w:p>
      <w:pPr>
        <w:outlineLvl w:val="9"/>
      </w:pPr>
    </w:p>
    <w:p>
      <w:pPr>
        <w:outlineLvl w:val="9"/>
      </w:pPr>
    </w:p>
    <w:tbl>
      <w:tblPr>
        <w:jc w:val="left"/>
        <w:tblInd w:w="93"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288"/>
        <w:gridCol w:w="1146"/>
        <w:gridCol w:w="1034"/>
        <w:gridCol w:w="1452"/>
        <w:gridCol w:w="567"/>
        <w:gridCol w:w="572"/>
        <w:gridCol w:w="567"/>
        <w:gridCol w:w="747"/>
        <w:gridCol w:w="545"/>
        <w:gridCol w:w="567"/>
        <w:gridCol w:w="5596"/>
      </w:tblGrid>
      <w:tr>
        <w:trPr>
          <w:trHeight w:val="405"/>
        </w:trPr>
        <w:tc>
          <w:tcPr>
            <w:tcW w:w="128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附件4</w:t>
            </w:r>
          </w:p>
        </w:tc>
        <w:tc>
          <w:tcPr>
            <w:tcW w:w="114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03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45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7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4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59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64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金保工程网络经费</w:t>
            </w:r>
          </w:p>
        </w:tc>
      </w:tr>
      <w:tr>
        <w:trPr>
          <w:trHeight w:val="280"/>
        </w:trPr>
        <w:tc>
          <w:tcPr>
            <w:tcW w:w="2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41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6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利州区人社局信息中心</w:t>
            </w:r>
          </w:p>
        </w:tc>
      </w:tr>
      <w:tr>
        <w:trPr>
          <w:trHeight w:val="380"/>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41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74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保证金保工程网络正常运行</w:t>
            </w:r>
          </w:p>
        </w:tc>
        <w:tc>
          <w:tcPr>
            <w:tcW w:w="74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保证金保工程网络正常运行</w:t>
            </w:r>
          </w:p>
        </w:tc>
      </w:tr>
      <w:tr>
        <w:trPr>
          <w:trHeight w:val="128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64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金保工程网络费主要用于所有金保网络费，包含社保大厅、14乡镇便民服务中心、95个村（社区）、小区等共140条金保网费，2022年预算金额11万元。</w:t>
            </w:r>
          </w:p>
        </w:tc>
      </w:tr>
      <w:tr>
        <w:trPr>
          <w:trHeight w:val="540"/>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11.00</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11.00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675"/>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金保网络费用和维护费用所需金额</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保障乡镇街道个数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金保工程运行网点数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金保工程运行维护畅通率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金保资金在2022年12月31日前支付率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金保系统正常运行率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保障金保系统畅通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确保金保网畅通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系统正常运转天数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365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天</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参保人满意度</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73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 xml:space="preserve"> 金保工程网络费事前绩效总体评价得分为99分，评估结果定级为优，在当前预算项目下开展工作，支付金保网络维护费，不应缩减预算安排，应当按照政策规定增加预算金额，以保障金保专项畅通。</w:t>
            </w:r>
          </w:p>
        </w:tc>
      </w:tr>
      <w:tr>
        <w:trPr>
          <w:trHeight w:val="460"/>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由于全区人民续保参保业务要持续进行，为确保金保专线不断网，需要财政持续投入，提供资金支持。</w:t>
            </w:r>
          </w:p>
        </w:tc>
      </w:tr>
      <w:tr>
        <w:trPr>
          <w:trHeight w:val="500"/>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本绩效事前评估工作是在假定本预算年度不会出现相关重大调整，以及不会出现自然灾害等不可抗力等因素情况下进行评估。</w:t>
            </w:r>
          </w:p>
        </w:tc>
      </w:tr>
      <w:tr>
        <w:trPr>
          <w:trHeight w:val="270"/>
        </w:trPr>
        <w:tc>
          <w:tcPr>
            <w:tcW w:w="54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项目负责人：谢欣珉</w:t>
            </w:r>
          </w:p>
        </w:tc>
        <w:tc>
          <w:tcPr>
            <w:tcW w:w="85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bl>
    <w:p>
      <w:pPr>
        <w:outlineLvl w:val="9"/>
      </w:pPr>
    </w:p>
    <w:p>
      <w:pPr>
        <w:pStyle w:val="16"/>
        <w:outlineLvl w:val="9"/>
      </w:pPr>
    </w:p>
    <w:p>
      <w:pPr>
        <w:outlineLvl w:val="9"/>
      </w:pPr>
    </w:p>
    <w:p>
      <w:pPr>
        <w:pStyle w:val="16"/>
        <w:outlineLvl w:val="9"/>
      </w:pPr>
    </w:p>
    <w:p>
      <w:pPr>
        <w:outlineLvl w:val="9"/>
      </w:pPr>
    </w:p>
    <w:p>
      <w:pPr>
        <w:pStyle w:val="16"/>
        <w:outlineLvl w:val="9"/>
      </w:pPr>
    </w:p>
    <w:p>
      <w:pPr>
        <w:outlineLvl w:val="9"/>
      </w:pPr>
    </w:p>
    <w:p>
      <w:pPr>
        <w:pStyle w:val="16"/>
        <w:outlineLvl w:val="9"/>
      </w:pPr>
    </w:p>
    <w:p>
      <w:pPr>
        <w:outlineLvl w:val="9"/>
      </w:pPr>
    </w:p>
    <w:p>
      <w:pPr>
        <w:pStyle w:val="16"/>
        <w:outlineLvl w:val="9"/>
      </w:pPr>
    </w:p>
    <w:p>
      <w:pPr>
        <w:outlineLvl w:val="9"/>
      </w:pPr>
    </w:p>
    <w:p>
      <w:pPr>
        <w:pStyle w:val="16"/>
        <w:outlineLvl w:val="9"/>
      </w:pPr>
    </w:p>
    <w:p>
      <w:pPr>
        <w:pStyle w:val="16"/>
        <w:ind w:leftChars="0" w:left="0" w:firstLineChars="0" w:firstLine="0"/>
        <w:outlineLvl w:val="9"/>
      </w:pPr>
    </w:p>
    <w:tbl>
      <w:tblPr>
        <w:jc w:val="left"/>
        <w:tblInd w:w="93"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309"/>
        <w:gridCol w:w="792"/>
        <w:gridCol w:w="1345"/>
        <w:gridCol w:w="2466"/>
        <w:gridCol w:w="697"/>
        <w:gridCol w:w="999"/>
        <w:gridCol w:w="697"/>
        <w:gridCol w:w="732"/>
        <w:gridCol w:w="564"/>
        <w:gridCol w:w="538"/>
        <w:gridCol w:w="3942"/>
      </w:tblGrid>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附件5</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就业补助（含协理员经费）</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利州区就促中心</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目标1：保证雪峰孵化园创业园区正常运营。 目标2：保证东坝、南河两个零散工集散中心正常运营。 目标3：保证就业本级配套的各种支出。 目标4：保证本单位所用协理员经费</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目标1：保证雪峰孵化园创业园区正常运营。 目标2：保证东坝、南河两个零散工集散中心正常运营。 目标3：保证就业本级配套的各种支出。 目标4：保证本单位所用协理员经费</w:t>
            </w:r>
          </w:p>
        </w:tc>
      </w:tr>
      <w:tr>
        <w:trPr>
          <w:trHeight w:val="19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就业创业促进中心认真贯彻党中央、国务院及省委省政府、市委市政府决策部署，扎实做好“六稳”工作，落实“六保”任务，坚持减负、稳岗、扩就业、保民生并举，关心关爱农民工的社会氛围正在形成，全区就业形势趋稳向好。截至目前，2022年，城镇新增就业11478人，完成目标任务的127.53％；城镇失业人员再就业5167人，完成目标任务的130.81％；就业困难人员就业1033人，完成目标任务的103.3％；青年就业见习145人，完成目标任务的145％；脱贫人口就业9186人，完成目标任务的105.59％；城镇登记失业率控制在4％以内。开展各类补贴性职业技能培训6613人次，完成目标任务的110.22％；符合条件的企业稳岗返还率达到100％。我区农民工证照办理工作受到省委、省政府通报表扬。就业创业中心工作经费总预算275万元，其中，利州区孵化园运营服务经费预算40万元；零散工集散中心运营经费预算40万元；区就业促进中心工作经费预算30万元，单位协理员经费预算165万元。2023年预算合计275万元。</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275.00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275.00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保障协理员个数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73</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零散工集散中心正常运行</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推进并提升“双创”工作</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创业孵化园运营个数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资金到达率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园区企业对创业孵化基地服务满意度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零散工对集散中心服务满意度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补贴经费在2022年12月31日前支付</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资金支付金额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275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保障社会和谐稳定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提升就业创业率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增加就业，促进社会和谐稳定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就业正常享受人民满意度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总体评价得分为98分，评估等级为“优”，在当前预算项目下开展工作，基本满足工作开展，不应缩减预算安排，应当按照政策规定增加预算项目，以全面落实就业创业促进中心服务保障工作，增加就业，促进社会和谐稳定。</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预算资金不足</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遵循“强管理、控成本、增效益”的整体原则，从区就业创业促进中心购买服务、活动开展、会议安排、政策宣传等方面控制成本，对各项支出进行，严格按照合规性内控要求审核，合理制定工作方案，减少不必要支出和浪费现象，在保证为全区就业群众服务质量的同时控制成本，实现经济支出最少、满意度最高的良好结果。</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项目负责人：魏瑞风</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附件6</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劳动监察办案经费</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利州区劳动监察大队</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218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劳动保障监察依法行政能力有效提升，用人单位依法用工、劳动者依法维权的意识进一步提升；建设领域用工管理规范，“总包直发、建立和做实专户、按月足额实名实人发放农民工工资”以及“政府投资项目农民工工资无拖欠”等机制常态化运行，违反劳动保障法律、法规和规章的行为得到有效遏制，劳动保障监察举报投诉案件数量呈降低趋势，根治拖农民工工资问题得以基本解决，保障农民工工资支付工作持续走在全省前列，劳动关系总体和谐稳定</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劳动保障监察依法行政能力有效提升，用人单位依法用工、劳动者依法维权的意识进一步提升；建设领域用工管理规范，“总包直发、建立和做实专户、按月足额实名实人发放农民工工资”以及“政府投资项目农民工工资无拖欠”等机制常态化运行，违反劳动保障法律、法规和规章的行为得到有效遏制，劳动保障监察举报投诉案件数量呈降低趋势，根治拖农民工工资问题得以基本解决，保障农民工工资支付工作持续走在全省前列，劳动关系总体和谐稳定</w:t>
            </w:r>
          </w:p>
        </w:tc>
      </w:tr>
      <w:tr>
        <w:trPr>
          <w:trHeight w:val="7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根据国务院423号令《劳动保障监察条例》中第五条：县级以上地方各级人民政府应当加强劳动保障监察工作。劳动保障监察所需经费列入本级财政预算。</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当期结案率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资金支付金额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劳动保障维权宣传资料印制</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份</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9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对各类案件按照规定时间、规定程序完成结案，做到100%结案率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和谐劳动关系</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预计开展专项治理农民工工资投诉活动</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日常办案检查</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实维护劳动者合法权益，为职工维权</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保障社会稳定和谐稳定率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保障农民工工资支付率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综该项目总体评价得分为98分，评估等级为“优”。通过项目实施，切实维护了农民工弱势群体的合法权益，有力打击了企业违规欠薪行为，进一步强化了法律的公正性、公平性，有效提高了政府的公信力，增强农民工的社会认同感和获得感。</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的实施，一是检查在建工程项目300余家无拖欠工资情况；二是开展宣传活动，印制劳动保障监察法律、法规宣传资料、录制法治宣传专题片等；三是协调处理农民工讨薪案件，处理举报投诉，受理12345政务服务热线电话交办件，所有回复均得到当事人100%的满意。还需进一步加大行政执法宣传力度。</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在项目执行过程中，要根据计划实施进程中出现影响计划完成情况，及时调整计划，确保项目绩效目标顺利完成。</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项目负责人：王晓辉</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附件7</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劳动争议仲裁办案经费</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利州区仲裁院</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1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依据职责要求，开展劳动人事争议案件调解、审理等工作，保障仲裁院所需资料印刷费、仲裁院办案补助、办公设备购置费、工作服购买以及仲裁院日常办案开销</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依据职责要求，开展劳动人事争议案件调解、审理等工作，保障仲裁院所需资料印刷费、仲裁院办案补助、办公设备购置费、工作服购买以及仲裁院日常办案开销</w:t>
            </w:r>
          </w:p>
        </w:tc>
      </w:tr>
      <w:tr>
        <w:trPr>
          <w:trHeight w:val="1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近年来，随着经济快速发展和疫情的影响，劳动者维权意识逐渐增强，涉及新就业形态劳动争议案件也日益增多，包括快递物流、网络主播、外卖送餐、网约车等，企业管理形式混乱，导致我区劳动人事争议案件量急剧上升。2020年358件、2021年426件、2022年451件，我区案件量是本市其他县区案件数量的总和。劳动争议办案经费支出连年增长，特别是在落实办案人员补助、仲裁文书送达（实地送达、邮寄送达、公告送达）、调查取证、聘请专兼职仲裁员、法律宣传、仲裁档案归档管理、基层调解组织建设、强化仲裁庭标准化建设等方面业务经费支出巨大，而区劳动人事争议仲裁院预算6万元办案经费，远远不能满足实际办案需要。</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资金全部到位率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仲裁办案补助经费件数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460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保障参与办案差旅等人员</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对各类案件按照规定时间、规定程序结案率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资金在2022年拨付率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资金支付金额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保证仲裁院政策运转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日常接办案子件数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460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维护劳动者合法权益率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矛盾纠纷化解率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和谐劳动关系</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综合预评劳动人事争议仲裁工作满意度≥98%，工作得分≥98分，在当前预算项目下开展工作，尚不能满足全区劳动人事争议仲裁办案经费支出，不应缩减预算安排，应当按照政策规定增加预算项目，以保障全区劳动人事争议仲裁案件的办理，持续推动全区和谐劳动关系的构建。</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所需经费来源于同级财政预算和上级划拨资金，资金来源清楚，筹措渠道合法合规，工作内容具有公共性，属于公共财政支持范围。2022年预算不足。</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财力支持：稳定财政预算提供资金支持；组织管理机构和运行机制：区劳动人事争议仲裁院在机构设置、组织领导、运行制度、阵地建设方面均完善有效，管理规范，运行有序；预期产出：确保全区劳动人事争议仲裁案件的有序办理，保持仲裁员及办案人员队伍的整体稳定，努力维护全区和谐劳动关系等方面发挥积极作用。</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项目负责人：王晓辉</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p>
            <w:pPr>
              <w:pStyle w:val="16"/>
              <w:outlineLvl w:val="9"/>
              <w:rPr>
                <w:rFonts w:hint="eastAsia"/>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附件8</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利州区农民工服务保障工作</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利州区农民工服务中心</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1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目标1：农民工服务保障六件实事正常开展 目标2：保障中心工作经费农民工座谈会会议费、农民工技能培训培训费、农民工宣传资料印刷费 目标3：新建雪峰零散工集散中心标准化建设</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目标1：农民工服务保障六件实事正常开展 目标2：保障中心工作经费农民工座谈会会议费、农民工技能培训培训费、农民工宣传资料印刷费 目标3：新建雪峰零散工集散中心标准化建设</w:t>
            </w:r>
          </w:p>
        </w:tc>
      </w:tr>
      <w:tr>
        <w:trPr>
          <w:trHeight w:val="7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有农村劳动力8.3万余人，外出务工5.53万人，于2020年成立农民工服务中心，在推动农民工回引、就业创业、培训、维权救助、驻外农民工工作站建立等工作取得显著成效，受到国家、省、市充分肯定。农民工服务工作经费总预算50万元。</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农民工对服务中心服务保障满意度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9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推进并提升“双创”工作，帮助农民工增加就业创业率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资金到位率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集散中心标准化建设合格率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和驻外服务农民工工作站开展业务工作</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资金支付金额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资金在2022年支付率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建立雪峰零散工集散中心</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通过零散工运行保障服务，提升零散工满意度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保障社会和谐稳定率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通过“六件实事”保障服务提升农民工幸福感</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综该项目总体评价得分为98分，评估等级为“优”，在当前预算项目下开展工作，基本满足工作开展，不应缩减预算安排，应当按照政策规定增加预算项目，以全面落实农民工服务保障工作，增加就业，促进社会和谐稳定，为新时代下农民工群体提供更优质的服务。</w:t>
            </w:r>
          </w:p>
        </w:tc>
      </w:tr>
      <w:tr>
        <w:trPr>
          <w:trHeight w:val="62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全区农民工服务保障相关工作在区人社局的领导下，由区农民工服务中心具体开展工作，组织机构健全，工作职能职责明确，工作开展按照三定方案和组织工作要点实施，开展时间、工作程序有计划、管理过程规范，能为全区农民工提供高质服务和保障。</w:t>
            </w:r>
          </w:p>
        </w:tc>
      </w:tr>
      <w:tr>
        <w:trPr>
          <w:trHeight w:val="7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一是财力支持：稳定财政预算提供资金支持；二是组织管理机构和运行机制：区人力资源和社会保障局和区农民工服务中心已经在2021年机构改革中进一步优化调整和设置，机构设置、组织领导、运行制度、服务措施均完善有效，管理规范，运行有效；三是预期产出：确保给全区农民工提供优质服务，包括就业招聘、就业帮扶、权益维护、服务保障、创业指导等。</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项目负责人：魏瑞风</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附件9</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全区人事档案数字管理</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利州区人才交流中心</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8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保证全区事业单位人事档案资料袋的印刷，提高人事档案管理规范</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保证全区事业单位人事档案资料袋的印刷，提高人事档案管理规范</w:t>
            </w:r>
          </w:p>
        </w:tc>
      </w:tr>
      <w:tr>
        <w:trPr>
          <w:trHeight w:val="7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我利州区人力资源和社会保障局下属人才交流中心，主要负责为人才流动提供中介服务，包含人才交流服务、流动人才组织与人事档案关系转移、流动人才档案保管、人才信息服务、人才信息库管理、人才市场培育以及人事代理。2022年预算全区人事档案数字化管理项目经费2万元。</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购买人事档案袋个数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涉及事业单位在职人事档案人数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6330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规范事业人员人事档案管理</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资金到位时限</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预计支付金额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人事档案管理规范率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保障所有在职人员人事档案逐一完整率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人事档案查阅方便性</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675"/>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为事业单位人事档案提供管理水平保障</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综合预评估满意度≥98%，工作得分≥98分，在当前预算项目下开展工作，基本满足干部人事档案数字化扫描、人事档案机要投递工作需要，不应缩减预算安排，应当按照政策规定增加预算项目，以全面落实各项工作落实落地，持续推人才交流中心工作高质量发展。</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所需经费来源于区财政预算，资金来源清楚，筹措渠道合法合规，工作内容具有公共性，属于公共财政支持范围。2022年人事档案数字化管理预算金额不足。</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干部人事档案数字化扫描、人事档案机要投递在局党组的坚强领导下，由人才交流中心开展工作，组织机构健全，工作职能职责明确，工作开展按照三定方案和组织工作要点实施，开展时间、工作程序有计划、管理过程规范，能有力推进各项任务顺利完成。</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项目负责人：蒋玉国</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hint="eastAsia"/>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附件10</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三支一扶社会保险单位缴费</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利州区人才交流中心</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保证全区三支一扶社会保险不断保</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按时缴纳三支一扶保险，不断保</w:t>
            </w:r>
          </w:p>
        </w:tc>
      </w:tr>
      <w:tr>
        <w:trPr>
          <w:trHeight w:val="8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我区目前在岗“三支一扶”人员19人，为三支一扶人员购买社会保险是保障基层人员的待遇享受，提高工作积极性，确保“三支一扶”人员更好地为基层服务。“三支一扶”社会保险单位缴费经费预算19.31万元。</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19.31</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19.31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在职三支一扶缴费率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保障三支一扶社保缴费不断保率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2022年12月31日前支付率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缴费月数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三支一扶保险缴费人数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每月单位缴费金额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16090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社保缴费不断保率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为三支一扶提供社保保障率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三支一扶参保率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该项目总体评价得分为99分，评估等级为“优”，保障“三支一扶”人员的社保缴费。</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以服务基层发展为目标，以更好促进高校毕业生在基层成长成才为着力点，坚持服务基层和培养人才相结合、市场主导和政府推动相结合、政策支持和完善服务相结合的原则，突出重点、完善制度、引导预期，完善公共服务体系，着力解决制约高校毕业生到基层工作的突出问题，构建引导和鼓励高校毕业生“下得去、留得住、干得好、流得动”的长效机制.</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建议进一步提高三支一扶待遇。</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项目负责人：蒋玉国</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hint="eastAsia"/>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附件11</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社保资料印刷费</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利州区社会保险事务中心</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社保政策宣传宣传，社保资料印刷，提高社保政策全民知晓度</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社保政策宣传宣传，社保资料印刷，提高社保政策全民知晓度</w:t>
            </w:r>
          </w:p>
        </w:tc>
      </w:tr>
      <w:tr>
        <w:trPr>
          <w:trHeight w:val="128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社保资料印刷费主要用于社保、农保、机保等政策资料的印刷。社保资料印刷费总预算4万元，主要用于各项资料的印刷，包含保险政策宣传、参保登记申请、各项保险办理办事指南等资料的印刷。</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印刷办事指南份数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份</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提高社保农保政策全民知晓度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印刷费用支付金额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社保政策知晓度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2022年1月至12月支付率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印刷宣传单份数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份</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印刷参保登记份数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份</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参保群众养老工伤失业保障率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通过政策宣传，提高社保政策全民知晓度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社保参保率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参保群众满意度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综该项目总体评价得分为98分，评估等级为“优”，在当前预算项目下开展工作，支付宣传所需印刷费，不应缩减预算安排，应当按照政策规定增加预算金额，以全面达到全民知晓保险政策，达到全民参保。</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社保资料印刷费从项目立项以来从20万元降至4万元，经费远远不足，为保证正常工作开展，建议提高此项工作经费。</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由于全面参保的工作要求，社保宣传和参保登记资料仍然长期需要，财政预算提供资金支持，社会保险实务中心负责实施。</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项目负责人：谢欣珉</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ascii="宋体" w:eastAsia="宋体" w:cs="宋体" w:hAnsi="宋体" w:hint="eastAsia"/>
                <w:i w:val="0"/>
                <w:iCs w:val="0"/>
                <w:color w:val="000000"/>
                <w:sz w:val="18"/>
                <w:szCs w:val="18"/>
                <w:u w:val="none"/>
              </w:rPr>
            </w:pPr>
          </w:p>
          <w:p>
            <w:pPr>
              <w:pStyle w:val="16"/>
              <w:outlineLvl w:val="9"/>
              <w:rPr>
                <w:rFonts w:ascii="宋体" w:eastAsia="宋体" w:cs="宋体" w:hAnsi="宋体" w:hint="eastAsia"/>
                <w:i w:val="0"/>
                <w:iCs w:val="0"/>
                <w:color w:val="000000"/>
                <w:sz w:val="18"/>
                <w:szCs w:val="18"/>
                <w:u w:val="none"/>
              </w:rPr>
            </w:pPr>
          </w:p>
          <w:p>
            <w:pPr>
              <w:outlineLvl w:val="9"/>
              <w:rPr>
                <w:rFonts w:ascii="宋体" w:eastAsia="宋体" w:cs="宋体" w:hAnsi="宋体" w:hint="eastAsia"/>
                <w:i w:val="0"/>
                <w:iCs w:val="0"/>
                <w:color w:val="000000"/>
                <w:sz w:val="18"/>
                <w:szCs w:val="18"/>
                <w:u w:val="none"/>
              </w:rPr>
            </w:pPr>
          </w:p>
          <w:p>
            <w:pPr>
              <w:pStyle w:val="16"/>
              <w:outlineLvl w:val="9"/>
              <w:rPr>
                <w:rFonts w:hint="eastAsia"/>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附件12</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事业单位招考经费（含人才引进）</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利州区人才交流中心</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完成事业单位公开考调、考核、招聘工作 </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完成事业单位公开考调、考核、招聘工作 </w:t>
            </w:r>
          </w:p>
        </w:tc>
      </w:tr>
      <w:tr>
        <w:trPr>
          <w:trHeight w:val="7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人事招考是党的组织工作和人事工作的重要组成部分，是为全区事业单位提供人才保障，确保人才在乡村振兴、基层治理等方面发挥积极作用。利州区事业单位人事人事招考工作经费总预算30万元。</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33.50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33.50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全区事业干部公开招聘考试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资金在2022年支付率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事业人员控编率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资金全部到位率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全区事业干部公开考核招聘考试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完成人才引进</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保证招考工作圆满完成</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9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合理安排招聘工作，降低事业人员录用成本录用成本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招录整个区需用人才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维护人事招考公正、透明</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吸纳人才，充实干部队伍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用人单位及其主管部门满意度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招聘人才及社会各界满意度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该项目总体评价得分为98分，评估等级为“优”，在当前预算项目下开展工作，不够全年开支，仍需年中打资金报告，建议增加预算。</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事业单位人事招考工作在区人力资源和社会保障局的领导下，由区人才交流中心具体开展工作，组织机构健全，工作职能职责明确，工作开展按照三定方案和组织工作要点实施，开展时间、工作程序有计划、管理过程规范。年初预算资金不足，导致招考劳务费发放延期。</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遵循“强管理、控成本、增效益”的整体原则，人事招考过程中全面控制成本，对各项支出严格按照合规性内控要求审核，合理策划考试方案，减少不必要支出和浪费现象。</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项目负责人：王剑</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r>
        <w:trPr>
          <w:trHeight w:val="34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270"/>
        </w:trPr>
        <w:tc>
          <w:tcPr>
            <w:tcW w:w="130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p>
            <w:pPr>
              <w:pStyle w:val="16"/>
              <w:outlineLvl w:val="9"/>
              <w:rPr>
                <w:rFonts w:hint="eastAsia"/>
              </w:rPr>
            </w:pPr>
          </w:p>
        </w:tc>
        <w:tc>
          <w:tcPr>
            <w:tcW w:w="79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1345"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2466"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999"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697"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73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64"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538"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c>
          <w:tcPr>
            <w:tcW w:w="3942" w:type="dxa"/>
            <w:tcBorders>
              <w:top w:val="nil"/>
              <w:left w:val="nil"/>
              <w:bottom w:val="nil"/>
              <w:right w:val="nil"/>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405"/>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黑体" w:eastAsia="黑体" w:cs="黑体" w:hAnsi="宋体"/>
                <w:i w:val="0"/>
                <w:iCs w:val="0"/>
                <w:color w:val="000000"/>
                <w:sz w:val="32"/>
                <w:szCs w:val="32"/>
                <w:u w:val="none"/>
                <w:lang w:val="en-US"/>
              </w:rPr>
            </w:pPr>
            <w:r>
              <w:rPr>
                <w:rFonts w:ascii="黑体" w:eastAsia="黑体" w:cs="黑体" w:hAnsi="宋体" w:hint="eastAsia"/>
                <w:i w:val="0"/>
                <w:iCs w:val="0"/>
                <w:color w:val="000000"/>
                <w:kern w:val="0"/>
                <w:sz w:val="32"/>
                <w:szCs w:val="32"/>
                <w:u w:val="none"/>
                <w:lang w:val="en-US" w:eastAsia="zh-CN"/>
              </w:rPr>
              <w:t>附件13</w:t>
            </w:r>
          </w:p>
        </w:tc>
        <w:tc>
          <w:tcPr>
            <w:tcW w:w="79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1345"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2466"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697"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64"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c>
          <w:tcPr>
            <w:tcW w:w="3942" w:type="dxa"/>
            <w:tcBorders>
              <w:top w:val="nil"/>
              <w:left w:val="nil"/>
              <w:bottom w:val="nil"/>
              <w:right w:val="nil"/>
            </w:tcBorders>
            <w:shd w:val="clear" w:color="auto" w:fill="auto"/>
            <w:noWrap/>
            <w:vAlign w:val="center"/>
          </w:tcPr>
          <w:p>
            <w:pPr>
              <w:outlineLvl w:val="9"/>
              <w:rPr>
                <w:rFonts w:ascii="宋体" w:eastAsia="宋体" w:cs="宋体" w:hAnsi="宋体" w:hint="eastAsia"/>
                <w:i w:val="0"/>
                <w:iCs w:val="0"/>
                <w:color w:val="000000"/>
                <w:sz w:val="22"/>
                <w:szCs w:val="22"/>
                <w:u w:val="none"/>
              </w:rPr>
            </w:pPr>
          </w:p>
        </w:tc>
      </w:tr>
      <w:tr>
        <w:trPr>
          <w:trHeight w:val="540"/>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部门预算、专项资金预算项目支出绩效目标自评表（2022年度）</w:t>
            </w:r>
          </w:p>
        </w:tc>
      </w:tr>
      <w:tr>
        <w:trPr>
          <w:trHeight w:val="3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未就业高校毕业生见习补贴</w:t>
            </w:r>
          </w:p>
        </w:tc>
      </w:tr>
      <w:tr>
        <w:trPr>
          <w:trHeight w:val="280"/>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广元市利州区人力资源和社会保障局</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利州区人才交流中心</w:t>
            </w:r>
          </w:p>
        </w:tc>
      </w:tr>
      <w:tr>
        <w:trPr>
          <w:trHeight w:val="38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保证单位吸纳未就业高校毕业生就业见习进行工资补贴</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保证单位吸纳未就业高校毕业生就业见习进行工资补贴</w:t>
            </w:r>
          </w:p>
        </w:tc>
      </w:tr>
      <w:tr>
        <w:trPr>
          <w:trHeight w:val="7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未就业高校毕业生见习补贴为区人力资源和社会保障局常年性项目，申请总资金为3.6万元，其测算依据为预计吸纳3名未就业高校毕业生见习，工资为0.1万元每人每月,2023年吸纳未就业高校毕业生见习生4人，财政预算3.6万元。</w:t>
            </w:r>
          </w:p>
        </w:tc>
      </w:tr>
      <w:tr>
        <w:trPr>
          <w:trHeight w:val="54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3.60</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3.60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6"/>
                <w:szCs w:val="16"/>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吸纳未就业高校毕业生人数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人/户</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吸纳未就业高校毕业生就业率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补贴标准</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元/月</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资金到位率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补贴资金在12月31日前支付率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确保未就业高校毕业生就业率</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为见习大学生提供工资保障</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提高见习大学生工资水平</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45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outlineLvl w:val="9"/>
              <w:rPr>
                <w:rFonts w:ascii="宋体" w:eastAsia="宋体" w:cs="宋体" w:hAnsi="宋体" w:hint="eastAsia"/>
                <w:i w:val="0"/>
                <w:iCs w:val="0"/>
                <w:color w:val="000000"/>
                <w:sz w:val="18"/>
                <w:szCs w:val="18"/>
                <w:u w:val="none"/>
              </w:rPr>
            </w:pPr>
          </w:p>
        </w:tc>
      </w:tr>
      <w:tr>
        <w:trPr>
          <w:trHeight w:val="270"/>
        </w:trPr>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pPr>
              <w:outlineLvl w:val="9"/>
              <w:rPr>
                <w:rFonts w:ascii="宋体" w:eastAsia="宋体" w:cs="宋体" w:hAnsi="宋体" w:hint="eastAsia"/>
                <w:i w:val="0"/>
                <w:iCs w:val="0"/>
                <w:color w:val="000000"/>
                <w:sz w:val="18"/>
                <w:szCs w:val="18"/>
                <w:u w:val="none"/>
              </w:rPr>
            </w:pPr>
          </w:p>
        </w:tc>
      </w:tr>
      <w:tr>
        <w:trPr>
          <w:trHeight w:val="5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综该项目总体评价得分为99分，事前绩效评估结果定级为优，在当前预算项目下开展工作，充分发挥就业见习提升高校毕业生综合素质和职业能力，增强就业竞争力，促进实现就业作用。</w:t>
            </w:r>
          </w:p>
        </w:tc>
      </w:tr>
      <w:tr>
        <w:trPr>
          <w:trHeight w:val="4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未就业高校毕业生见习补贴经费主要来源于区本级预算，来源合理合法，工作内容具有公共性，属于公共财政支持范围。预算不足。</w:t>
            </w:r>
          </w:p>
        </w:tc>
      </w:tr>
      <w:tr>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outlineLvl w:val="9"/>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27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该项目在区人社局的领导下，由人才交流中心具体开展工作，组织机构健全，工作职能职责明确，工作开展按照三定方案和组织工作要点实施，开展时间、工作程序有计划、管理过程规范。</w:t>
            </w:r>
          </w:p>
        </w:tc>
      </w:tr>
      <w:tr>
        <w:trPr>
          <w:trHeight w:val="270"/>
        </w:trPr>
        <w:tc>
          <w:tcPr>
            <w:tcW w:w="6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项目负责人：蒋玉国</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outlineLvl w:val="9"/>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财务负责人：谢欣珉</w:t>
            </w:r>
          </w:p>
        </w:tc>
      </w:tr>
    </w:tbl>
    <w:p>
      <w:pPr>
        <w:rPr>
          <w:rStyle w:val="1Char"/>
          <w:rFonts w:ascii="黑体" w:eastAsia="黑体" w:hAnsi="黑体"/>
          <w:b w:val="0"/>
          <w:color w:val="auto"/>
          <w:highlight w:val="auto"/>
        </w:rPr>
      </w:pPr>
    </w:p>
    <w:p>
      <w:pPr>
        <w:pStyle w:val="16"/>
        <w:rPr>
          <w:rStyle w:val="1Char"/>
          <w:rFonts w:ascii="黑体" w:eastAsia="黑体" w:hAnsi="黑体"/>
          <w:b w:val="0"/>
          <w:color w:val="auto"/>
          <w:highlight w:val="auto"/>
        </w:rPr>
      </w:pPr>
    </w:p>
    <w:p>
      <w:pPr>
        <w:rPr>
          <w:rStyle w:val="1Char"/>
          <w:rFonts w:ascii="黑体" w:eastAsia="黑体" w:hAnsi="黑体"/>
          <w:b w:val="0"/>
          <w:color w:val="auto"/>
          <w:highlight w:val="auto"/>
        </w:rPr>
      </w:pPr>
    </w:p>
    <w:p>
      <w:pPr>
        <w:pStyle w:val="16"/>
        <w:rPr>
          <w:rStyle w:val="1Char"/>
          <w:rFonts w:ascii="黑体" w:eastAsia="黑体" w:hAnsi="黑体"/>
          <w:b w:val="0"/>
          <w:color w:val="auto"/>
          <w:highlight w:val="auto"/>
        </w:rPr>
      </w:pPr>
    </w:p>
    <w:p>
      <w:pPr>
        <w:rPr>
          <w:rStyle w:val="1Char"/>
          <w:rFonts w:ascii="黑体" w:eastAsia="黑体" w:hAnsi="黑体"/>
          <w:b w:val="0"/>
          <w:color w:val="auto"/>
          <w:highlight w:val="auto"/>
        </w:rPr>
      </w:pPr>
    </w:p>
    <w:p>
      <w:pPr>
        <w:pStyle w:val="16"/>
        <w:rPr>
          <w:rStyle w:val="1Char"/>
          <w:rFonts w:ascii="黑体" w:eastAsia="黑体" w:hAnsi="黑体"/>
          <w:b w:val="0"/>
          <w:color w:val="auto"/>
          <w:highlight w:val="auto"/>
        </w:rPr>
        <w:sectPr>
          <w:pgSz w:w="16838" w:h="11906" w:orient="landscape"/>
          <w:pgMar w:top="1800" w:right="1440" w:bottom="1800" w:left="1440" w:header="851" w:footer="992" w:gutter="0"/>
          <w:pgNumType/>
          <w:cols w:num="1" w:space="425"/>
          <w:titlePg/>
          <w:docGrid w:type="lines" w:linePitch="312" w:charSpace="0"/>
        </w:sectPr>
      </w:pPr>
    </w:p>
    <w:p/>
    <w:p>
      <w:pPr>
        <w:spacing w:line="600" w:lineRule="exact"/>
        <w:jc w:val="center"/>
        <w:outlineLvl w:val="0"/>
        <w:rPr>
          <w:rStyle w:val="1Char"/>
          <w:rFonts w:ascii="黑体" w:eastAsia="黑体" w:hAnsi="黑体" w:hint="eastAsia"/>
          <w:b w:val="0"/>
          <w:color w:val="auto"/>
          <w:highlight w:val="auto"/>
        </w:rPr>
      </w:pPr>
      <w:bookmarkStart w:id="68" w:name="_Toc15396618"/>
      <w:bookmarkStart w:id="69" w:name="_Toc1459"/>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五部分 附表</w:t>
      </w:r>
      <w:bookmarkStart w:id="70" w:name="_Toc15396619"/>
      <w:bookmarkEnd w:id="65"/>
      <w:bookmarkEnd w:id="68"/>
      <w:bookmarkEnd w:id="69"/>
    </w:p>
    <w:p>
      <w:pPr>
        <w:spacing w:line="600" w:lineRule="exact"/>
        <w:jc w:val="both"/>
        <w:outlineLvl w:val="1"/>
        <w:rPr>
          <w:rFonts w:ascii="仿宋" w:eastAsia="仿宋" w:cs="Times New Roman" w:hAnsi="仿宋" w:hint="eastAsia"/>
          <w:b w:val="0"/>
          <w:bCs/>
          <w:color w:val="auto"/>
          <w:kern w:val="2"/>
          <w:sz w:val="32"/>
          <w:szCs w:val="32"/>
          <w:lang w:val="en-US" w:eastAsia="zh-CN" w:bidi="ar-SA"/>
          <w:highlight w:val="auto"/>
        </w:rPr>
      </w:pPr>
      <w:bookmarkStart w:id="71" w:name="_Toc28714"/>
      <w:r>
        <w:rPr>
          <w:rFonts w:ascii="仿宋" w:eastAsia="仿宋" w:cs="Times New Roman" w:hAnsi="仿宋" w:hint="eastAsia"/>
          <w:b w:val="0"/>
          <w:bCs/>
          <w:color w:val="auto"/>
          <w:kern w:val="2"/>
          <w:sz w:val="32"/>
          <w:szCs w:val="32"/>
          <w:lang w:val="en-US" w:eastAsia="zh-CN" w:bidi="ar-SA"/>
          <w:highlight w:val="auto"/>
        </w:rPr>
        <w:t>一、收入支出决算总表</w:t>
      </w:r>
      <w:bookmarkEnd w:id="70"/>
      <w:bookmarkEnd w:id="71"/>
    </w:p>
    <w:p>
      <w:pPr>
        <w:pStyle w:val="2"/>
        <w:rPr>
          <w:rFonts w:ascii="仿宋" w:eastAsia="仿宋" w:hAnsi="仿宋"/>
          <w:color w:val="auto"/>
          <w:highlight w:val="auto"/>
        </w:rPr>
      </w:pPr>
      <w:bookmarkStart w:id="72" w:name="_Toc15396620"/>
      <w:bookmarkStart w:id="73" w:name="_Toc19089"/>
      <w:r>
        <w:rPr>
          <w:rFonts w:ascii="仿宋" w:eastAsia="仿宋" w:hAnsi="仿宋" w:hint="eastAsia"/>
          <w:b w:val="0"/>
          <w:color w:val="auto"/>
          <w:highlight w:val="auto"/>
        </w:rPr>
        <w:t>二、收</w:t>
      </w:r>
      <w:r>
        <w:rPr>
          <w:rStyle w:val="2Char"/>
          <w:rFonts w:ascii="仿宋" w:eastAsia="仿宋" w:hAnsi="仿宋" w:hint="eastAsia"/>
          <w:b w:val="0"/>
          <w:bCs w:val="0"/>
          <w:color w:val="auto"/>
          <w:highlight w:val="auto"/>
        </w:rPr>
        <w:t>入决算表</w:t>
      </w:r>
      <w:bookmarkEnd w:id="72"/>
      <w:bookmarkEnd w:id="73"/>
    </w:p>
    <w:p>
      <w:pPr>
        <w:pStyle w:val="2"/>
        <w:rPr>
          <w:rFonts w:ascii="仿宋" w:eastAsia="仿宋" w:hAnsi="仿宋"/>
          <w:color w:val="auto"/>
          <w:highlight w:val="auto"/>
        </w:rPr>
      </w:pPr>
      <w:bookmarkStart w:id="74" w:name="_Toc6371"/>
      <w:bookmarkStart w:id="75" w:name="_Toc15396621"/>
      <w:r>
        <w:rPr>
          <w:rStyle w:val="2Char"/>
          <w:rFonts w:ascii="仿宋" w:eastAsia="仿宋" w:hAnsi="仿宋" w:hint="eastAsia"/>
          <w:b w:val="0"/>
          <w:bCs w:val="0"/>
          <w:color w:val="auto"/>
          <w:highlight w:val="auto"/>
        </w:rPr>
        <w:t>三、</w:t>
      </w:r>
      <w:r>
        <w:rPr>
          <w:rFonts w:ascii="仿宋" w:eastAsia="仿宋" w:hAnsi="仿宋" w:hint="eastAsia"/>
          <w:b w:val="0"/>
          <w:color w:val="auto"/>
          <w:highlight w:val="auto"/>
        </w:rPr>
        <w:t>支</w:t>
      </w:r>
      <w:r>
        <w:rPr>
          <w:rStyle w:val="2Char"/>
          <w:rFonts w:ascii="仿宋" w:eastAsia="仿宋" w:hAnsi="仿宋" w:hint="eastAsia"/>
          <w:b w:val="0"/>
          <w:bCs w:val="0"/>
          <w:color w:val="auto"/>
          <w:highlight w:val="auto"/>
        </w:rPr>
        <w:t>出决算表</w:t>
      </w:r>
      <w:bookmarkEnd w:id="74"/>
      <w:bookmarkEnd w:id="75"/>
    </w:p>
    <w:p>
      <w:pPr>
        <w:pStyle w:val="2"/>
        <w:rPr>
          <w:rFonts w:ascii="仿宋" w:eastAsia="仿宋" w:hAnsi="仿宋"/>
          <w:b w:val="0"/>
          <w:color w:val="auto"/>
          <w:highlight w:val="auto"/>
        </w:rPr>
      </w:pPr>
      <w:bookmarkStart w:id="76" w:name="_Toc21643"/>
      <w:bookmarkStart w:id="77" w:name="_Toc15396622"/>
      <w:r>
        <w:rPr>
          <w:rStyle w:val="2Char"/>
          <w:rFonts w:ascii="仿宋" w:eastAsia="仿宋" w:hAnsi="仿宋" w:hint="eastAsia"/>
          <w:b w:val="0"/>
          <w:bCs w:val="0"/>
          <w:color w:val="auto"/>
          <w:highlight w:val="auto"/>
        </w:rPr>
        <w:t>四、</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政拨款收入支出决算总表</w:t>
      </w:r>
      <w:bookmarkEnd w:id="76"/>
      <w:bookmarkEnd w:id="77"/>
    </w:p>
    <w:p>
      <w:pPr>
        <w:pStyle w:val="2"/>
        <w:rPr>
          <w:rStyle w:val="2Char"/>
          <w:rFonts w:ascii="仿宋" w:eastAsia="仿宋" w:hAnsi="仿宋"/>
          <w:b w:val="0"/>
          <w:bCs w:val="0"/>
          <w:color w:val="auto"/>
          <w:highlight w:val="auto"/>
        </w:rPr>
      </w:pPr>
      <w:bookmarkStart w:id="78" w:name="_Toc12330"/>
      <w:bookmarkStart w:id="79" w:name="_Toc15396623"/>
      <w:r>
        <w:rPr>
          <w:rStyle w:val="2Char"/>
          <w:rFonts w:ascii="仿宋" w:eastAsia="仿宋" w:hAnsi="仿宋" w:hint="eastAsia"/>
          <w:b w:val="0"/>
          <w:bCs w:val="0"/>
          <w:color w:val="auto"/>
          <w:highlight w:val="auto"/>
        </w:rPr>
        <w:t>五、</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政拨款支出决算明细表</w:t>
      </w:r>
      <w:bookmarkStart w:id="80" w:name="_Toc15396624"/>
      <w:bookmarkEnd w:id="78"/>
      <w:bookmarkEnd w:id="79"/>
    </w:p>
    <w:p>
      <w:pPr>
        <w:pStyle w:val="2"/>
        <w:rPr>
          <w:rFonts w:ascii="仿宋" w:eastAsia="仿宋" w:hAnsi="仿宋"/>
          <w:color w:val="auto"/>
          <w:lang w:val="en-US" w:eastAsia="zh-CN"/>
          <w:highlight w:val="auto"/>
        </w:rPr>
      </w:pPr>
      <w:bookmarkStart w:id="81" w:name="_Toc10811"/>
      <w:r>
        <w:rPr>
          <w:rStyle w:val="2Char"/>
          <w:rFonts w:ascii="仿宋" w:eastAsia="仿宋" w:hAnsi="仿宋" w:hint="eastAsia"/>
          <w:b w:val="0"/>
          <w:bCs w:val="0"/>
          <w:color w:val="auto"/>
          <w:highlight w:val="auto"/>
        </w:rPr>
        <w:t>六、</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般公共预算财政拨款支出决算表</w:t>
      </w:r>
      <w:bookmarkEnd w:id="80"/>
      <w:bookmarkEnd w:id="81"/>
    </w:p>
    <w:p>
      <w:pPr>
        <w:pStyle w:val="2"/>
        <w:rPr>
          <w:rFonts w:ascii="仿宋" w:eastAsia="仿宋" w:hAnsi="仿宋"/>
          <w:color w:val="auto"/>
          <w:highlight w:val="auto"/>
        </w:rPr>
      </w:pPr>
      <w:bookmarkStart w:id="82" w:name="_Toc11057"/>
      <w:bookmarkStart w:id="83" w:name="_Toc15396625"/>
      <w:r>
        <w:rPr>
          <w:rStyle w:val="2Char"/>
          <w:rFonts w:ascii="仿宋" w:eastAsia="仿宋" w:hAnsi="仿宋" w:hint="eastAsia"/>
          <w:b w:val="0"/>
          <w:bCs w:val="0"/>
          <w:color w:val="auto"/>
          <w:highlight w:val="auto"/>
        </w:rPr>
        <w:t>七、</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般公共预算财政拨款支出决算明细表</w:t>
      </w:r>
      <w:bookmarkEnd w:id="82"/>
      <w:bookmarkEnd w:id="83"/>
    </w:p>
    <w:p>
      <w:pPr>
        <w:pStyle w:val="2"/>
        <w:rPr>
          <w:rFonts w:ascii="仿宋" w:eastAsia="仿宋" w:hAnsi="仿宋"/>
          <w:color w:val="auto"/>
          <w:highlight w:val="auto"/>
        </w:rPr>
      </w:pPr>
      <w:bookmarkStart w:id="84" w:name="_Toc22786"/>
      <w:bookmarkStart w:id="85" w:name="_Toc15396626"/>
      <w:r>
        <w:rPr>
          <w:rStyle w:val="2Char"/>
          <w:rFonts w:ascii="仿宋" w:eastAsia="仿宋" w:hAnsi="仿宋" w:hint="eastAsia"/>
          <w:b w:val="0"/>
          <w:bCs w:val="0"/>
          <w:color w:val="auto"/>
          <w:highlight w:val="auto"/>
        </w:rPr>
        <w:t>八、</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般公共预算财政拨款基本支出决算表</w:t>
      </w:r>
      <w:bookmarkEnd w:id="84"/>
      <w:bookmarkEnd w:id="85"/>
    </w:p>
    <w:p>
      <w:pPr>
        <w:pStyle w:val="2"/>
        <w:rPr>
          <w:rFonts w:ascii="仿宋" w:eastAsia="仿宋" w:hAnsi="仿宋"/>
          <w:color w:val="auto"/>
          <w:highlight w:val="auto"/>
        </w:rPr>
      </w:pPr>
      <w:bookmarkStart w:id="86" w:name="_Toc743"/>
      <w:bookmarkStart w:id="87" w:name="_Toc15396627"/>
      <w:r>
        <w:rPr>
          <w:rStyle w:val="2Char"/>
          <w:rFonts w:ascii="仿宋" w:eastAsia="仿宋" w:hAnsi="仿宋" w:hint="eastAsia"/>
          <w:b w:val="0"/>
          <w:bCs w:val="0"/>
          <w:color w:val="auto"/>
          <w:highlight w:val="auto"/>
        </w:rPr>
        <w:t>九、</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般公共预算财政拨款项目支出决算表</w:t>
      </w:r>
      <w:bookmarkEnd w:id="86"/>
      <w:bookmarkEnd w:id="87"/>
    </w:p>
    <w:p>
      <w:pPr>
        <w:pStyle w:val="2"/>
        <w:rPr>
          <w:rFonts w:ascii="仿宋" w:eastAsia="仿宋" w:hAnsi="仿宋"/>
          <w:color w:val="auto"/>
          <w:highlight w:val="auto"/>
        </w:rPr>
      </w:pPr>
      <w:bookmarkStart w:id="88" w:name="_Toc15396628"/>
      <w:bookmarkStart w:id="89" w:name="_Toc23261"/>
      <w:r>
        <w:rPr>
          <w:rStyle w:val="2Char"/>
          <w:rFonts w:ascii="仿宋" w:eastAsia="仿宋" w:hAnsi="仿宋" w:hint="eastAsia"/>
          <w:b w:val="0"/>
          <w:bCs w:val="0"/>
          <w:color w:val="auto"/>
          <w:highlight w:val="auto"/>
        </w:rPr>
        <w:t>十、</w:t>
      </w:r>
      <w:bookmarkEnd w:id="88"/>
      <w:r>
        <w:rPr>
          <w:rFonts w:ascii="仿宋" w:eastAsia="仿宋" w:hAnsi="仿宋" w:hint="eastAsia"/>
          <w:b w:val="0"/>
          <w:color w:val="auto"/>
          <w:highlight w:val="auto"/>
        </w:rPr>
        <w:t>政</w:t>
      </w:r>
      <w:r>
        <w:rPr>
          <w:rStyle w:val="2Char"/>
          <w:rFonts w:ascii="仿宋" w:eastAsia="仿宋" w:hAnsi="仿宋" w:hint="eastAsia"/>
          <w:b w:val="0"/>
          <w:bCs w:val="0"/>
          <w:color w:val="auto"/>
          <w:highlight w:val="auto"/>
        </w:rPr>
        <w:t>府性基金预算财政拨款收入支出决算表</w:t>
      </w:r>
      <w:bookmarkEnd w:id="89"/>
    </w:p>
    <w:p>
      <w:pPr>
        <w:pStyle w:val="2"/>
        <w:rPr>
          <w:rFonts w:ascii="仿宋" w:eastAsia="仿宋" w:hAnsi="仿宋"/>
          <w:color w:val="auto"/>
          <w:highlight w:val="auto"/>
        </w:rPr>
      </w:pPr>
      <w:bookmarkStart w:id="90" w:name="_Toc15396629"/>
      <w:bookmarkStart w:id="91" w:name="_Toc17142"/>
      <w:r>
        <w:rPr>
          <w:rStyle w:val="2Char"/>
          <w:rFonts w:ascii="仿宋" w:eastAsia="仿宋" w:hAnsi="仿宋" w:hint="eastAsia"/>
          <w:b w:val="0"/>
          <w:bCs w:val="0"/>
          <w:color w:val="auto"/>
          <w:highlight w:val="auto"/>
        </w:rPr>
        <w:t>十一、</w:t>
      </w:r>
      <w:bookmarkEnd w:id="90"/>
      <w:r>
        <w:rPr>
          <w:rFonts w:ascii="仿宋" w:eastAsia="仿宋" w:hAnsi="仿宋" w:hint="eastAsia"/>
          <w:b w:val="0"/>
          <w:color w:val="auto"/>
          <w:highlight w:val="auto"/>
        </w:rPr>
        <w:t>国</w:t>
      </w:r>
      <w:r>
        <w:rPr>
          <w:rStyle w:val="2Char"/>
          <w:rFonts w:ascii="仿宋" w:eastAsia="仿宋" w:hAnsi="仿宋" w:hint="eastAsia"/>
          <w:b w:val="0"/>
          <w:bCs w:val="0"/>
          <w:color w:val="auto"/>
          <w:highlight w:val="auto"/>
        </w:rPr>
        <w:t>有资本经营预算</w:t>
      </w:r>
      <w:r>
        <w:rPr>
          <w:rStyle w:val="2Char"/>
          <w:rFonts w:ascii="仿宋" w:eastAsia="仿宋" w:hAnsi="仿宋" w:hint="eastAsia"/>
          <w:b w:val="0"/>
          <w:bCs w:val="0"/>
          <w:color w:val="auto"/>
          <w:lang w:eastAsia="zh-CN"/>
          <w:highlight w:val="auto"/>
        </w:rPr>
        <w:t>财政拨款收入</w:t>
      </w:r>
      <w:r>
        <w:rPr>
          <w:rStyle w:val="2Char"/>
          <w:rFonts w:ascii="仿宋" w:eastAsia="仿宋" w:hAnsi="仿宋" w:hint="eastAsia"/>
          <w:b w:val="0"/>
          <w:bCs w:val="0"/>
          <w:color w:val="auto"/>
          <w:highlight w:val="auto"/>
        </w:rPr>
        <w:t>支出决算表</w:t>
      </w:r>
      <w:bookmarkEnd w:id="91"/>
    </w:p>
    <w:p>
      <w:pPr>
        <w:pStyle w:val="2"/>
        <w:rPr>
          <w:rFonts w:ascii="仿宋" w:eastAsia="仿宋" w:hAnsi="仿宋"/>
          <w:color w:val="auto"/>
          <w:highlight w:val="auto"/>
        </w:rPr>
      </w:pPr>
      <w:bookmarkStart w:id="92" w:name="_Toc15396630"/>
      <w:bookmarkStart w:id="93" w:name="_Toc10224"/>
      <w:r>
        <w:rPr>
          <w:rStyle w:val="2Char"/>
          <w:rFonts w:ascii="仿宋" w:eastAsia="仿宋" w:hAnsi="仿宋" w:hint="eastAsia"/>
          <w:b w:val="0"/>
          <w:bCs w:val="0"/>
          <w:color w:val="auto"/>
          <w:highlight w:val="auto"/>
        </w:rPr>
        <w:t>十二、</w:t>
      </w:r>
      <w:bookmarkEnd w:id="92"/>
      <w:r>
        <w:rPr>
          <w:rStyle w:val="2Char"/>
          <w:rFonts w:ascii="仿宋" w:eastAsia="仿宋" w:hAnsi="仿宋" w:hint="eastAsia"/>
          <w:b w:val="0"/>
          <w:bCs w:val="0"/>
          <w:color w:val="auto"/>
          <w:lang w:eastAsia="zh-CN"/>
          <w:highlight w:val="auto"/>
        </w:rPr>
        <w:t>国有资本经营预算财政拨款支出决算表</w:t>
      </w:r>
      <w:bookmarkEnd w:id="93"/>
    </w:p>
    <w:p>
      <w:pPr>
        <w:pStyle w:val="2"/>
        <w:rPr>
          <w:rFonts w:eastAsia="仿宋" w:hint="eastAsia"/>
          <w:color w:val="auto"/>
          <w:lang w:eastAsia="zh-CN"/>
          <w:highlight w:val="auto"/>
        </w:rPr>
      </w:pPr>
      <w:bookmarkStart w:id="94" w:name="_Toc15396631"/>
      <w:bookmarkStart w:id="95" w:name="_Toc6567"/>
      <w:r>
        <w:rPr>
          <w:rStyle w:val="2Char"/>
          <w:rFonts w:ascii="仿宋" w:eastAsia="仿宋" w:hAnsi="仿宋" w:hint="eastAsia"/>
          <w:b w:val="0"/>
          <w:bCs w:val="0"/>
          <w:color w:val="auto"/>
          <w:highlight w:val="auto"/>
        </w:rPr>
        <w:t>十三、</w:t>
      </w:r>
      <w:bookmarkEnd w:id="94"/>
      <w:r>
        <w:rPr>
          <w:rStyle w:val="2Char"/>
          <w:rFonts w:ascii="仿宋" w:eastAsia="仿宋" w:hAnsi="仿宋" w:hint="eastAsia"/>
          <w:b w:val="0"/>
          <w:bCs w:val="0"/>
          <w:color w:val="auto"/>
          <w:lang w:eastAsia="zh-CN"/>
          <w:highlight w:val="auto"/>
        </w:rPr>
        <w:t>财政拨款“三公”经费支出决算表</w:t>
      </w:r>
      <w:bookmarkEnd w:id="95"/>
    </w:p>
    <w:sectPr>
      <w:pgSz w:w="11906" w:h="16838"/>
      <w:pgMar w:top="1440" w:right="1800" w:bottom="1440" w:left="1800" w:header="851" w:footer="992" w:gutter="0"/>
      <w:pgNumType/>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楷体_GB2312">
    <w:altName w:val="楷体"/>
    <w:panose1 w:val="02010609030101010101"/>
    <w:charset w:val="86"/>
    <w:family w:val="auto"/>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ourier New">
    <w:panose1 w:val="02070309020205020404"/>
    <w:charset w:val="01"/>
    <w:family w:val="modern"/>
    <w:pitch w:val="variable"/>
    <w:sig w:usb0="E0002AFF" w:usb1="C0007843" w:usb2="00000009" w:usb3="00000000" w:csb0="400001FF" w:csb1="FFFF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298" distR="114298" simplePos="0" relativeHeight="46"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 name="文本框 30"/>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2">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0 3" o:spid="_x0000_s3" filled="f" stroked="f" strokeweight="0.5pt" style="position:absolute;margin-left:0.0pt;margin-top:0.0pt;width:5.9999084pt;height:10.359pt;z-index:46;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sdt>
      <w:sdtPr>
        <w:id w:val="1239852685"/>
      </w:sdtPr>
      <w:sdtContent>
        <w:r>
          <w:rPr>
            <w:rFonts w:hint="eastAsia"/>
            <w:lang w:val="en-US" w:eastAsia="zh-CN"/>
          </w:rPr>
          <w:t>35</w:t>
        </w:r>
      </w:sdtContent>
    </w:sdt>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8" distR="114298" simplePos="0" relativeHeight="48"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4" name="文本框 31"/>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5">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1 6" o:spid="_x0000_s6" filled="f" stroked="f" strokeweight="0.5pt" style="position:absolute;margin-left:0.0pt;margin-top:0.0pt;width:5.9999084pt;height:10.359pt;z-index:48;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298" distR="114298" simplePos="0" relativeHeight="42"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7" name="文本框 28"/>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8">
                      <w:txbxContent>
                        <w:p>
                          <w:pPr>
                            <w:pStyle w:val="21"/>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8 9" o:spid="_x0000_s9" filled="f" stroked="f" strokeweight="0.5pt" style="position:absolute;margin-left:0.0pt;margin-top:0.0pt;width:9.0pt;height:10.359035pt;z-index:42;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sdt>
      <w:sdtPr>
        <w:id w:val="-1581522"/>
      </w:sdtPr>
      <w:sdtContent/>
    </w:sdt>
  </w:p>
  <w:p>
    <w:pPr>
      <w:pStyle w:val="21"/>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8" distR="114298" simplePos="0" relativeHeight="44"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0" name="文本框 29"/>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11">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29 12" o:spid="_x0000_s12" filled="f" stroked="f" strokeweight="0.5pt" style="position:absolute;margin-left:0.0pt;margin-top:0.0pt;width:5.9999084pt;height:10.359pt;z-index:44;mso-position-horizontal:center;mso-position-horizontal-relative:margin;mso-position-vertical:absolute;mso-wrap-distance-left:8.999863pt;mso-wrap-distance-right:8.999863pt;mso-wrap-style:none;">
              <v:stroke color="#000000"/>
              <v:textbox id="858"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298" distR="114298" simplePos="0" relativeHeight="32" behindDoc="0" locked="0" layoutInCell="1" hidden="0" allowOverlap="1">
              <wp:simplePos x="0" y="0"/>
              <wp:positionH relativeFrom="margin">
                <wp:posOffset>4324985</wp:posOffset>
              </wp:positionH>
              <wp:positionV relativeFrom="paragraph">
                <wp:posOffset>0</wp:posOffset>
              </wp:positionV>
              <wp:extent cx="76198" cy="131559"/>
              <wp:effectExtent l="0" t="0" r="0" b="0"/>
              <wp:wrapNone/>
              <wp:docPr id="20" name="文本框 24"/>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21">
                      <w:txbxContent>
                        <w:p>
                          <w:pPr>
                            <w:pStyle w:val="21"/>
                            <w:tabs>
                              <w:tab w:val="center" w:pos="4153"/>
                              <w:tab w:val="right" w:pos="8306"/>
                            </w:tabs>
                            <w:rPr>
                              <w:rFonts w:eastAsia="宋体"/>
                              <w:lang w:val="en-US" w:eastAsia="zh-CN"/>
                            </w:rPr>
                          </w:pPr>
                        </w:p>
                      </w:txbxContent>
                    </wps:txbx>
                    <wps:bodyPr vert="horz" wrap="none" lIns="0" tIns="0" rIns="0" bIns="0" anchor="t" anchorCtr="0" upright="0">
                      <a:spAutoFit/>
                    </wps:bodyPr>
                  </wps:wsp>
                </a:graphicData>
              </a:graphic>
            </wp:anchor>
          </w:drawing>
        </mc:Choice>
        <mc:Fallback>
          <w:pict>
            <v:shape type="#_x0000_t202" id="文本框 24 22" o:spid="_x0000_s22" filled="f" stroked="f" strokeweight="0.5pt" style="position:absolute;margin-left:340.55pt;margin-top:0.0pt;width:5.9999084pt;height:10.359pt;z-index:32;mso-position-horizontal:absolute;mso-position-horizontal-relative:margin;mso-position-vertical:absolute;mso-wrap-distance-left:8.999863pt;mso-wrap-distance-right:8.999863pt;mso-wrap-style:none;">
              <v:stroke color="#000000"/>
              <v:textbox id="859" inset="0mm,0mm,0mm,0mm" o:insetmode="custom" style="layout-flow:horizontal;v-text-anchor:top;mso-fit-shape-to-text:t;">
                <w:txbxContent>
                  <w:p>
                    <w:pPr>
                      <w:pStyle w:val="21"/>
                      <w:tabs>
                        <w:tab w:val="center" w:pos="4153"/>
                        <w:tab w:val="right" w:pos="8306"/>
                      </w:tabs>
                      <w:rPr>
                        <w:rFonts w:eastAsia="宋体"/>
                        <w:lang w:val="en-US" w:eastAsia="zh-CN"/>
                      </w:rPr>
                    </w:pPr>
                  </w:p>
                </w:txbxContent>
              </v:textbox>
            </v:shape>
          </w:pict>
        </mc:Fallback>
      </mc:AlternateContent>
    </w:r>
    <w:r>
      <w:rPr>
        <w:rFonts w:hint="eastAsia"/>
        <w:sz w:val="18"/>
        <w:lang w:val="en-US" w:eastAsia="zh-CN"/>
      </w:rPr>
      <w:t>36</w:t>
    </w:r>
    <w:sdt>
      <w:sdtPr>
        <w:rPr>
          <w:lang w:val="en-US"/>
        </w:rPr>
        <w:id w:val="981557612"/>
      </w:sdtPr>
      <w:sdtContent/>
    </w:sdt>
  </w:p>
  <w:p>
    <w:pPr>
      <w:pStyle w:val="21"/>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8" distR="114298" simplePos="0" relativeHeight="34"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3" name="文本框 25"/>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4">
                      <w:txbxContent>
                        <w:p>
                          <w:pPr>
                            <w:pStyle w:val="21"/>
                            <w:tabs>
                              <w:tab w:val="center" w:pos="4153"/>
                              <w:tab w:val="right" w:pos="8306"/>
                            </w:tabs>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0">
                      <a:spAutoFit/>
                    </wps:bodyPr>
                  </wps:wsp>
                </a:graphicData>
              </a:graphic>
            </wp:anchor>
          </w:drawing>
        </mc:Choice>
        <mc:Fallback>
          <w:pict>
            <v:shape type="#_x0000_t202" id="文本框 25 25" o:spid="_x0000_s25" filled="f" stroked="f" strokeweight="0.5pt" style="position:absolute;margin-left:0.0pt;margin-top:0.0pt;width:9.0pt;height:10.359pt;z-index:34;mso-position-horizontal:center;mso-position-horizontal-relative:margin;mso-position-vertical:absolute;mso-wrap-distance-left:8.999863pt;mso-wrap-distance-right:8.999863pt;mso-wrap-style:none;">
              <v:stroke color="#000000"/>
              <v:textbox id="860"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298" distR="114298" simplePos="0" relativeHeight="36"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6" name="文本框 26"/>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7">
                      <w:txbxContent>
                        <w:p>
                          <w:pPr>
                            <w:pStyle w:val="21"/>
                            <w:tabs>
                              <w:tab w:val="center" w:pos="4153"/>
                              <w:tab w:val="right" w:pos="8306"/>
                            </w:tabs>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type="#_x0000_t202" id="文本框 26 28" o:spid="_x0000_s28" filled="f" stroked="f" strokeweight="0.5pt" style="position:absolute;margin-left:0.0pt;margin-top:0.0pt;width:9.0pt;height:10.359pt;z-index:36;mso-position-horizontal:center;mso-position-horizontal-relative:margin;mso-position-vertical:absolute;mso-wrap-distance-left:8.999863pt;mso-wrap-distance-right:8.999863pt;mso-wrap-style:none;">
              <v:stroke color="#000000"/>
              <v:textbox id="861"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43</w:t>
                    </w:r>
                    <w:r>
                      <w:fldChar w:fldCharType="end"/>
                    </w:r>
                  </w:p>
                </w:txbxContent>
              </v:textbox>
            </v:shape>
          </w:pict>
        </mc:Fallback>
      </mc:AlternateContent>
    </w:r>
    <w:sdt>
      <w:sdtPr>
        <w:id w:val="1456964023"/>
      </w:sdtPr>
      <w:sdtContent>
        <w:r>
          <w:rPr>
            <w:rFonts w:hint="eastAsia"/>
            <w:lang w:val="en-US" w:eastAsia="zh-CN"/>
          </w:rPr>
          <w:t>35</w:t>
        </w:r>
      </w:sdtContent>
    </w:sdt>
  </w:p>
  <w:p>
    <w:pPr>
      <w:pStyle w:val="21"/>
      <w:tabs>
        <w:tab w:val="center" w:pos="4153"/>
        <w:tab w:val="right" w:pos="8306"/>
      </w:tabs>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8" distR="114298" simplePos="0" relativeHeight="40"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9" name="文本框 27"/>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30">
                      <w:txbxContent>
                        <w:p>
                          <w:pPr>
                            <w:pStyle w:val="21"/>
                            <w:tabs>
                              <w:tab w:val="center" w:pos="4153"/>
                              <w:tab w:val="right" w:pos="8306"/>
                            </w:tabs>
                          </w:pPr>
                          <w:r>
                            <w:fldChar w:fldCharType="begin"/>
                          </w:r>
                          <w:r>
                            <w:instrText xml:space="preserve"> PAGE  \* MERGEFORMAT </w:instrText>
                          </w:r>
                          <w:r>
                            <w:fldChar w:fldCharType="separate"/>
                          </w:r>
                          <w:r>
                            <w:t>42</w:t>
                          </w:r>
                          <w:r>
                            <w:fldChar w:fldCharType="end"/>
                          </w:r>
                        </w:p>
                      </w:txbxContent>
                    </wps:txbx>
                    <wps:bodyPr vert="horz" wrap="none" lIns="0" tIns="0" rIns="0" bIns="0" anchor="t" anchorCtr="0" upright="0">
                      <a:spAutoFit/>
                    </wps:bodyPr>
                  </wps:wsp>
                </a:graphicData>
              </a:graphic>
            </wp:anchor>
          </w:drawing>
        </mc:Choice>
        <mc:Fallback>
          <w:pict>
            <v:shape type="#_x0000_t202" id="文本框 27 31" o:spid="_x0000_s31" filled="f" stroked="f" strokeweight="0.5pt" style="position:absolute;margin-left:0.0pt;margin-top:0.0pt;width:9.0pt;height:10.359pt;z-index:40;mso-position-horizontal:center;mso-position-horizontal-relative:margin;mso-position-vertical:absolute;mso-wrap-distance-left:8.999863pt;mso-wrap-distance-right:8.999863pt;mso-wrap-style:none;">
              <v:stroke color="#000000"/>
              <v:textbox id="862"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547962A"/>
    <w:multiLevelType w:val="singleLevel"/>
    <w:tmpl w:val="D547962A"/>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4">
    <w:nsid w:val="5A5A2C3F"/>
    <w:multiLevelType w:val="singleLevel"/>
    <w:tmpl w:val="5A5A2C3F"/>
    <w:lvl w:ilvl="0">
      <w:start w:val="3"/>
      <w:numFmt w:val="chineseCounting"/>
      <w:lvlRestart w:val="0"/>
      <w:suff w:val="nothing"/>
      <w:lvlText w:val="（%1）"/>
      <w:lvlJc w:val="left"/>
      <w:pPr/>
      <w:rPr>
        <w:rFonts w:hint="eastAsia"/>
      </w:rPr>
    </w:lvl>
  </w:abstractNum>
  <w:abstractNum w:abstractNumId="5">
    <w:nsid w:val="1F0866EA"/>
    <w:multiLevelType w:val="singleLevel"/>
    <w:tmpl w:val="1F0866EA"/>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GZmMTYwOGVkYTY0Y2RlOTEyYWViNjNiZGNmYWRiO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next w:val="0"/>
    <w:pPr>
      <w:spacing w:after="120"/>
      <w:ind w:leftChars="200" w:left="200"/>
    </w:pPr>
    <w:rPr>
      <w:rFonts w:ascii="仿宋_GB2312" w:hAnsi="仿宋_GB2312"/>
      <w:szCs w:val="32"/>
    </w:rPr>
  </w:style>
  <w:style w:type="paragraph" w:styleId="16">
    <w:name w:val="Body Text First Indent 2"/>
    <w:basedOn w:val="15"/>
    <w:next w:val="0"/>
    <w:pPr>
      <w:ind w:firstLineChars="200" w:firstLine="200"/>
    </w:pPr>
  </w:style>
  <w:style w:type="paragraph" w:styleId="17">
    <w:name w:val="Body Text"/>
    <w:basedOn w:val="0"/>
    <w:pPr>
      <w:spacing w:beforeLines="30" w:before="30"/>
    </w:pPr>
    <w:rPr>
      <w:rFonts w:ascii="仿宋_GB2312" w:eastAsia="仿宋_GB2312"/>
      <w:kern w:val="0"/>
      <w:sz w:val="30"/>
    </w:rPr>
  </w:style>
  <w:style w:type="paragraph" w:styleId="18">
    <w:name w:val="toc 3"/>
    <w:basedOn w:val="0"/>
    <w:next w:val="0"/>
    <w:pPr>
      <w:tabs>
        <w:tab w:val="right" w:leader="dot" w:pos="8296"/>
      </w:tabs>
      <w:ind w:leftChars="400" w:left="400"/>
    </w:pPr>
  </w:style>
  <w:style w:type="paragraph" w:styleId="19">
    <w:name w:val="Plain Text"/>
    <w:basedOn w:val="0"/>
    <w:rPr>
      <w:rFonts w:ascii="宋体" w:eastAsia="宋体" w:cs="Courier New" w:hAnsi="Courier New"/>
      <w:sz w:val="21"/>
      <w:szCs w:val="21"/>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hAnsi="仿宋"/>
      <w:sz w:val="28"/>
      <w:szCs w:val="28"/>
    </w:rPr>
  </w:style>
  <w:style w:type="paragraph" w:styleId="24">
    <w:name w:val="toc 2"/>
    <w:basedOn w:val="0"/>
    <w:next w:val="0"/>
    <w:pPr>
      <w:tabs>
        <w:tab w:val="right" w:leader="dot" w:pos="8296"/>
      </w:tabs>
      <w:ind w:leftChars="200" w:left="200"/>
    </w:pPr>
  </w:style>
  <w:style w:type="paragraph" w:styleId="25">
    <w:name w:val="Normal (Web)"/>
    <w:basedOn w:val="0"/>
    <w:rPr>
      <w:sz w:val="24"/>
    </w:rPr>
  </w:style>
  <w:style w:type="character" w:styleId="26">
    <w:name w:val="Strong"/>
    <w:basedOn w:val="10"/>
    <w:rPr>
      <w:b/>
    </w:rPr>
  </w:style>
  <w:style w:type="character" w:styleId="27">
    <w:name w:val="Hyperlink"/>
    <w:basedOn w:val="10"/>
    <w:rPr>
      <w:color w:val="0000FF"/>
      <w:u w:val="single"/>
    </w:rPr>
  </w:style>
  <w:style w:type="paragraph" w:customStyle="1" w:styleId="28">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9">
    <w:name w:val="Header Char"/>
    <w:basedOn w:val="10"/>
    <w:rPr>
      <w:rFonts w:ascii="Times New Roman" w:hAnsi="Times New Roman"/>
      <w:sz w:val="18"/>
      <w:szCs w:val="18"/>
    </w:rPr>
  </w:style>
  <w:style w:type="character" w:customStyle="1" w:styleId="30">
    <w:name w:val="Footer Char"/>
    <w:basedOn w:val="10"/>
    <w:rPr>
      <w:rFonts w:ascii="Times New Roman" w:hAnsi="Times New Roman"/>
      <w:sz w:val="18"/>
      <w:szCs w:val="18"/>
    </w:rPr>
  </w:style>
  <w:style w:type="character" w:customStyle="1" w:styleId="31">
    <w:name w:val="Body Text Char"/>
    <w:basedOn w:val="10"/>
    <w:rPr>
      <w:rFonts w:ascii="Times New Roman" w:hAnsi="Times New Roman"/>
      <w:szCs w:val="24"/>
    </w:rPr>
  </w:style>
  <w:style w:type="paragraph" w:customStyle="1" w:styleId="32">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四号正文"/>
    <w:basedOn w:val="0"/>
    <w:pPr>
      <w:spacing w:line="360" w:lineRule="auto"/>
    </w:pPr>
    <w:rPr>
      <w:rFonts w:ascii="??" w:eastAsia="宋体" w:hAnsi="??"/>
      <w:color w:val="000000"/>
      <w:kern w:val="0"/>
      <w:sz w:val="28"/>
      <w:szCs w:val="21"/>
      <w:lang w:val="zh-CN" w:eastAsia="zh-CN"/>
    </w:rPr>
  </w:style>
  <w:style w:type="character" w:customStyle="1" w:styleId="37">
    <w:name w:val="font61"/>
    <w:basedOn w:val="10"/>
    <w:rPr>
      <w:rFonts w:ascii="宋体" w:eastAsia="宋体" w:cs="宋体" w:hAnsi="宋体"/>
      <w:color w:val="000000"/>
      <w:sz w:val="18"/>
      <w:szCs w:val="18"/>
      <w:u w:val="none"/>
    </w:rPr>
  </w:style>
  <w:style w:type="paragraph" w:customStyle="1" w:styleId="38">
    <w:name w:val="WPSOffice手动目录 1"/>
    <w:rPr>
      <w:rFonts w:ascii="Times New Roman" w:eastAsia="宋体" w:cs="Times New Roman" w:hAnsi="Times New Roman"/>
      <w:sz w:val="20"/>
      <w:szCs w:val="20"/>
    </w:rPr>
  </w:style>
  <w:style w:type="paragraph" w:customStyle="1" w:styleId="39">
    <w:name w:val="WPSOffice手动目录 2"/>
    <w:pPr>
      <w:ind w:leftChars="200" w:left="200"/>
    </w:pPr>
    <w:rPr>
      <w:rFonts w:ascii="Times New Roman" w:eastAsia="宋体" w:cs="Times New Roman" w:hAnsi="Times New Roman"/>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styles" Target="styl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收、支决算总计变动情况图</a:t>
            </a:r>
          </a:p>
        </c:rich>
      </c:tx>
      <c:layout/>
      <c:overlay val="0"/>
      <c:spPr>
        <a:noFill/>
        <a:ln>
          <a:noFill/>
        </a:ln>
      </c:spPr>
    </c:title>
    <c:autoTitleDeleted val="1"/>
    <c:plotArea>
      <c:layout/>
      <c:barChart>
        <c:barDir val="col"/>
        <c:grouping val="clustered"/>
        <c:varyColors val="0"/>
        <c:ser>
          <c:idx val="0"/>
          <c:order val="0"/>
          <c:tx>
            <c:v>收入</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numRef>
              <c:numCache>
                <c:ptCount val="2"/>
                <c:pt idx="0">
                  <c:v>2021</c:v>
                </c:pt>
                <c:pt idx="1">
                  <c:v>2022</c:v>
                </c:pt>
              </c:numCache>
            </c:numRef>
          </c:cat>
          <c:val>
            <c:numRef>
              <c:f/>
              <c:numCache>
                <c:formatCode>General</c:formatCode>
                <c:ptCount val="2"/>
                <c:pt idx="0">
                  <c:v>4351.77</c:v>
                </c:pt>
                <c:pt idx="1">
                  <c:v>9312.69</c:v>
                </c:pt>
              </c:numCache>
            </c:numRef>
          </c:val>
        </c:ser>
        <c:ser>
          <c:idx val="1"/>
          <c:order val="1"/>
          <c:tx>
            <c:v>支出</c:v>
          </c:tx>
          <c:spPr>
            <a:solidFill>
              <a:srgbClr val="C00000"/>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numRef>
              <c:numCache>
                <c:ptCount val="2"/>
                <c:pt idx="0">
                  <c:v>2021</c:v>
                </c:pt>
                <c:pt idx="1">
                  <c:v>2022</c:v>
                </c:pt>
              </c:numCache>
            </c:numRef>
          </c:cat>
          <c:val>
            <c:numRef>
              <c:f/>
              <c:numCache>
                <c:formatCode>General</c:formatCode>
                <c:ptCount val="2"/>
                <c:pt idx="0">
                  <c:v>4351.77</c:v>
                </c:pt>
                <c:pt idx="1">
                  <c:v>9312.69</c:v>
                </c:pt>
              </c:numCache>
            </c:numRef>
          </c:val>
        </c:ser>
        <c:gapWidth val="150"/>
        <c:axId val="0"/>
        <c:axId val="1"/>
      </c:barChart>
      <c:catAx>
        <c:axId val="0"/>
        <c:scaling>
          <c:orientation val="minMax"/>
        </c:scaling>
        <c:delete val="0"/>
        <c:axPos val="b"/>
        <c:numFmt formatCode="General" sourceLinked="1"/>
        <c:majorTickMark val="out"/>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黑体"/>
                <a:ea typeface="黑体"/>
                <a:cs typeface="Lucida Sans"/>
              </a:defRPr>
            </a:pPr>
            <a:r>
              <a:rPr lang="zh-CN"/>
              <a:t>收入决算结构图</a:t>
            </a:r>
          </a:p>
        </c:rich>
      </c:tx>
      <c:layout/>
      <c:overlay val="0"/>
      <c:spPr>
        <a:noFill/>
        <a:ln>
          <a:noFill/>
        </a:ln>
      </c:spPr>
    </c:title>
    <c:autoTitleDeleted val="1"/>
    <c:plotArea>
      <c:layout>
        <c:manualLayout>
          <c:layoutTarget val="inner"/>
          <c:xMode val="edge"/>
          <c:yMode val="edge"/>
          <c:x val="0.039720714"/>
          <c:y val="0.20111458"/>
          <c:w val="0.5882079"/>
          <c:h val="0.7412984"/>
        </c:manualLayout>
      </c:layout>
      <c:pieChart>
        <c:varyColors val="1"/>
        <c:ser>
          <c:idx val="0"/>
          <c:order val="0"/>
          <c:spPr>
            <a:solidFill>
              <a:srgbClr val="4F81BD"/>
            </a:solidFill>
          </c:spPr>
          <c:dPt>
            <c:idx val="0"/>
            <c:bubble3D val="0"/>
            <c:explosion val="0"/>
            <c:spPr>
              <a:solidFill>
                <a:srgbClr val="4F81BD"/>
              </a:solidFill>
              <a:ln w="19050">
                <a:solidFill>
                  <a:srgbClr val="FFFFFF"/>
                </a:solidFill>
                <a:prstDash val="solid"/>
              </a:ln>
            </c:spPr>
          </c:dPt>
          <c:dPt>
            <c:idx val="1"/>
            <c:bubble3D val="0"/>
            <c:explosion val="0"/>
            <c:spPr>
              <a:solidFill>
                <a:srgbClr val="C0504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Lit>
              <c:ptCount val="2"/>
              <c:pt idx="0">
                <c:v>一般公共预算财政拨款收入</c:v>
              </c:pt>
            </c:strLit>
          </c:cat>
          <c:val>
            <c:numRef>
              <c:f/>
              <c:numCache>
                <c:formatCode>General</c:formatCode>
                <c:ptCount val="2"/>
                <c:pt idx="0">
                  <c:v>9264.13</c:v>
                </c:pt>
              </c:numCache>
            </c:numRef>
          </c:val>
        </c:ser>
        <c:firstSliceAng val="0"/>
      </c:pieChart>
      <c:spPr>
        <a:noFill/>
        <a:ln>
          <a:noFill/>
        </a:ln>
      </c:spPr>
    </c:plotArea>
    <c:legend>
      <c:legendPos val="r"/>
      <c:layout>
        <c:manualLayout>
          <c:xMode val="edge"/>
          <c:yMode val="edge"/>
          <c:x val="0.65"/>
          <c:y val="0.50575"/>
          <c:w val="0.33325"/>
          <c:h val="0.06525"/>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1"/>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i="0" u="none" strike="noStrike" baseline="0">
                <a:solidFill>
                  <a:srgbClr val="595959"/>
                </a:solidFill>
                <a:latin typeface="黑体"/>
                <a:ea typeface="黑体"/>
                <a:cs typeface="Lucida Sans"/>
              </a:defRPr>
            </a:pPr>
            <a:r>
              <a:rPr lang="zh-CN"/>
              <a:t>支出决算结构图</a:t>
            </a:r>
          </a:p>
        </c:rich>
      </c:tx>
      <c:layout/>
      <c:overlay val="0"/>
      <c:spPr>
        <a:noFill/>
        <a:ln>
          <a:noFill/>
        </a:ln>
      </c:spPr>
    </c:title>
    <c:autoTitleDeleted val="1"/>
    <c:plotArea>
      <c:layout>
        <c:manualLayout>
          <c:layoutTarget val="inner"/>
          <c:xMode val="edge"/>
          <c:yMode val="edge"/>
          <c:x val="0.27162895"/>
          <c:y val="0.1840704"/>
          <c:w val="0.4567421"/>
          <c:h val="0.7615189"/>
        </c:manualLayout>
      </c:layout>
      <c:pieChart>
        <c:varyColors val="1"/>
        <c:ser>
          <c:idx val="0"/>
          <c:order val="0"/>
          <c:spPr>
            <a:solidFill>
              <a:srgbClr val="4F81BD"/>
            </a:solidFill>
          </c:spPr>
          <c:dPt>
            <c:idx val="0"/>
            <c:bubble3D val="0"/>
            <c:explosion val="0"/>
            <c:spPr>
              <a:solidFill>
                <a:srgbClr val="4F81BD"/>
              </a:solidFill>
              <a:ln w="19050">
                <a:solidFill>
                  <a:srgbClr val="FFFFFF"/>
                </a:solidFill>
                <a:prstDash val="solid"/>
              </a:ln>
            </c:spPr>
          </c:dPt>
          <c:dPt>
            <c:idx val="1"/>
            <c:bubble3D val="0"/>
            <c:explosion val="0"/>
            <c:spPr>
              <a:solidFill>
                <a:srgbClr val="C00000"/>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1"/>
            <c:showSerName val="0"/>
            <c:showPercent val="1"/>
            <c:showBubbleSize val="0"/>
            <c:separator>
</c:separator>
            <c:showLeaderLines val="1"/>
          </c:dLbls>
          <c:val>
            <c:numRef>
              <c:f/>
              <c:numCache>
                <c:formatCode>General</c:formatCode>
                <c:ptCount val="2"/>
                <c:pt idx="0">
                  <c:v>1567.32</c:v>
                </c:pt>
                <c:pt idx="1">
                  <c:v>7437.69</c:v>
                </c:pt>
              </c:numCache>
            </c:numRef>
          </c:val>
        </c:ser>
        <c:firstSliceAng val="0"/>
      </c:pieChart>
      <c:spPr>
        <a:no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财政拨款收、支决算总计变动情况图</a:t>
            </a:r>
          </a:p>
        </c:rich>
      </c:tx>
      <c:layout>
        <c:manualLayout>
          <c:xMode val="edge"/>
          <c:yMode val="edge"/>
          <c:x val="0.17210527"/>
          <c:y val="0.022222223"/>
        </c:manualLayout>
      </c:layout>
      <c:overlay val="0"/>
      <c:spPr>
        <a:noFill/>
        <a:ln>
          <a:noFill/>
        </a:ln>
      </c:spPr>
    </c:title>
    <c:autoTitleDeleted val="1"/>
    <c:plotArea>
      <c:layout/>
      <c:barChart>
        <c:barDir val="col"/>
        <c:grouping val="clustered"/>
        <c:varyColors val="0"/>
        <c:ser>
          <c:idx val="0"/>
          <c:order val="0"/>
          <c:tx>
            <c:v>2021</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4116.55</c:v>
                </c:pt>
                <c:pt idx="1">
                  <c:v>4116.55</c:v>
                </c:pt>
              </c:numCache>
            </c:numRef>
          </c:val>
        </c:ser>
        <c:ser>
          <c:idx val="1"/>
          <c:order val="1"/>
          <c:tx>
            <c:v>2022</c:v>
          </c:tx>
          <c:spPr>
            <a:solidFill>
              <a:srgbClr val="C00000"/>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9298.47</c:v>
                </c:pt>
                <c:pt idx="1">
                  <c:v>9298.47</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黑体"/>
                <a:ea typeface="黑体"/>
                <a:cs typeface="Lucida Sans"/>
              </a:defRPr>
            </a:pPr>
            <a:r>
              <a:rPr lang="zh-CN"/>
              <a:t>一般公共预算财政拨款支出决算变动情况图</a:t>
            </a:r>
          </a:p>
        </c:rich>
      </c:tx>
      <c:layout>
        <c:manualLayout>
          <c:xMode val="edge"/>
          <c:yMode val="edge"/>
          <c:x val="0.12815987"/>
          <c:y val="0.008566533"/>
        </c:manualLayout>
      </c:layout>
      <c:overlay val="0"/>
      <c:spPr>
        <a:noFill/>
        <a:ln>
          <a:noFill/>
        </a:ln>
      </c:spPr>
    </c:title>
    <c:autoTitleDeleted val="1"/>
    <c:plotArea>
      <c:layout>
        <c:manualLayout>
          <c:layoutTarget val="inner"/>
          <c:xMode val="edge"/>
          <c:yMode val="edge"/>
          <c:x val="0.10176529"/>
          <c:y val="0.2312964"/>
          <c:w val="0.8671656"/>
          <c:h val="0.6443175"/>
        </c:manualLayout>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2"/>
              <c:pt idx="0">
                <c:v>2021年</c:v>
              </c:pt>
              <c:pt idx="1">
                <c:v>2022年</c:v>
              </c:pt>
            </c:strLit>
          </c:cat>
          <c:val>
            <c:numRef>
              <c:f/>
              <c:numCache>
                <c:formatCode>General</c:formatCode>
                <c:ptCount val="2"/>
                <c:pt idx="0">
                  <c:v>4226.04</c:v>
                </c:pt>
                <c:pt idx="1">
                  <c:v>8990.78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黑体"/>
                <a:ea typeface="黑体"/>
                <a:cs typeface="Lucida Sans"/>
              </a:defRPr>
            </a:pPr>
            <a:r>
              <a:rPr lang="zh-CN"/>
              <a:t>一般公共预算财政拨款支出决算结构</a:t>
            </a:r>
          </a:p>
        </c:rich>
      </c:tx>
      <c:layout/>
      <c:overlay val="0"/>
      <c:spPr>
        <a:noFill/>
        <a:ln>
          <a:noFill/>
        </a:ln>
      </c:spPr>
    </c:title>
    <c:autoTitleDeleted val="1"/>
    <c:plotArea>
      <c:layout/>
      <c:pieChart>
        <c:varyColors val="1"/>
        <c:ser>
          <c:idx val="0"/>
          <c:order val="0"/>
          <c:spPr>
            <a:solidFill>
              <a:srgbClr val="4F81BD"/>
            </a:solidFill>
          </c:spPr>
          <c:dPt>
            <c:idx val="0"/>
            <c:bubble3D val="0"/>
            <c:explosion val="0"/>
            <c:spPr>
              <a:solidFill>
                <a:srgbClr val="4F81BD"/>
              </a:solidFill>
              <a:ln w="19050">
                <a:solidFill>
                  <a:srgbClr val="FFFFFF"/>
                </a:solidFill>
                <a:prstDash val="solid"/>
              </a:ln>
            </c:spPr>
          </c:dPt>
          <c:dPt>
            <c:idx val="1"/>
            <c:bubble3D val="0"/>
            <c:explosion val="0"/>
            <c:spPr>
              <a:solidFill>
                <a:srgbClr val="C0504D"/>
              </a:solidFill>
              <a:ln w="19050">
                <a:solidFill>
                  <a:srgbClr val="FFFFFF"/>
                </a:solidFill>
                <a:prstDash val="solid"/>
              </a:ln>
            </c:spPr>
          </c:dPt>
          <c:dPt>
            <c:idx val="2"/>
            <c:bubble3D val="0"/>
            <c:explosion val="0"/>
            <c:spPr>
              <a:solidFill>
                <a:srgbClr val="9BBB59"/>
              </a:solidFill>
              <a:ln w="19050">
                <a:solidFill>
                  <a:srgbClr val="FFFFFF"/>
                </a:solidFill>
                <a:prstDash val="solid"/>
              </a:ln>
            </c:spPr>
          </c:dPt>
          <c:dPt>
            <c:idx val="3"/>
            <c:bubble3D val="0"/>
            <c:explosion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
              <c:idx val="0"/>
              <c:layout>
                <c:manualLayout>
                  <c:x val="0.11791458"/>
                  <c:y val="0.06184872"/>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2"/>
              <c:layout>
                <c:manualLayout>
                  <c:x val="-0.14430928"/>
                  <c:y val="0.05892413"/>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3"/>
              <c:layout>
                <c:manualLayout>
                  <c:x val="-0.048607085"/>
                  <c:y val="0.0047363187"/>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10"/>
              <c:pt idx="0">
                <c:v>社会保障和就业支出</c:v>
              </c:pt>
              <c:pt idx="1">
                <c:v>卫生健康支出</c:v>
              </c:pt>
              <c:pt idx="2">
                <c:v>农林水支出</c:v>
              </c:pt>
              <c:pt idx="3">
                <c:v>住房保障支出</c:v>
              </c:pt>
              <c:pt idx="4">
                <c:v>&amp;sxmk&amp;</c:v>
              </c:pt>
              <c:pt idx="5">
                <c:v>208</c:v>
              </c:pt>
              <c:pt idx="6">
                <c:v>210</c:v>
              </c:pt>
              <c:pt idx="7">
                <c:v>213</c:v>
              </c:pt>
              <c:pt idx="8">
                <c:v>221</c:v>
              </c:pt>
              <c:pt idx="9">
                <c:v>&amp;sxmk&amp;</c:v>
              </c:pt>
            </c:strLit>
          </c:cat>
          <c:val>
            <c:numRef>
              <c:f/>
              <c:numCache>
                <c:formatCode>General</c:formatCode>
                <c:ptCount val="4"/>
                <c:pt idx="0">
                  <c:v>8733.39</c:v>
                </c:pt>
                <c:pt idx="1">
                  <c:v>41.99</c:v>
                </c:pt>
                <c:pt idx="2">
                  <c:v>153.05</c:v>
                </c:pt>
                <c:pt idx="3">
                  <c:v>62.36</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404040"/>
                </a:solidFill>
                <a:latin typeface="Times New Roman"/>
                <a:ea typeface="宋体"/>
                <a:cs typeface="Lucida Sans"/>
              </a:rPr>
              <a:t>“</a:t>
            </a:r>
            <a:r>
              <a:rPr lang="zh-CN" sz="1400" b="1" i="0" u="none" strike="noStrike" baseline="0">
                <a:solidFill>
                  <a:srgbClr val="404040"/>
                </a:solidFill>
                <a:latin typeface="Times New Roman"/>
                <a:ea typeface="宋体"/>
                <a:cs typeface="Lucida Sans"/>
              </a:rPr>
              <a:t>三公</a:t>
            </a:r>
            <a:r>
              <a:rPr lang="zh-CN" sz="1400" b="1" i="0" u="none" strike="noStrike" baseline="0">
                <a:solidFill>
                  <a:srgbClr val="404040"/>
                </a:solidFill>
                <a:latin typeface="Times New Roman"/>
                <a:ea typeface="宋体"/>
                <a:cs typeface="Lucida Sans"/>
              </a:rPr>
              <a:t>“</a:t>
            </a:r>
            <a:r>
              <a:rPr lang="zh-CN" sz="1400" b="1" i="0" u="none" strike="noStrike" baseline="0">
                <a:solidFill>
                  <a:srgbClr val="404040"/>
                </a:solidFill>
                <a:latin typeface="Times New Roman"/>
                <a:ea typeface="宋体"/>
                <a:cs typeface="Lucida Sans"/>
              </a:rPr>
              <a:t>经费财政拨款支出结构</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Pos val="ctr"/>
            <c:showLegendKey val="0"/>
            <c:showVal val="1"/>
            <c:showCatName val="0"/>
            <c:showSerName val="0"/>
            <c:showPercent val="1"/>
            <c:showBubbleSize val="0"/>
            <c:showLeaderLines val="1"/>
          </c:dLbls>
          <c:cat>
            <c:strLit>
              <c:ptCount val="3"/>
              <c:pt idx="0">
                <c:v>公务接待费</c:v>
              </c:pt>
              <c:pt idx="1">
                <c:v>因公出国（境）费</c:v>
              </c:pt>
              <c:pt idx="2">
                <c:v>公务用车购置及运行维护费</c:v>
              </c:pt>
            </c:strLit>
          </c:cat>
          <c:val>
            <c:numRef>
              <c:f/>
              <c:numCache>
                <c:formatCode>General</c:formatCode>
                <c:ptCount val="3"/>
                <c:pt idx="0">
                  <c:v>1.43</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8DAF40EF-D24B-4DF8-A2A1-20ADD3EA894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TotalTime>
  <Application>Yozo_Office27021597764231179</Application>
  <Pages>88</Pages>
  <Words>0</Words>
  <Characters>33933</Characters>
  <Lines>0</Lines>
  <Paragraphs>344</Paragraphs>
  <CharactersWithSpaces>45244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2023-07-31T02:35:00Z</cp:lastPrinted>
  <dcterms:created xsi:type="dcterms:W3CDTF">2020-08-05T01:49:00Z</dcterms:created>
  <dcterms:modified xsi:type="dcterms:W3CDTF">2023-10-12T01:02:25Z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C1035972B30E4A969826D04F178B8DFD_13</vt:lpwstr>
  </property>
</Properties>
</file>