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仿宋" w:eastAsia="仿宋" w:cs="仿宋" w:hAnsi="仿宋" w:hint="eastAsia"/>
          <w:b/>
          <w:bCs/>
          <w:color w:val="000000"/>
          <w:sz w:val="72"/>
          <w:szCs w:val="72"/>
        </w:rPr>
      </w:pPr>
      <w:bookmarkStart w:id="2" w:name="_Toc15396597"/>
      <w:bookmarkStart w:id="3" w:name="_Toc15378441"/>
      <w:bookmarkStart w:id="4" w:name="_Toc15377425"/>
      <w:bookmarkStart w:id="5" w:name="_Toc15377193"/>
      <w:bookmarkStart w:id="6" w:name="_Toc15396475"/>
      <w:r>
        <w:rPr>
          <w:rFonts w:ascii="仿宋" w:eastAsia="仿宋" w:cs="仿宋" w:hAnsi="仿宋" w:hint="eastAsia"/>
          <w:b/>
          <w:bCs/>
          <w:color w:val="000000"/>
          <w:sz w:val="72"/>
          <w:szCs w:val="72"/>
        </w:rPr>
        <w:t>2019年度</w:t>
      </w:r>
      <w:bookmarkEnd w:id="2"/>
      <w:bookmarkEnd w:id="3"/>
      <w:bookmarkEnd w:id="4"/>
      <w:bookmarkEnd w:id="5"/>
      <w:bookmarkEnd w:id="6"/>
    </w:p>
    <w:p>
      <w:pPr>
        <w:adjustRightInd w:val="0"/>
        <w:snapToGrid w:val="0"/>
        <w:spacing w:line="360" w:lineRule="auto"/>
        <w:jc w:val="center"/>
        <w:outlineLvl w:val="0"/>
        <w:rPr>
          <w:rFonts w:ascii="仿宋" w:eastAsia="仿宋" w:cs="仿宋" w:hAnsi="仿宋" w:hint="eastAsia"/>
          <w:b/>
          <w:bCs/>
          <w:color w:val="000000"/>
          <w:sz w:val="72"/>
          <w:szCs w:val="72"/>
        </w:rPr>
      </w:pPr>
      <w:bookmarkStart w:id="7" w:name="_Toc15396476"/>
      <w:bookmarkStart w:id="8" w:name="_Toc15377194"/>
      <w:bookmarkStart w:id="9" w:name="_Toc15378442"/>
      <w:bookmarkStart w:id="10" w:name="_Toc15396598"/>
      <w:bookmarkStart w:id="11" w:name="_Toc15377426"/>
      <w:r>
        <w:rPr>
          <w:rFonts w:ascii="仿宋" w:eastAsia="仿宋" w:cs="仿宋" w:hAnsi="仿宋" w:hint="eastAsia"/>
          <w:b/>
          <w:bCs/>
          <w:color w:val="000000"/>
          <w:sz w:val="72"/>
          <w:szCs w:val="72"/>
        </w:rPr>
        <w:t>广元市利州区</w:t>
      </w:r>
      <w:bookmarkStart w:id="12" w:name="_Toc15306268"/>
      <w:bookmarkEnd w:id="0"/>
      <w:r>
        <w:rPr>
          <w:rFonts w:ascii="仿宋" w:eastAsia="仿宋" w:cs="仿宋" w:hAnsi="仿宋" w:hint="eastAsia"/>
          <w:b/>
          <w:bCs/>
          <w:color w:val="000000"/>
          <w:sz w:val="72"/>
          <w:szCs w:val="72"/>
        </w:rPr>
        <w:t>团委</w:t>
      </w:r>
    </w:p>
    <w:p>
      <w:pPr>
        <w:adjustRightInd w:val="0"/>
        <w:snapToGrid w:val="0"/>
        <w:spacing w:line="360" w:lineRule="auto"/>
        <w:jc w:val="center"/>
        <w:outlineLvl w:val="0"/>
        <w:rPr>
          <w:rFonts w:ascii="仿宋" w:eastAsia="仿宋" w:cs="仿宋" w:hAnsi="仿宋" w:hint="eastAsia"/>
          <w:b/>
          <w:bCs/>
          <w:color w:val="000000"/>
          <w:sz w:val="72"/>
          <w:szCs w:val="72"/>
        </w:rPr>
      </w:pPr>
      <w:r>
        <w:rPr>
          <w:rFonts w:ascii="仿宋" w:eastAsia="仿宋" w:cs="仿宋" w:hAnsi="仿宋" w:hint="eastAsia"/>
          <w:b/>
          <w:bCs/>
          <w:color w:val="000000"/>
          <w:sz w:val="72"/>
          <w:szCs w:val="72"/>
        </w:rPr>
        <w:t>部门决算</w:t>
      </w:r>
      <w:bookmarkEnd w:id="7"/>
      <w:bookmarkEnd w:id="8"/>
      <w:bookmarkEnd w:id="9"/>
      <w:bookmarkEnd w:id="10"/>
      <w:bookmarkEnd w:id="11"/>
      <w:bookmarkEnd w:id="12"/>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    录</w:t>
      </w:r>
    </w:p>
    <w:p>
      <w:pPr>
        <w:widowControl/>
        <w:jc w:val="center"/>
        <w:rPr>
          <w:rFonts w:ascii="黑体" w:eastAsia="黑体" w:cs="Arial" w:hAnsi="黑体"/>
          <w:sz w:val="28"/>
          <w:szCs w:val="28"/>
        </w:rPr>
      </w:pPr>
    </w:p>
    <w:p>
      <w:pPr>
        <w:pStyle w:val="20"/>
        <w:tabs>
          <w:tab w:val="right" w:leader="dot" w:pos="8296"/>
        </w:tabs>
      </w:pPr>
      <w:r>
        <w:rPr>
          <w:rFonts w:hint="eastAsia"/>
        </w:rPr>
        <w:t>公开时间：2020年9月3日</w:t>
      </w:r>
    </w:p>
    <w:p/>
    <w:p>
      <w:pPr>
        <w:pStyle w:val="20"/>
        <w:tabs>
          <w:tab w:val="right" w:leader="dot" w:pos="8296"/>
        </w:tabs>
        <w:adjustRightInd w:val="0"/>
        <w:snapToGrid w:val="0"/>
        <w:spacing w:before="0" w:line="440" w:lineRule="exact"/>
        <w:jc w:val="left"/>
        <w:rPr>
          <w:rFonts w:ascii="仿宋" w:eastAsia="仿宋" w:cs="仿宋" w:hAnsi="仿宋" w:hint="eastAsia"/>
          <w:sz w:val="24"/>
          <w:szCs w:val="24"/>
          <w:lang w:val="en-US" w:eastAsia="zh-CN"/>
        </w:rPr>
      </w:pPr>
      <w:bookmarkStart w:id="13" w:name="_Toc15396599"/>
      <w:bookmarkStart w:id="14" w:name="_Toc15377196"/>
      <w:r>
        <w:rPr>
          <w:rFonts w:ascii="仿宋" w:eastAsia="仿宋" w:cs="仿宋" w:hAnsi="仿宋" w:hint="eastAsia"/>
          <w:sz w:val="24"/>
        </w:rPr>
        <w:t>第一部分 部门概况</w:t>
      </w:r>
      <w:r>
        <w:rPr>
          <w:rFonts w:ascii="仿宋" w:eastAsia="仿宋" w:cs="仿宋" w:hAnsi="仿宋" w:hint="eastAsia"/>
          <w:sz w:val="24"/>
          <w:lang w:val="en-US" w:eastAsia="zh-CN"/>
        </w:rPr>
        <w:t>.................................................4</w:t>
      </w:r>
    </w:p>
    <w:p>
      <w:pPr>
        <w:spacing w:line="580" w:lineRule="exact"/>
        <w:ind w:firstLineChars="200" w:firstLine="480"/>
        <w:rPr>
          <w:rFonts w:ascii="仿宋" w:eastAsia="仿宋" w:cs="仿宋" w:hAnsi="仿宋"/>
          <w:sz w:val="24"/>
          <w:lang w:val="en-US" w:eastAsia="zh-CN"/>
        </w:rPr>
      </w:pPr>
      <w:r>
        <w:rPr>
          <w:rFonts w:ascii="仿宋" w:eastAsia="仿宋" w:cs="仿宋" w:hAnsi="仿宋" w:hint="eastAsia"/>
          <w:sz w:val="24"/>
        </w:rPr>
        <w:t>一、基本职能及主要工作</w:t>
      </w:r>
      <w:r>
        <w:rPr>
          <w:rFonts w:ascii="仿宋" w:eastAsia="仿宋" w:cs="仿宋" w:hAnsi="仿宋" w:hint="eastAsia"/>
          <w:sz w:val="24"/>
          <w:lang w:val="en-US" w:eastAsia="zh-CN"/>
        </w:rPr>
        <w:t>........................................4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二、机构设置</w:t>
      </w:r>
      <w:r>
        <w:rPr>
          <w:rFonts w:ascii="仿宋" w:eastAsia="仿宋" w:cs="仿宋" w:hAnsi="仿宋" w:hint="eastAsia"/>
          <w:sz w:val="24"/>
          <w:lang w:val="en-US" w:eastAsia="zh-CN"/>
        </w:rPr>
        <w:t>..................................................11</w:t>
      </w:r>
    </w:p>
    <w:p>
      <w:pPr>
        <w:pStyle w:val="20"/>
        <w:tabs>
          <w:tab w:val="right" w:leader="dot" w:pos="8296"/>
        </w:tabs>
        <w:adjustRightInd w:val="0"/>
        <w:snapToGrid w:val="0"/>
        <w:spacing w:before="0" w:line="440" w:lineRule="exact"/>
        <w:jc w:val="left"/>
        <w:rPr>
          <w:rFonts w:ascii="仿宋" w:eastAsia="仿宋" w:cs="仿宋" w:hAnsi="仿宋"/>
          <w:sz w:val="24"/>
          <w:szCs w:val="24"/>
          <w:lang w:val="en-US" w:eastAsia="zh-CN"/>
        </w:rPr>
      </w:pPr>
      <w:r>
        <w:rPr>
          <w:rFonts w:ascii="仿宋" w:eastAsia="仿宋" w:cs="仿宋" w:hAnsi="仿宋" w:hint="eastAsia"/>
          <w:sz w:val="24"/>
        </w:rPr>
        <w:t>第二部分度部门决算情况说明</w:t>
      </w:r>
      <w:r>
        <w:rPr>
          <w:rFonts w:cs="仿宋" w:hint="eastAsia"/>
          <w:sz w:val="24"/>
          <w:lang w:val="en-US" w:eastAsia="zh-CN"/>
        </w:rPr>
        <w:t xml:space="preserve">.......................................12                              </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一、收入支出决算总体情况说明</w:t>
      </w:r>
      <w:r>
        <w:rPr>
          <w:rFonts w:ascii="仿宋" w:eastAsia="仿宋" w:cs="仿宋" w:hAnsi="仿宋" w:hint="eastAsia"/>
          <w:sz w:val="24"/>
          <w:lang w:val="en-US" w:eastAsia="zh-CN"/>
        </w:rPr>
        <w:t>..................................12</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二、收入决算情况说明</w:t>
      </w:r>
      <w:r>
        <w:rPr>
          <w:rFonts w:ascii="仿宋" w:eastAsia="仿宋" w:cs="仿宋" w:hAnsi="仿宋" w:hint="eastAsia"/>
          <w:sz w:val="24"/>
          <w:lang w:val="en-US" w:eastAsia="zh-CN"/>
        </w:rPr>
        <w:t>..........................................12</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三、支出决算情况说明</w:t>
      </w:r>
      <w:r>
        <w:rPr>
          <w:rFonts w:ascii="仿宋" w:eastAsia="仿宋" w:cs="仿宋" w:hAnsi="仿宋" w:hint="eastAsia"/>
          <w:sz w:val="24"/>
          <w:lang w:val="en-US" w:eastAsia="zh-CN"/>
        </w:rPr>
        <w:t>..........................................13</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四、财政拨款收入支出决算总体情况说明</w:t>
      </w:r>
      <w:r>
        <w:rPr>
          <w:rFonts w:ascii="仿宋" w:eastAsia="仿宋" w:cs="仿宋" w:hAnsi="仿宋" w:hint="eastAsia"/>
          <w:sz w:val="24"/>
          <w:lang w:val="en-US" w:eastAsia="zh-CN"/>
        </w:rPr>
        <w:t>..........................14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五、一般公共预算财政拨款支出决算情况说明</w:t>
      </w:r>
      <w:r>
        <w:rPr>
          <w:rFonts w:ascii="仿宋" w:eastAsia="仿宋" w:cs="仿宋" w:hAnsi="仿宋" w:hint="eastAsia"/>
          <w:sz w:val="24"/>
          <w:lang w:val="en-US" w:eastAsia="zh-CN"/>
        </w:rPr>
        <w:t>......................14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六、一般公共预算财政拨款基本支出决算情况说明</w:t>
      </w:r>
      <w:r>
        <w:rPr>
          <w:rFonts w:ascii="仿宋" w:eastAsia="仿宋" w:cs="仿宋" w:hAnsi="仿宋" w:hint="eastAsia"/>
          <w:sz w:val="24"/>
          <w:lang w:val="en-US" w:eastAsia="zh-CN"/>
        </w:rPr>
        <w:t>..................17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七、“三公”经费财政拨款支出决算情况说明</w:t>
      </w:r>
      <w:r>
        <w:rPr>
          <w:rFonts w:ascii="仿宋" w:eastAsia="仿宋" w:cs="仿宋" w:hAnsi="仿宋" w:hint="eastAsia"/>
          <w:sz w:val="24"/>
          <w:lang w:val="en-US" w:eastAsia="zh-CN"/>
        </w:rPr>
        <w:t>.......................18</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八、政府性基金预算支出决算情况说明</w:t>
      </w:r>
      <w:r>
        <w:rPr>
          <w:rFonts w:ascii="仿宋" w:eastAsia="仿宋" w:cs="仿宋" w:hAnsi="仿宋" w:hint="eastAsia"/>
          <w:sz w:val="24"/>
          <w:lang w:val="en-US" w:eastAsia="zh-CN"/>
        </w:rPr>
        <w:t>............................19</w:t>
      </w:r>
    </w:p>
    <w:p>
      <w:pPr>
        <w:pStyle w:val="21"/>
        <w:tabs>
          <w:tab w:val="right" w:leader="dot" w:pos="8296"/>
        </w:tabs>
        <w:adjustRightInd w:val="0"/>
        <w:snapToGrid w:val="0"/>
        <w:spacing w:line="440" w:lineRule="exact"/>
        <w:ind w:leftChars="0" w:left="420"/>
        <w:jc w:val="left"/>
        <w:rPr>
          <w:rFonts w:ascii="仿宋" w:eastAsia="仿宋" w:cs="仿宋" w:hAnsi="仿宋"/>
          <w:sz w:val="24"/>
          <w:lang w:val="en-US" w:eastAsia="zh-CN"/>
        </w:rPr>
      </w:pPr>
      <w:r>
        <w:rPr>
          <w:rFonts w:ascii="仿宋" w:eastAsia="仿宋" w:cs="仿宋" w:hAnsi="仿宋" w:hint="eastAsia"/>
          <w:sz w:val="24"/>
        </w:rPr>
        <w:t>九、 国有资本经营预算支出决算情况说明</w:t>
      </w:r>
      <w:r>
        <w:rPr>
          <w:rFonts w:ascii="仿宋" w:eastAsia="仿宋" w:cs="仿宋" w:hAnsi="仿宋" w:hint="eastAsia"/>
          <w:sz w:val="24"/>
          <w:lang w:val="en-US" w:eastAsia="zh-CN"/>
        </w:rPr>
        <w:t>.........................19</w:t>
      </w:r>
    </w:p>
    <w:p>
      <w:pPr>
        <w:adjustRightInd w:val="0"/>
        <w:snapToGrid w:val="0"/>
        <w:spacing w:line="440" w:lineRule="exact"/>
        <w:ind w:firstLineChars="200" w:firstLine="480"/>
        <w:jc w:val="left"/>
        <w:rPr>
          <w:rFonts w:ascii="仿宋" w:eastAsia="仿宋" w:cs="仿宋" w:hAnsi="仿宋"/>
          <w:sz w:val="24"/>
          <w:lang w:val="en-US" w:eastAsia="zh-CN"/>
        </w:rPr>
      </w:pPr>
      <w:r>
        <w:rPr>
          <w:rStyle w:val="24"/>
          <w:rFonts w:ascii="仿宋" w:eastAsia="仿宋" w:cs="仿宋" w:hAnsi="仿宋" w:hint="eastAsia"/>
          <w:color w:val="000000"/>
          <w:sz w:val="24"/>
          <w:u w:val="none"/>
        </w:rPr>
        <w:t>十、</w:t>
      </w:r>
      <w:r>
        <w:rPr>
          <w:rFonts w:ascii="仿宋" w:eastAsia="仿宋" w:cs="仿宋" w:hAnsi="仿宋" w:hint="eastAsia"/>
          <w:sz w:val="24"/>
        </w:rPr>
        <w:t>其他重要事项的情况说明</w:t>
        <w:tab/>
      </w:r>
      <w:r>
        <w:rPr>
          <w:rFonts w:ascii="仿宋" w:eastAsia="仿宋" w:cs="仿宋" w:hAnsi="仿宋" w:hint="eastAsia"/>
          <w:sz w:val="24"/>
          <w:lang w:val="en-US" w:eastAsia="zh-CN"/>
        </w:rPr>
        <w:t>..................................19</w:t>
      </w:r>
    </w:p>
    <w:p>
      <w:pPr>
        <w:pStyle w:val="20"/>
        <w:tabs>
          <w:tab w:val="right" w:leader="dot" w:pos="8296"/>
        </w:tabs>
        <w:adjustRightInd w:val="0"/>
        <w:snapToGrid w:val="0"/>
        <w:spacing w:before="0" w:line="440" w:lineRule="exact"/>
        <w:jc w:val="left"/>
        <w:rPr>
          <w:rFonts w:ascii="仿宋" w:eastAsia="仿宋" w:cs="仿宋" w:hAnsi="仿宋"/>
          <w:sz w:val="24"/>
          <w:szCs w:val="24"/>
          <w:lang w:val="en-US" w:eastAsia="zh-CN"/>
        </w:rPr>
      </w:pPr>
      <w:r>
        <w:rPr>
          <w:rFonts w:ascii="仿宋" w:eastAsia="仿宋" w:cs="仿宋" w:hAnsi="仿宋" w:hint="eastAsia"/>
          <w:sz w:val="24"/>
        </w:rPr>
        <w:t>第三部分 名词解释</w:t>
      </w:r>
      <w:r>
        <w:rPr>
          <w:rFonts w:cs="仿宋" w:hint="eastAsia"/>
          <w:sz w:val="24"/>
          <w:lang w:val="en-US" w:eastAsia="zh-CN"/>
        </w:rPr>
        <w:t>.................................................24</w:t>
      </w:r>
    </w:p>
    <w:p>
      <w:pPr>
        <w:pStyle w:val="20"/>
        <w:tabs>
          <w:tab w:val="right" w:leader="dot" w:pos="8296"/>
        </w:tabs>
        <w:adjustRightInd w:val="0"/>
        <w:snapToGrid w:val="0"/>
        <w:spacing w:before="0" w:line="440" w:lineRule="exact"/>
        <w:jc w:val="left"/>
        <w:rPr>
          <w:rFonts w:ascii="仿宋" w:eastAsia="仿宋" w:cs="仿宋" w:hAnsi="仿宋"/>
          <w:sz w:val="24"/>
          <w:szCs w:val="24"/>
          <w:lang w:val="en-US" w:eastAsia="zh-CN"/>
        </w:rPr>
      </w:pPr>
      <w:r>
        <w:rPr>
          <w:rFonts w:ascii="仿宋" w:eastAsia="仿宋" w:cs="仿宋" w:hAnsi="仿宋" w:hint="eastAsia"/>
          <w:sz w:val="24"/>
        </w:rPr>
        <w:t>第四部分 附件</w:t>
      </w:r>
      <w:r>
        <w:rPr>
          <w:rFonts w:cs="仿宋" w:hint="eastAsia"/>
          <w:sz w:val="24"/>
          <w:lang w:val="en-US" w:eastAsia="zh-CN"/>
        </w:rPr>
        <w:t>.....................................................27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附件1</w:t>
      </w:r>
      <w:r>
        <w:rPr>
          <w:rFonts w:ascii="仿宋" w:eastAsia="仿宋" w:cs="仿宋" w:hAnsi="仿宋" w:hint="eastAsia"/>
          <w:sz w:val="24"/>
          <w:lang w:val="en-US" w:eastAsia="zh-CN"/>
        </w:rPr>
        <w:t>.........................................................27</w:t>
      </w:r>
    </w:p>
    <w:p>
      <w:pPr>
        <w:pStyle w:val="21"/>
        <w:tabs>
          <w:tab w:val="right" w:leader="dot" w:pos="8296"/>
        </w:tabs>
        <w:adjustRightInd w:val="0"/>
        <w:snapToGrid w:val="0"/>
        <w:spacing w:line="440" w:lineRule="exact"/>
        <w:jc w:val="left"/>
        <w:rPr>
          <w:rFonts w:ascii="仿宋" w:eastAsia="仿宋" w:cs="仿宋" w:hAnsi="仿宋" w:hint="eastAsia"/>
          <w:sz w:val="24"/>
          <w:lang w:val="en-US" w:eastAsia="zh-CN"/>
        </w:rPr>
      </w:pPr>
      <w:r>
        <w:rPr>
          <w:rFonts w:ascii="仿宋" w:eastAsia="仿宋" w:cs="仿宋" w:hAnsi="仿宋" w:hint="eastAsia"/>
          <w:sz w:val="24"/>
        </w:rPr>
        <w:t>附件2</w:t>
      </w:r>
      <w:r>
        <w:rPr>
          <w:rFonts w:ascii="仿宋" w:eastAsia="仿宋" w:cs="仿宋" w:hAnsi="仿宋" w:hint="eastAsia"/>
          <w:sz w:val="24"/>
          <w:lang w:val="en-US" w:eastAsia="zh-CN"/>
        </w:rPr>
        <w:t>.........................................................30</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附件</w:t>
      </w:r>
      <w:r>
        <w:rPr>
          <w:rFonts w:ascii="仿宋" w:eastAsia="仿宋" w:cs="仿宋" w:hAnsi="仿宋" w:hint="eastAsia"/>
          <w:sz w:val="24"/>
          <w:lang w:val="en-US" w:eastAsia="zh-CN"/>
        </w:rPr>
        <w:t>3.........................................................34</w:t>
      </w:r>
    </w:p>
    <w:p>
      <w:pPr>
        <w:pStyle w:val="20"/>
        <w:tabs>
          <w:tab w:val="right" w:leader="dot" w:pos="8296"/>
        </w:tabs>
        <w:adjustRightInd w:val="0"/>
        <w:snapToGrid w:val="0"/>
        <w:spacing w:before="0" w:line="440" w:lineRule="exact"/>
        <w:jc w:val="left"/>
        <w:rPr>
          <w:rFonts w:ascii="仿宋" w:eastAsia="仿宋" w:cs="仿宋" w:hAnsi="仿宋"/>
          <w:sz w:val="24"/>
          <w:szCs w:val="24"/>
          <w:lang w:val="en-US" w:eastAsia="zh-CN"/>
        </w:rPr>
      </w:pPr>
      <w:r>
        <w:rPr>
          <w:rFonts w:ascii="仿宋" w:eastAsia="仿宋" w:cs="仿宋" w:hAnsi="仿宋" w:hint="eastAsia"/>
          <w:sz w:val="24"/>
        </w:rPr>
        <w:t>第五部分 附表</w:t>
      </w:r>
      <w:r>
        <w:rPr>
          <w:rFonts w:cs="仿宋" w:hint="eastAsia"/>
          <w:sz w:val="24"/>
          <w:lang w:val="en-US" w:eastAsia="zh-CN"/>
        </w:rPr>
        <w:t>.....................................................36</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一、收入支出决算总表</w:t>
      </w:r>
      <w:r>
        <w:rPr>
          <w:rFonts w:ascii="仿宋" w:eastAsia="仿宋" w:cs="仿宋" w:hAnsi="仿宋" w:hint="eastAsia"/>
          <w:sz w:val="24"/>
          <w:lang w:val="en-US" w:eastAsia="zh-CN"/>
        </w:rPr>
        <w:t>...........................................36</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二、收入决算表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三、支出决算表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四、财政拨款收入支出决算总表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五、财政拨款支出决算明细表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六、一般公共预算财政拨款支出决算表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七、一般公共预算财政拨款支出决算明细表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八、一般公共预算财政拨款基本支出决算表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九、一般公共预算财政拨款项目支出决算表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十、一般公共预算财政拨款“三公”经费支出决算表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十一、政府性基金预算财政拨款收入支出决算表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十二、政府性基金预算财政拨款“三公”经费支出决算表</w:t>
      </w:r>
      <w:r>
        <w:rPr>
          <w:rFonts w:ascii="仿宋" w:eastAsia="仿宋" w:cs="仿宋" w:hAnsi="仿宋" w:hint="eastAsia"/>
          <w:sz w:val="24"/>
          <w:lang w:val="en-US" w:eastAsia="zh-CN"/>
        </w:rPr>
        <w:t>............37</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十三、国有资本经营预算支出决算表</w:t>
      </w:r>
      <w:r>
        <w:rPr>
          <w:rFonts w:ascii="仿宋" w:eastAsia="仿宋" w:cs="仿宋" w:hAnsi="仿宋" w:hint="eastAsia"/>
          <w:sz w:val="24"/>
          <w:lang w:val="en-US" w:eastAsia="zh-CN"/>
        </w:rPr>
        <w:t>..............................37</w:t>
      </w:r>
    </w:p>
    <w:p>
      <w:pPr>
        <w:widowControl/>
        <w:spacing w:line="440" w:lineRule="exact"/>
        <w:jc w:val="left"/>
        <w:rPr>
          <w:rFonts w:ascii="仿宋" w:eastAsia="仿宋" w:cs="仿宋" w:hAnsi="仿宋" w:hint="eastAsia"/>
          <w:bCs/>
          <w:kern w:val="44"/>
          <w:sz w:val="24"/>
        </w:rPr>
      </w:pPr>
      <w:r>
        <w:rPr>
          <w:rFonts w:ascii="仿宋" w:eastAsia="仿宋" w:cs="仿宋" w:hAnsi="仿宋" w:hint="eastAsia"/>
          <w:b/>
          <w:sz w:val="24"/>
        </w:rPr>
        <w:br w:type="page"/>
      </w:r>
    </w:p>
    <w:p>
      <w:pPr>
        <w:widowControl/>
        <w:spacing w:line="440" w:lineRule="exact"/>
        <w:ind w:firstLineChars="400" w:firstLine="1760"/>
        <w:jc w:val="left"/>
        <w:rPr>
          <w:rStyle w:val="1Char"/>
          <w:rFonts w:ascii="黑体" w:eastAsia="黑体" w:cs="黑体" w:hAnsi="黑体" w:hint="eastAsia"/>
          <w:b/>
          <w:bCs w:val="0"/>
          <w:sz w:val="44"/>
          <w:szCs w:val="44"/>
        </w:rPr>
      </w:pPr>
      <w:r>
        <w:rPr>
          <w:rFonts w:ascii="黑体" w:eastAsia="黑体" w:cs="黑体" w:hAnsi="黑体" w:hint="eastAsia"/>
          <w:b w:val="0"/>
          <w:sz w:val="44"/>
          <w:szCs w:val="44"/>
        </w:rPr>
        <w:t xml:space="preserve">第一部分 </w:t>
      </w:r>
      <w:r>
        <w:rPr>
          <w:rStyle w:val="1Char"/>
          <w:rFonts w:ascii="黑体" w:eastAsia="黑体" w:cs="黑体" w:hAnsi="黑体" w:hint="eastAsia"/>
          <w:b w:val="0"/>
          <w:bCs w:val="0"/>
          <w:sz w:val="44"/>
          <w:szCs w:val="44"/>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spacing w:line="580" w:lineRule="exact"/>
        <w:ind w:firstLineChars="396" w:firstLine="1267"/>
        <w:rPr>
          <w:rFonts w:ascii="仿宋" w:eastAsia="仿宋" w:cs="仿宋" w:hAnsi="仿宋"/>
          <w:sz w:val="30"/>
          <w:szCs w:val="30"/>
        </w:rPr>
      </w:pPr>
      <w:bookmarkStart w:id="17" w:name="_Toc15378445"/>
      <w:bookmarkStart w:id="18" w:name="_Toc15377198"/>
      <w:r>
        <w:rPr>
          <w:rFonts w:ascii="仿宋" w:eastAsia="仿宋" w:hAnsi="仿宋" w:hint="eastAsia"/>
          <w:bCs/>
          <w:color w:val="000000"/>
          <w:sz w:val="32"/>
          <w:szCs w:val="32"/>
        </w:rPr>
        <w:t>（一）主要职能。</w:t>
      </w:r>
      <w:bookmarkStart w:id="19" w:name="_Toc15378446"/>
      <w:bookmarkStart w:id="20" w:name="_Toc15377199"/>
      <w:bookmarkEnd w:id="17"/>
      <w:bookmarkEnd w:id="18"/>
      <w:r>
        <w:rPr>
          <w:rFonts w:ascii="仿宋" w:eastAsia="仿宋" w:cs="仿宋" w:hAnsi="仿宋" w:hint="eastAsia"/>
          <w:sz w:val="30"/>
          <w:szCs w:val="30"/>
        </w:rPr>
        <w:t>共青团广元市利州区委员会总编制4名，其中参照公务员法管理的编制4名。在职人员总数3人，其中机关行政编制3名（乡镇正科级干部1人，乡镇副科级干部1人，科员1人）</w:t>
      </w:r>
    </w:p>
    <w:p>
      <w:pPr>
        <w:ind w:firstLineChars="400" w:firstLine="1200"/>
        <w:rPr>
          <w:rFonts w:ascii="仿宋" w:eastAsia="仿宋" w:cs="仿宋" w:hAnsi="仿宋"/>
          <w:sz w:val="30"/>
          <w:szCs w:val="30"/>
        </w:rPr>
      </w:pPr>
      <w:r>
        <w:rPr>
          <w:rFonts w:ascii="仿宋" w:eastAsia="仿宋" w:cs="仿宋" w:hAnsi="仿宋" w:hint="eastAsia"/>
          <w:sz w:val="30"/>
          <w:szCs w:val="30"/>
        </w:rPr>
        <w:t>中国共产主义青年团是中国共产党领导的先进青年的群团组织,是广大青年在实践中学习共产主义的学校，是党的助手和后备军,是党联系青年的桥梁和纽带，是国家政权的重要社会支柱之一。中国共产主义青年团广元市利州区委员会是广元市利州区各级团组织的领导机关。</w:t>
      </w:r>
    </w:p>
    <w:p>
      <w:pPr>
        <w:rPr>
          <w:rFonts w:ascii="仿宋" w:eastAsia="仿宋" w:cs="仿宋" w:hAnsi="仿宋"/>
          <w:sz w:val="30"/>
          <w:szCs w:val="30"/>
        </w:rPr>
      </w:pPr>
      <w:r>
        <w:rPr>
          <w:rFonts w:ascii="仿宋" w:eastAsia="仿宋" w:cs="仿宋" w:hAnsi="仿宋" w:hint="eastAsia"/>
          <w:sz w:val="30"/>
          <w:szCs w:val="30"/>
        </w:rPr>
        <w:t xml:space="preserve">      一是领导全区共青团工作，组织全区共青团组织围绕首都改革、发展、稳定的大局开展工作，在利州区政治、经济、文化等活动中发挥党的助手作用。</w:t>
      </w:r>
    </w:p>
    <w:p>
      <w:pPr>
        <w:rPr>
          <w:rFonts w:ascii="仿宋" w:eastAsia="仿宋" w:cs="仿宋" w:hAnsi="仿宋"/>
          <w:sz w:val="30"/>
          <w:szCs w:val="30"/>
        </w:rPr>
      </w:pPr>
      <w:r>
        <w:rPr>
          <w:rFonts w:ascii="仿宋" w:eastAsia="仿宋" w:cs="仿宋" w:hAnsi="仿宋" w:hint="eastAsia"/>
          <w:sz w:val="30"/>
          <w:szCs w:val="30"/>
        </w:rPr>
        <w:t xml:space="preserve">    二是围绕区委、区政府中心工作，推进全区青少年精神文明建设；负责指导并组织实施全区青少年的思想理论教育、宣传文化活动，培养、选拔、推荐、表彰优秀青少年；指导全区志愿者工作的开展。</w:t>
      </w:r>
    </w:p>
    <w:p>
      <w:pPr>
        <w:rPr>
          <w:rFonts w:ascii="仿宋" w:eastAsia="仿宋" w:cs="仿宋" w:hAnsi="仿宋"/>
          <w:sz w:val="30"/>
          <w:szCs w:val="30"/>
        </w:rPr>
      </w:pPr>
      <w:r>
        <w:rPr>
          <w:rFonts w:ascii="仿宋" w:eastAsia="仿宋" w:cs="仿宋" w:hAnsi="仿宋" w:hint="eastAsia"/>
          <w:sz w:val="30"/>
          <w:szCs w:val="30"/>
        </w:rPr>
        <w:t xml:space="preserve">    三是负责全区共青团工作和青年工作的理论研究；向区委、区政府反映青少年思想状况，参与协调处理各种与青少年利益相关的工作；对青少年工作中的重大问题提出立法建议，参与有关全区性青少年法规的起草、实施、监督等工作。</w:t>
      </w:r>
    </w:p>
    <w:p>
      <w:pPr>
        <w:rPr>
          <w:rFonts w:ascii="仿宋" w:eastAsia="仿宋" w:cs="仿宋" w:hAnsi="仿宋"/>
          <w:sz w:val="30"/>
          <w:szCs w:val="30"/>
        </w:rPr>
      </w:pPr>
      <w:r>
        <w:rPr>
          <w:rFonts w:ascii="仿宋" w:eastAsia="仿宋" w:cs="仿宋" w:hAnsi="仿宋" w:hint="eastAsia"/>
          <w:sz w:val="30"/>
          <w:szCs w:val="30"/>
        </w:rPr>
        <w:t xml:space="preserve">    四是负责研究指导全区团的组织建设和干部队伍建设，推进全区团的基层组织建设；指导全区各级团校工作；指导全区共青团组织协助有关部门开展青年人力资源开发工作。</w:t>
      </w:r>
    </w:p>
    <w:p>
      <w:pPr>
        <w:rPr>
          <w:rFonts w:ascii="仿宋" w:eastAsia="仿宋" w:cs="仿宋" w:hAnsi="仿宋"/>
          <w:sz w:val="30"/>
          <w:szCs w:val="30"/>
        </w:rPr>
      </w:pPr>
      <w:r>
        <w:rPr>
          <w:rFonts w:ascii="仿宋" w:eastAsia="仿宋" w:cs="仿宋" w:hAnsi="仿宋" w:hint="eastAsia"/>
          <w:sz w:val="30"/>
          <w:szCs w:val="30"/>
        </w:rPr>
        <w:t xml:space="preserve">    五是负责全区青年统战工作。</w:t>
      </w:r>
    </w:p>
    <w:p>
      <w:pPr>
        <w:rPr>
          <w:rFonts w:ascii="仿宋" w:eastAsia="仿宋" w:cs="仿宋" w:hAnsi="仿宋"/>
          <w:sz w:val="30"/>
          <w:szCs w:val="30"/>
        </w:rPr>
      </w:pPr>
      <w:r>
        <w:rPr>
          <w:rFonts w:ascii="仿宋" w:eastAsia="仿宋" w:cs="仿宋" w:hAnsi="仿宋" w:hint="eastAsia"/>
          <w:sz w:val="30"/>
          <w:szCs w:val="30"/>
        </w:rPr>
        <w:t xml:space="preserve">    六是负责全区共青团系统外事工作和青少年对外交流工作。</w:t>
      </w:r>
    </w:p>
    <w:p>
      <w:pPr>
        <w:rPr>
          <w:rFonts w:ascii="仿宋" w:eastAsia="仿宋" w:cs="仿宋" w:hAnsi="仿宋"/>
          <w:sz w:val="30"/>
          <w:szCs w:val="30"/>
        </w:rPr>
      </w:pPr>
      <w:r>
        <w:rPr>
          <w:rFonts w:ascii="仿宋" w:eastAsia="仿宋" w:cs="仿宋" w:hAnsi="仿宋" w:hint="eastAsia"/>
          <w:sz w:val="30"/>
          <w:szCs w:val="30"/>
        </w:rPr>
        <w:t xml:space="preserve">    七是指导和帮助区青联、区少先队工作委员会开展工作；协助有关部门对所主管的社会团体进行监督管理。</w:t>
      </w:r>
    </w:p>
    <w:p>
      <w:pPr>
        <w:rPr>
          <w:rFonts w:ascii="仿宋" w:eastAsia="仿宋" w:cs="仿宋" w:hAnsi="仿宋"/>
          <w:sz w:val="30"/>
          <w:szCs w:val="30"/>
        </w:rPr>
      </w:pPr>
      <w:r>
        <w:rPr>
          <w:rFonts w:ascii="仿宋" w:eastAsia="仿宋" w:cs="仿宋" w:hAnsi="仿宋" w:hint="eastAsia"/>
          <w:sz w:val="30"/>
          <w:szCs w:val="30"/>
        </w:rPr>
        <w:t xml:space="preserve">    八是负责团区委直属企事业单位的管理工作；筹措青少年事业发展经费。</w:t>
      </w:r>
    </w:p>
    <w:p>
      <w:pPr>
        <w:pStyle w:val="22"/>
        <w:spacing w:before="0" w:beforeAutospacing="0" w:after="0" w:afterAutospacing="0" w:line="576" w:lineRule="exact"/>
        <w:ind w:firstLineChars="200" w:firstLine="600"/>
        <w:rPr>
          <w:rFonts w:ascii="仿宋" w:eastAsia="仿宋" w:cs="仿宋" w:hAnsi="仿宋"/>
          <w:sz w:val="30"/>
          <w:szCs w:val="30"/>
        </w:rPr>
      </w:pPr>
      <w:r>
        <w:rPr>
          <w:rFonts w:ascii="仿宋" w:eastAsia="仿宋" w:cs="仿宋" w:hAnsi="仿宋" w:hint="eastAsia"/>
          <w:sz w:val="30"/>
          <w:szCs w:val="30"/>
        </w:rPr>
        <w:t>九是承办区委、区政府和共青团广元市委交办的其他事项。</w:t>
      </w:r>
    </w:p>
    <w:p>
      <w:pPr>
        <w:spacing w:line="576" w:lineRule="exact"/>
        <w:ind w:left="0" w:firstLineChars="200" w:firstLine="640"/>
        <w:rPr>
          <w:rFonts w:ascii="方正黑体简体" w:eastAsia="方正黑体简体" w:cs="方正黑体简体" w:hAnsi="黑体"/>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pPr>
        <w:spacing w:line="576" w:lineRule="exact"/>
        <w:ind w:firstLineChars="200" w:firstLine="560"/>
        <w:rPr>
          <w:rFonts w:ascii="仿宋" w:eastAsia="仿宋" w:cs="仿宋" w:hAnsi="仿宋"/>
          <w:sz w:val="28"/>
          <w:szCs w:val="28"/>
        </w:rPr>
      </w:pPr>
      <w:r>
        <w:rPr>
          <w:rFonts w:ascii="仿宋" w:eastAsia="仿宋" w:cs="仿宋" w:hAnsi="仿宋" w:hint="eastAsia"/>
          <w:sz w:val="28"/>
          <w:szCs w:val="28"/>
        </w:rPr>
        <w:t>聚焦思想政治引领，引导广大青年坚定不移听党话跟党走</w:t>
      </w:r>
    </w:p>
    <w:p>
      <w:pPr>
        <w:spacing w:line="576" w:lineRule="exact"/>
        <w:ind w:firstLine="640"/>
        <w:rPr>
          <w:rFonts w:ascii="仿宋" w:eastAsia="仿宋" w:cs="仿宋" w:hAnsi="仿宋"/>
          <w:color w:val="000000"/>
          <w:sz w:val="28"/>
          <w:szCs w:val="28"/>
          <w:shd w:val="clear" w:color="auto" w:fill="FFFFFF"/>
        </w:rPr>
      </w:pPr>
      <w:r>
        <w:rPr>
          <w:rFonts w:ascii="仿宋" w:eastAsia="仿宋" w:cs="仿宋" w:hAnsi="仿宋" w:hint="eastAsia"/>
          <w:color w:val="000000"/>
          <w:sz w:val="28"/>
          <w:szCs w:val="28"/>
          <w:shd w:val="clear" w:color="auto" w:fill="FFFFFF"/>
        </w:rPr>
        <w:t>（一）坚持把党的政治建设摆在首位。始终坚持政治引领，切实增强“四个意识”，坚定“四个自信”，做到“两个维护”。建设学习型机关，定期开展学习心得交流，全体机关干部职工在每周例会上轮流分享心得体会，提高理论知识学习的广度和深度，不断强化理论武装，加强思想政治引领。坚持问题导向，落实巡察整改工作。制定巡察整改工作方案，责任明确到人，严格时间节点，多次召开专题部署会议，完成五大项巡察整改工作，并对照巡察反馈的问题，结合单位实际补齐短板、立足长效，着重成果转化，把巡察整改作为“四个意识”的试金石和检验落实巡察整改工作成效的重要标尺。</w:t>
      </w:r>
    </w:p>
    <w:p>
      <w:pPr>
        <w:spacing w:line="576" w:lineRule="exact"/>
        <w:ind w:firstLine="640"/>
        <w:rPr>
          <w:rFonts w:ascii="仿宋" w:eastAsia="仿宋" w:cs="仿宋" w:hAnsi="仿宋"/>
          <w:color w:val="000000"/>
          <w:sz w:val="28"/>
          <w:szCs w:val="28"/>
        </w:rPr>
      </w:pPr>
      <w:r>
        <w:rPr>
          <w:rFonts w:ascii="仿宋" w:eastAsia="仿宋" w:cs="仿宋" w:hAnsi="仿宋" w:hint="eastAsia"/>
          <w:color w:val="000000"/>
          <w:sz w:val="28"/>
          <w:szCs w:val="28"/>
          <w:shd w:val="clear" w:color="auto" w:fill="FFFFFF"/>
        </w:rPr>
        <w:t>（二）着力加强思想政治引领。围绕纪念“五四运动”100周年重要契机，以“青春心向党•建功新时代”为主题召开学习贯彻习近平总书记在纪念五四运动100周年大会上的重要讲话精神座谈会。组织各级团组织集中学习习近平总书记在纪念“五四运动”100周年大会上重要讲话精神，召开专题学习座谈会，</w:t>
      </w:r>
      <w:r>
        <w:rPr>
          <w:rFonts w:ascii="仿宋" w:eastAsia="仿宋" w:cs="仿宋" w:hAnsi="仿宋" w:hint="eastAsia"/>
          <w:sz w:val="28"/>
          <w:szCs w:val="28"/>
        </w:rPr>
        <w:t>举办主题团（队）日活动、离队入团仪式、“两红两优”评选</w:t>
      </w:r>
      <w:r>
        <w:rPr>
          <w:rFonts w:ascii="仿宋" w:eastAsia="仿宋" w:cs="仿宋" w:hAnsi="仿宋" w:hint="eastAsia"/>
          <w:color w:val="000000"/>
          <w:sz w:val="28"/>
          <w:szCs w:val="28"/>
          <w:shd w:val="clear" w:color="auto" w:fill="FFFFFF"/>
        </w:rPr>
        <w:t>等活动，</w:t>
      </w:r>
      <w:r>
        <w:rPr>
          <w:rFonts w:ascii="仿宋" w:eastAsia="仿宋" w:cs="仿宋" w:hAnsi="仿宋" w:hint="eastAsia"/>
          <w:color w:val="000000"/>
          <w:sz w:val="28"/>
          <w:szCs w:val="28"/>
        </w:rPr>
        <w:t>广泛引导广大青少年坚定“四个自信”，</w:t>
      </w:r>
      <w:r>
        <w:rPr>
          <w:rFonts w:ascii="仿宋" w:eastAsia="仿宋" w:cs="仿宋" w:hAnsi="仿宋" w:hint="eastAsia"/>
          <w:color w:val="000000"/>
          <w:sz w:val="28"/>
          <w:szCs w:val="28"/>
          <w:shd w:val="clear" w:color="auto" w:fill="FFFFFF"/>
        </w:rPr>
        <w:t xml:space="preserve"> 做到“两个维护”，</w:t>
      </w:r>
      <w:r>
        <w:rPr>
          <w:rFonts w:ascii="仿宋" w:eastAsia="仿宋" w:cs="仿宋" w:hAnsi="仿宋" w:hint="eastAsia"/>
          <w:color w:val="000000"/>
          <w:sz w:val="28"/>
          <w:szCs w:val="28"/>
        </w:rPr>
        <w:t>不断凝聚“向上向善”共识。</w:t>
      </w:r>
    </w:p>
    <w:p>
      <w:pPr>
        <w:spacing w:line="576" w:lineRule="exact"/>
        <w:ind w:firstLine="640"/>
        <w:rPr>
          <w:rFonts w:ascii="仿宋" w:eastAsia="仿宋" w:cs="仿宋" w:hAnsi="仿宋"/>
          <w:sz w:val="28"/>
          <w:szCs w:val="28"/>
        </w:rPr>
      </w:pPr>
      <w:r>
        <w:rPr>
          <w:rFonts w:ascii="仿宋" w:eastAsia="仿宋" w:cs="仿宋" w:hAnsi="仿宋" w:hint="eastAsia"/>
          <w:sz w:val="28"/>
          <w:szCs w:val="28"/>
        </w:rPr>
        <w:t>（三）深入开展青年大学习行动。在全区各级团组织中实施“青年大学习”行动，通过“三会两制一课”、主题团（队）日活动、网上主题团课等形式，组织团员青年认认真真读原著、学原文、悟原理。累计组织全区团员青年2000余人次参加共青团中央“青年大学习”网上主题团课70期。</w:t>
      </w:r>
    </w:p>
    <w:p>
      <w:pPr>
        <w:overflowPunct w:val="0"/>
        <w:spacing w:line="576" w:lineRule="exact"/>
        <w:ind w:firstLineChars="200" w:firstLine="560"/>
        <w:rPr>
          <w:rFonts w:ascii="仿宋" w:eastAsia="仿宋" w:cs="仿宋" w:hAnsi="仿宋"/>
          <w:sz w:val="28"/>
          <w:szCs w:val="28"/>
        </w:rPr>
      </w:pPr>
      <w:r>
        <w:rPr>
          <w:rFonts w:ascii="仿宋" w:eastAsia="仿宋" w:cs="仿宋" w:hAnsi="仿宋" w:hint="eastAsia"/>
          <w:sz w:val="28"/>
          <w:szCs w:val="28"/>
        </w:rPr>
        <w:t>（四）持续强化网络新媒体建设。严格落实党的意识形态工作责任制和党的网络意识形态工作责任制，抓好意识形态领域风险防范工作，严格管理团属新媒体平台，着力做好新形势下青少年意识形态工作，牢牢把握意识形态领域主动权，更有针对性的做好舆论引导工作，推进以“智慧团建”“青年之声”与团的重点工作融合发展，加强与青年聚集的新兴网络阵地联系，强化舆论引导，旗帜鲜明、亮剑发声。截止目前，利州青年微信公众号累计发布图文300余篇，浏览量达93000余人次，利州青年官方微博累计发布图文3000余篇，浏览量达3400万余人次，实现了共青团与青年紧密连接，提高了共青团凝聚力和影响力。</w:t>
      </w:r>
    </w:p>
    <w:p>
      <w:pPr>
        <w:spacing w:line="576" w:lineRule="exact"/>
        <w:ind w:firstLineChars="200" w:firstLine="560"/>
        <w:rPr>
          <w:rFonts w:ascii="仿宋" w:eastAsia="仿宋" w:cs="仿宋" w:hAnsi="仿宋"/>
          <w:sz w:val="28"/>
          <w:szCs w:val="28"/>
        </w:rPr>
      </w:pPr>
      <w:r>
        <w:rPr>
          <w:rFonts w:ascii="仿宋" w:eastAsia="仿宋" w:cs="仿宋" w:hAnsi="仿宋" w:hint="eastAsia"/>
          <w:sz w:val="28"/>
          <w:szCs w:val="28"/>
        </w:rPr>
        <w:t>二、围绕中心服务大局，组织动员广大青年建功新时代展现新作为</w:t>
      </w:r>
    </w:p>
    <w:p>
      <w:pPr>
        <w:spacing w:line="576" w:lineRule="exact"/>
        <w:ind w:firstLineChars="200" w:firstLine="560"/>
        <w:rPr>
          <w:rFonts w:ascii="仿宋" w:eastAsia="仿宋" w:cs="仿宋" w:hAnsi="仿宋"/>
          <w:sz w:val="28"/>
          <w:szCs w:val="28"/>
        </w:rPr>
      </w:pPr>
      <w:r>
        <w:rPr>
          <w:rFonts w:ascii="仿宋" w:eastAsia="仿宋" w:cs="仿宋" w:hAnsi="仿宋" w:hint="eastAsia"/>
          <w:sz w:val="28"/>
          <w:szCs w:val="28"/>
        </w:rPr>
        <w:t xml:space="preserve"> （一）助力脱贫攻坚，实施青春建功乡村振兴行动。</w:t>
      </w:r>
      <w:r>
        <w:rPr>
          <w:rFonts w:ascii="仿宋" w:eastAsia="仿宋" w:cs="仿宋" w:hAnsi="仿宋" w:hint="eastAsia"/>
          <w:color w:val="000000"/>
          <w:sz w:val="28"/>
          <w:szCs w:val="28"/>
          <w:shd w:val="clear" w:color="auto" w:fill="FFFFFF"/>
        </w:rPr>
        <w:t>扎实抓好对大石镇石笋村及三堆镇井田村、三堆村结对贫困户的帮扶工作，</w:t>
      </w:r>
      <w:r>
        <w:rPr>
          <w:rFonts w:ascii="仿宋" w:eastAsia="仿宋" w:cs="仿宋" w:hAnsi="仿宋" w:hint="eastAsia"/>
          <w:sz w:val="28"/>
          <w:szCs w:val="28"/>
        </w:rPr>
        <w:t>与大石镇、四川艺术职业学院、市征拆办、区总工会联合举办大石镇石笋村第四届木竹春笋采摘活动。开展脱贫攻坚春季暖心行动，常态化开展“三同”活动等，在思想引领、技能培训、产业提升、环境整治等方面积极作为。积极对接市农村青年致富带头人联盟，搭建学习培训、交流合作的平台，引导更多青年投身农村电商、乡村旅游等新产业。大力开展社会扶贫，积极申报“免费车票”等项目，为14名建档立卡贫困户大学生争取免费车票合计5052元。全力</w:t>
      </w:r>
      <w:r>
        <w:rPr>
          <w:rFonts w:ascii="仿宋" w:eastAsia="仿宋" w:cs="仿宋" w:hAnsi="仿宋" w:hint="eastAsia"/>
          <w:color w:val="000000"/>
          <w:sz w:val="28"/>
          <w:szCs w:val="28"/>
          <w:shd w:val="clear" w:color="auto" w:fill="FFFFFF"/>
        </w:rPr>
        <w:t>争取“我要上大学”项目，为12名建档立卡贫困户大一新生争取到助学资金共计6万元。</w:t>
      </w:r>
      <w:r>
        <w:rPr>
          <w:rFonts w:ascii="仿宋" w:eastAsia="仿宋" w:cs="仿宋" w:hAnsi="仿宋" w:hint="eastAsia"/>
          <w:sz w:val="28"/>
          <w:szCs w:val="28"/>
        </w:rPr>
        <w:t>持续实施“留守儿童关爱”项目，分别在三堆镇井田村和荣山镇雷坝社区</w:t>
      </w:r>
      <w:r>
        <w:rPr>
          <w:rFonts w:ascii="仿宋" w:eastAsia="仿宋" w:cs="仿宋" w:hAnsi="仿宋" w:hint="eastAsia"/>
          <w:color w:val="000000"/>
          <w:sz w:val="28"/>
          <w:szCs w:val="28"/>
        </w:rPr>
        <w:t>建成“童伴计划”2个项目点，</w:t>
      </w:r>
      <w:r>
        <w:rPr>
          <w:rFonts w:ascii="仿宋" w:eastAsia="仿宋" w:cs="仿宋" w:hAnsi="仿宋" w:hint="eastAsia"/>
          <w:color w:val="000000"/>
          <w:sz w:val="28"/>
          <w:szCs w:val="28"/>
          <w:shd w:val="clear" w:color="auto" w:fill="FFFFFF"/>
        </w:rPr>
        <w:t>累计为200余名留守儿童、贫困儿童提供学业辅导、心理疏导、亲情陪护等各种服务。</w:t>
      </w:r>
    </w:p>
    <w:p>
      <w:pPr>
        <w:spacing w:line="576" w:lineRule="exact"/>
        <w:ind w:firstLineChars="200" w:firstLine="560"/>
        <w:rPr>
          <w:rFonts w:ascii="仿宋" w:eastAsia="仿宋" w:cs="仿宋" w:hAnsi="仿宋"/>
          <w:sz w:val="28"/>
          <w:szCs w:val="28"/>
        </w:rPr>
      </w:pPr>
      <w:r>
        <w:rPr>
          <w:rFonts w:ascii="仿宋" w:eastAsia="仿宋" w:cs="仿宋" w:hAnsi="仿宋" w:hint="eastAsia"/>
          <w:sz w:val="28"/>
          <w:szCs w:val="28"/>
        </w:rPr>
        <w:t>（二）擦亮“青”字品牌，深化青年创新创业。持续深入开展四川青年创业促进计划（SYE），为我区17名创业青年争取扶持贷款150万元。助力乡村振兴战略，做好利州籍在外农民工服务保障，大力推进农村青年致富带头人协会（联盟）建设。深</w:t>
      </w:r>
      <w:r>
        <w:rPr>
          <w:rFonts w:ascii="仿宋" w:eastAsia="仿宋" w:cs="仿宋" w:hAnsi="仿宋" w:hint="eastAsia"/>
          <w:color w:val="000000"/>
          <w:sz w:val="28"/>
          <w:szCs w:val="28"/>
        </w:rPr>
        <w:t>大力宣传支持青年创新创业的各项政策措施，联合相关部门开展各类宣讲、论坛10余次，开展“春风行动招聘会”等活动，培训返乡青年700余名。</w:t>
      </w:r>
    </w:p>
    <w:p>
      <w:pPr>
        <w:spacing w:line="576" w:lineRule="exact"/>
        <w:ind w:firstLineChars="200" w:firstLine="560"/>
        <w:rPr>
          <w:rFonts w:ascii="仿宋" w:eastAsia="仿宋" w:cs="仿宋" w:hAnsi="仿宋"/>
          <w:color w:val="FF0000"/>
          <w:sz w:val="28"/>
          <w:szCs w:val="28"/>
          <w:shd w:val="clear" w:color="auto" w:fill="FFFFFF"/>
        </w:rPr>
      </w:pPr>
      <w:r>
        <w:rPr>
          <w:rFonts w:ascii="仿宋" w:eastAsia="仿宋" w:cs="仿宋" w:hAnsi="仿宋" w:hint="eastAsia"/>
          <w:sz w:val="28"/>
          <w:szCs w:val="28"/>
        </w:rPr>
        <w:t>（三）深化志愿服务，展示青年良好形象。</w:t>
      </w:r>
      <w:r>
        <w:rPr>
          <w:rFonts w:ascii="仿宋" w:eastAsia="仿宋" w:cs="仿宋" w:hAnsi="仿宋" w:hint="eastAsia"/>
          <w:color w:val="000000"/>
          <w:sz w:val="28"/>
          <w:szCs w:val="28"/>
          <w:shd w:val="clear" w:color="auto" w:fill="FFFFFF"/>
        </w:rPr>
        <w:t>全区注册志愿者达2万余名，新招募西部计划志愿者18名、累计在岗25名。持续推进“逐梦计划”，在川内高校招募80余名利州籍青年返乡大学生到我区开展暑期实习。充分发挥青年先锋模范引领作用，积极开展全国文明城市创建工作，组织青年志愿者在市城区24个重点交通路口持续开展文明劝导工作，引导城市居民养成遵守交通规则的好习惯，展现良好的城市形象和精神风貌。常态化开展交通协管、阳光助残、法制宣传、文明新风宣传、禁毒及市区重大活动等志愿服务活动70余次，累计提供服务1000余人次。</w:t>
      </w:r>
    </w:p>
    <w:p>
      <w:pPr>
        <w:spacing w:line="576" w:lineRule="exact"/>
        <w:ind w:firstLineChars="200" w:firstLine="560"/>
        <w:rPr>
          <w:rFonts w:ascii="仿宋" w:eastAsia="仿宋" w:cs="仿宋" w:hAnsi="仿宋"/>
          <w:color w:val="000000"/>
          <w:sz w:val="28"/>
          <w:szCs w:val="28"/>
          <w:shd w:val="clear" w:color="auto" w:fill="FFFFFF"/>
        </w:rPr>
      </w:pPr>
      <w:r>
        <w:rPr>
          <w:rFonts w:ascii="仿宋" w:eastAsia="仿宋" w:cs="仿宋" w:hAnsi="仿宋" w:hint="eastAsia"/>
          <w:sz w:val="28"/>
          <w:szCs w:val="28"/>
        </w:rPr>
        <w:t xml:space="preserve"> 三、</w:t>
      </w:r>
      <w:r>
        <w:rPr>
          <w:rFonts w:ascii="仿宋" w:eastAsia="仿宋" w:cs="仿宋" w:hAnsi="仿宋" w:hint="eastAsia"/>
          <w:color w:val="000000"/>
          <w:sz w:val="28"/>
          <w:szCs w:val="28"/>
          <w:shd w:val="clear" w:color="auto" w:fill="FFFFFF"/>
        </w:rPr>
        <w:t>聚焦青年现实需求，优化联系服务拓宽成长渠道</w:t>
      </w:r>
    </w:p>
    <w:p>
      <w:pPr>
        <w:spacing w:line="576" w:lineRule="exact"/>
        <w:ind w:firstLineChars="200" w:firstLine="560"/>
        <w:rPr>
          <w:rFonts w:ascii="仿宋" w:eastAsia="仿宋" w:cs="仿宋" w:hAnsi="仿宋"/>
          <w:color w:val="FF0000"/>
          <w:sz w:val="28"/>
          <w:szCs w:val="28"/>
        </w:rPr>
      </w:pPr>
      <w:r>
        <w:rPr>
          <w:rFonts w:ascii="仿宋" w:eastAsia="仿宋" w:cs="仿宋" w:hAnsi="仿宋" w:hint="eastAsia"/>
          <w:sz w:val="28"/>
          <w:szCs w:val="28"/>
        </w:rPr>
        <w:t>（一）强化团属阵地建设，打造青年身边的共青团。巩固传统领域团建，大力推进新兴领域团建，全面落实“全团抓学校”的工作模式，规范村（社区）、机关、企事业单位、“两新组织”等领域的基层团建，打造青年信得过、靠得住、离不开的身边共青团；加大“青年之家”建设力度，2019年新建中公教育广元分校团支部并授予利州“青年之家”挂牌运行，不断完善南河体育场社区、宝轮镇云峰社区和雪峰街道五洲社区3个区级示范“青年之家”建设并入驻团中央云平台。</w:t>
      </w:r>
    </w:p>
    <w:p>
      <w:pPr>
        <w:spacing w:line="576" w:lineRule="exact"/>
        <w:ind w:firstLineChars="200" w:firstLine="560"/>
        <w:rPr>
          <w:rFonts w:ascii="仿宋" w:eastAsia="仿宋" w:cs="仿宋" w:hAnsi="仿宋"/>
          <w:sz w:val="28"/>
          <w:szCs w:val="28"/>
        </w:rPr>
      </w:pPr>
      <w:r>
        <w:rPr>
          <w:rFonts w:ascii="仿宋" w:eastAsia="仿宋" w:cs="仿宋" w:hAnsi="仿宋" w:hint="eastAsia"/>
          <w:bCs/>
          <w:color w:val="000000"/>
          <w:kern w:val="0"/>
          <w:sz w:val="28"/>
          <w:szCs w:val="28"/>
        </w:rPr>
        <w:t>（</w:t>
      </w:r>
      <w:r>
        <w:rPr>
          <w:rFonts w:ascii="仿宋" w:eastAsia="仿宋" w:cs="仿宋" w:hAnsi="仿宋" w:hint="eastAsia"/>
          <w:sz w:val="28"/>
          <w:szCs w:val="28"/>
        </w:rPr>
        <w:t>二）切实维护青少年权益。开展青少年自护教育，广泛宣传《网络安全法》等，提高青少年网络、通讯安全防范意识。利用共青团宣传阵地、主题团日活动等在全区青少年中集中开展禁毒宣传教育活动，积极探索12355青少年服务工作建立新模式，探索健全与检察、司法机关和民政等部门合作建设青少年权益保护社会支持体系的路径和机制。深化“面对面”活动，不断畅通青少年权益诉求渠道。</w:t>
      </w:r>
    </w:p>
    <w:p>
      <w:pPr>
        <w:spacing w:line="576" w:lineRule="exact"/>
        <w:ind w:firstLineChars="200" w:firstLine="560"/>
        <w:rPr>
          <w:rFonts w:ascii="仿宋" w:eastAsia="仿宋" w:cs="仿宋" w:hAnsi="仿宋"/>
          <w:sz w:val="28"/>
          <w:szCs w:val="28"/>
        </w:rPr>
      </w:pPr>
      <w:r>
        <w:rPr>
          <w:rFonts w:ascii="仿宋" w:eastAsia="仿宋" w:cs="仿宋" w:hAnsi="仿宋" w:hint="eastAsia"/>
          <w:bCs/>
          <w:color w:val="000000"/>
          <w:kern w:val="0"/>
          <w:sz w:val="28"/>
          <w:szCs w:val="28"/>
        </w:rPr>
        <w:t>（三）坚持需求导向，关爱青少年成长。</w:t>
      </w:r>
      <w:r>
        <w:rPr>
          <w:rFonts w:ascii="仿宋" w:eastAsia="仿宋" w:cs="仿宋" w:hAnsi="仿宋" w:hint="eastAsia"/>
          <w:sz w:val="28"/>
          <w:szCs w:val="28"/>
        </w:rPr>
        <w:t>发挥共青团组织的枢纽作用，汇聚社会各界爱心、资源、力量，为青少年提供心理关爱、学业</w:t>
      </w:r>
      <w:r>
        <w:rPr>
          <w:rFonts w:ascii="仿宋" w:eastAsia="仿宋" w:cs="仿宋" w:hAnsi="仿宋" w:hint="eastAsia"/>
          <w:sz w:val="28"/>
          <w:szCs w:val="28"/>
        </w:rPr>
        <w:fldChar w:fldCharType="begin"/>
      </w:r>
      <w:r>
        <w:instrText>HYPERLINK "http://zw.5ykj.com/"</w:instrText>
      </w:r>
      <w:r>
        <w:rPr>
          <w:rFonts w:ascii="仿宋" w:eastAsia="仿宋" w:cs="仿宋" w:hAnsi="仿宋" w:hint="eastAsia"/>
          <w:sz w:val="28"/>
          <w:szCs w:val="28"/>
        </w:rPr>
        <w:fldChar w:fldCharType="separate"/>
      </w:r>
      <w:r>
        <w:rPr>
          <w:rFonts w:ascii="仿宋" w:eastAsia="仿宋" w:cs="仿宋" w:hAnsi="仿宋" w:hint="eastAsia"/>
          <w:sz w:val="28"/>
          <w:szCs w:val="28"/>
        </w:rPr>
        <w:t>辅导</w:t>
      </w:r>
      <w:r>
        <w:rPr>
          <w:rFonts w:ascii="仿宋" w:eastAsia="仿宋" w:cs="仿宋" w:hAnsi="仿宋" w:hint="eastAsia"/>
          <w:sz w:val="28"/>
          <w:szCs w:val="28"/>
        </w:rPr>
        <w:fldChar w:fldCharType="end"/>
      </w:r>
      <w:r>
        <w:rPr>
          <w:rFonts w:ascii="仿宋" w:eastAsia="仿宋" w:cs="仿宋" w:hAnsi="仿宋" w:hint="eastAsia"/>
          <w:sz w:val="28"/>
          <w:szCs w:val="28"/>
        </w:rPr>
        <w:t>、兴趣培训、个案帮扶等方面的成长服务；积极申报、立项、实施共青团关爱留守儿童志愿服务行动龙王小学“汇爱家园”示范项目，“童伴计划”项目；实施关爱重点青少年群体行动，深化“青春圆梦微心愿”，开展“情暖童心·关爱成长”活动，狠抓城乡特殊青少年群体工作；开展形式多样的校外体验教育、实践活动，培养德智体美劳全面发展的社会主义建设者和接班人。</w:t>
      </w:r>
    </w:p>
    <w:p>
      <w:pPr>
        <w:spacing w:line="576" w:lineRule="exact"/>
        <w:ind w:firstLineChars="200" w:firstLine="560"/>
        <w:rPr>
          <w:rFonts w:ascii="仿宋" w:eastAsia="仿宋" w:cs="仿宋" w:hAnsi="仿宋"/>
          <w:sz w:val="28"/>
          <w:szCs w:val="28"/>
        </w:rPr>
      </w:pPr>
      <w:r>
        <w:rPr>
          <w:rFonts w:ascii="仿宋" w:eastAsia="仿宋" w:cs="仿宋" w:hAnsi="仿宋" w:hint="eastAsia"/>
          <w:sz w:val="28"/>
          <w:szCs w:val="28"/>
        </w:rPr>
        <w:t>四、全面深化从严治团，以更大的决心和力度推动共青团改革</w:t>
      </w:r>
    </w:p>
    <w:p>
      <w:pPr>
        <w:spacing w:line="576" w:lineRule="exact"/>
        <w:ind w:firstLineChars="200" w:firstLine="560"/>
        <w:rPr>
          <w:rFonts w:ascii="仿宋" w:eastAsia="仿宋" w:cs="仿宋" w:hAnsi="仿宋"/>
          <w:color w:val="000000"/>
          <w:spacing w:val="-6"/>
          <w:sz w:val="28"/>
          <w:szCs w:val="28"/>
          <w:shd w:val="clear" w:color="auto" w:fill="FFFFFF"/>
        </w:rPr>
      </w:pPr>
      <w:r>
        <w:rPr>
          <w:rFonts w:ascii="仿宋" w:eastAsia="仿宋" w:cs="仿宋" w:hAnsi="仿宋" w:hint="eastAsia"/>
          <w:sz w:val="28"/>
          <w:szCs w:val="28"/>
        </w:rPr>
        <w:t>（一）坚持党建带团建，夯实团的基层基础。</w:t>
      </w:r>
      <w:r>
        <w:rPr>
          <w:rFonts w:ascii="仿宋" w:eastAsia="仿宋" w:cs="仿宋" w:hAnsi="仿宋" w:hint="eastAsia"/>
          <w:color w:val="000000"/>
          <w:spacing w:val="-6"/>
          <w:sz w:val="28"/>
          <w:szCs w:val="28"/>
          <w:shd w:val="clear" w:color="auto" w:fill="FFFFFF"/>
        </w:rPr>
        <w:t>全区各级团组织始终坚持党建工作与共青团工作同谋划、同部署、同落实，深入</w:t>
      </w:r>
      <w:r>
        <w:rPr>
          <w:rFonts w:ascii="仿宋" w:eastAsia="仿宋" w:cs="仿宋" w:hAnsi="仿宋" w:hint="eastAsia"/>
          <w:color w:val="000000"/>
          <w:sz w:val="28"/>
          <w:szCs w:val="28"/>
          <w:shd w:val="clear" w:color="auto" w:fill="FFFFFF"/>
        </w:rPr>
        <w:t>贯彻落实团中央和团省、市委关于团的基层组织建设工作决策部署。开展团情大调研，利用“智慧团建”系统、“学社衔接”等工作，加强团组织规范化建设，摸清组织家底，建立全团大数据的核心工作，提升团组织建设规范化和科学化水平，定时对全区录入情况进行分析研判，指导基层团组织在集中力量录入学校领域相关信息的同时，注重填补农村、社区、非公经济组织、社会组织等领域的团建空白点。着手建立了北京中公教育科技有限公司广元分公司团支部、广</w:t>
      </w:r>
      <w:r>
        <w:rPr>
          <w:rFonts w:ascii="仿宋" w:eastAsia="仿宋" w:cs="仿宋" w:hAnsi="仿宋" w:hint="eastAsia"/>
          <w:color w:val="000000"/>
          <w:spacing w:val="-6"/>
          <w:sz w:val="28"/>
          <w:szCs w:val="28"/>
          <w:shd w:val="clear" w:color="auto" w:fill="FFFFFF"/>
        </w:rPr>
        <w:t>元市利州区南河街道湘康医院团支部、利州区青年志愿者协会团支部，持续大力推进非公企业和新社会组织团建工作。</w:t>
      </w:r>
    </w:p>
    <w:p>
      <w:pPr>
        <w:spacing w:line="576" w:lineRule="exact"/>
        <w:ind w:firstLineChars="200" w:firstLine="560"/>
        <w:rPr>
          <w:rFonts w:ascii="仿宋" w:eastAsia="仿宋" w:cs="仿宋" w:hAnsi="仿宋"/>
          <w:color w:val="000000"/>
          <w:sz w:val="28"/>
          <w:szCs w:val="28"/>
          <w:shd w:val="clear" w:color="auto" w:fill="FFFFFF"/>
        </w:rPr>
      </w:pPr>
      <w:r>
        <w:rPr>
          <w:rFonts w:ascii="仿宋" w:eastAsia="仿宋" w:cs="仿宋" w:hAnsi="仿宋" w:hint="eastAsia"/>
          <w:sz w:val="28"/>
          <w:szCs w:val="28"/>
        </w:rPr>
        <w:t>（二）加强团干和团员队伍建设，严格团员发展和管理。全面贯彻落实《关于加强新形势下发展团员和团员管理工作的意见》，做好发展团员工作，坚持团员标准，严格入团程序，开展入团仪式示范活动，加强团前教育和推优入团工作，严把关口，控量提质，实现初高中阶段毕业班团学比分别控制在30%、60%以下。</w:t>
      </w:r>
      <w:r>
        <w:rPr>
          <w:rFonts w:ascii="仿宋" w:eastAsia="仿宋" w:cs="仿宋" w:hAnsi="仿宋" w:hint="eastAsia"/>
          <w:color w:val="000000"/>
          <w:sz w:val="28"/>
          <w:szCs w:val="28"/>
          <w:shd w:val="clear" w:color="auto" w:fill="FFFFFF"/>
        </w:rPr>
        <w:t>落实“三会两制一课”制度，严肃团的组织生活，推动团员成为注册志愿者。按照团费收缴使用管理办法，在全面摸底团员数量的基础上，严格按照比例进行团费收缴。</w:t>
      </w:r>
    </w:p>
    <w:p>
      <w:pPr>
        <w:spacing w:line="576" w:lineRule="exact"/>
        <w:ind w:firstLineChars="200" w:firstLine="560"/>
        <w:rPr>
          <w:rFonts w:ascii="仿宋" w:eastAsia="仿宋" w:cs="仿宋" w:hAnsi="仿宋"/>
          <w:color w:val="FF0000"/>
          <w:sz w:val="28"/>
          <w:szCs w:val="28"/>
        </w:rPr>
      </w:pPr>
      <w:r>
        <w:rPr>
          <w:rFonts w:ascii="仿宋" w:eastAsia="仿宋" w:cs="仿宋" w:hAnsi="仿宋" w:hint="eastAsia"/>
          <w:sz w:val="28"/>
          <w:szCs w:val="28"/>
        </w:rPr>
        <w:t>（三）扎实推进中学共青团和少先队改革。以推动各领域团组织改革方案落地落实为重点，加强指导监督，逐级压实推进，以严格管理、提升能力、有效激励为重点，加强基层团干部队伍建设。以“全团抓学校”为重点，健全初中团队衔接机制，对团员发展进行严格规范，推动中学共青团改革。深化少先队活动课程建设，并通过建队日活动探索推广少先队特色主题队日活动示范课。加强少先队骨干队伍建设，开展学校团委书记和少先队大队辅导员“双线”晋升工作，将团建工作纳入学校党建工作整体规划。</w:t>
      </w:r>
    </w:p>
    <w:p>
      <w:pPr>
        <w:spacing w:line="576" w:lineRule="exact"/>
        <w:ind w:firstLineChars="200" w:firstLine="560"/>
        <w:rPr>
          <w:rFonts w:ascii="仿宋" w:eastAsia="仿宋" w:cs="仿宋" w:hAnsi="仿宋"/>
          <w:sz w:val="28"/>
          <w:szCs w:val="28"/>
        </w:rPr>
      </w:pPr>
      <w:r>
        <w:rPr>
          <w:rFonts w:ascii="仿宋" w:eastAsia="仿宋" w:cs="仿宋" w:hAnsi="仿宋" w:hint="eastAsia"/>
          <w:sz w:val="28"/>
          <w:szCs w:val="28"/>
        </w:rPr>
        <w:t>（四）持续推动从严治团，大力加强队伍和作风建设。坚持把从严治团要求贯穿于团的建设全过程，成立团区委“学习强国”APP工作领导小组，以点带面，形成全体干部职工树立自觉学习的良好氛围。认真落实“8+4”“4+1”“1+100”等制度，推动团干部到基层一线学习锻炼、直接联系普通青年。加强团干部党性教育，积极发展优秀团干部加入党组织队伍，认真开展团干部培训，将团干部培训纳入全区干部培训计划，集中培训基层团干、中学团委书记和西部计划志愿者，让基层团干部进一步明确职责使命，不断提升团干部履职能力。</w:t>
      </w:r>
    </w:p>
    <w:p>
      <w:pPr>
        <w:pStyle w:val="15"/>
        <w:adjustRightInd w:val="0"/>
        <w:snapToGrid w:val="0"/>
        <w:spacing w:beforeLines="0" w:before="93" w:line="600" w:lineRule="exact"/>
        <w:ind w:firstLineChars="209" w:firstLine="588"/>
        <w:outlineLvl w:val="2"/>
        <w:rPr>
          <w:rFonts w:ascii="仿宋" w:eastAsia="仿宋" w:cs="仿宋" w:hAnsi="仿宋"/>
          <w:bCs/>
          <w:color w:val="000000"/>
          <w:sz w:val="28"/>
          <w:szCs w:val="28"/>
        </w:rPr>
      </w:pPr>
    </w:p>
    <w:p>
      <w:pPr>
        <w:ind w:left="0" w:firstLineChars="200" w:firstLine="640"/>
        <w:rPr>
          <w:rStyle w:val="2Char"/>
          <w:rFonts w:ascii="黑体" w:eastAsia="黑体" w:cs="黑体" w:hAnsi="黑体"/>
          <w:b w:val="0"/>
          <w:bCs w:val="0"/>
        </w:rPr>
      </w:pPr>
      <w:bookmarkStart w:id="21" w:name="_Toc15377200"/>
      <w:bookmarkStart w:id="22" w:name="_Toc15396601"/>
      <w:r>
        <w:rPr>
          <w:rFonts w:ascii="黑体" w:eastAsia="黑体" w:cs="黑体" w:hAnsi="黑体" w:hint="eastAsia"/>
          <w:color w:val="000000"/>
          <w:sz w:val="32"/>
          <w:szCs w:val="32"/>
          <w:lang w:eastAsia="zh-CN"/>
        </w:rPr>
        <w:t>二、</w:t>
      </w:r>
      <w:r>
        <w:rPr>
          <w:rFonts w:ascii="黑体" w:eastAsia="黑体" w:cs="黑体" w:hAnsi="黑体" w:hint="eastAsia"/>
          <w:color w:val="000000"/>
          <w:sz w:val="32"/>
          <w:szCs w:val="32"/>
        </w:rPr>
        <w:t>机</w:t>
      </w:r>
      <w:r>
        <w:rPr>
          <w:rStyle w:val="2Char"/>
          <w:rFonts w:ascii="黑体" w:eastAsia="黑体" w:cs="黑体" w:hAnsi="黑体" w:hint="eastAsia"/>
          <w:b w:val="0"/>
          <w:bCs w:val="0"/>
        </w:rPr>
        <w:t>构设置</w:t>
      </w:r>
      <w:bookmarkEnd w:id="21"/>
      <w:bookmarkEnd w:id="22"/>
    </w:p>
    <w:p>
      <w:pPr>
        <w:ind w:firstLineChars="200" w:firstLine="640"/>
        <w:rPr>
          <w:rFonts w:ascii="仿宋" w:eastAsia="仿宋" w:hAnsi="仿宋"/>
          <w:sz w:val="32"/>
          <w:szCs w:val="32"/>
        </w:rPr>
      </w:pPr>
      <w:r>
        <w:rPr>
          <w:rFonts w:ascii="仿宋" w:eastAsia="仿宋" w:hAnsi="仿宋" w:hint="eastAsia"/>
          <w:sz w:val="32"/>
          <w:szCs w:val="32"/>
        </w:rPr>
        <w:t>中国共产主义青年团广元市利州区委员会是2019年部门决算汇编范围内独立核算单位，本单位执行的是行政会计制度，属于利州区委下属二级单位。</w:t>
      </w:r>
    </w:p>
    <w:p>
      <w:pPr>
        <w:pStyle w:val="2"/>
        <w:rPr>
          <w:rStyle w:val="2Char"/>
          <w:b w:val="0"/>
          <w:bCs w:val="0"/>
        </w:rPr>
      </w:pPr>
    </w:p>
    <w:p>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pPr>
        <w:pStyle w:val="1"/>
        <w:ind w:right="440"/>
        <w:jc w:val="right"/>
        <w:rPr>
          <w:rStyle w:val="1Char"/>
          <w:rFonts w:ascii="黑体" w:eastAsia="黑体" w:hAnsi="黑体"/>
          <w:b w:val="0"/>
          <w:bCs w:val="0"/>
        </w:rPr>
      </w:pPr>
      <w:bookmarkStart w:id="23" w:name="_Toc15377204"/>
      <w:bookmarkStart w:id="24" w:name="_Toc15396602"/>
      <w:r>
        <w:rPr>
          <w:rFonts w:ascii="黑体" w:eastAsia="黑体" w:hAnsi="黑体" w:hint="eastAsia"/>
          <w:b w:val="0"/>
          <w:color w:val="000000"/>
        </w:rPr>
        <w:t>第二部分</w:t>
      </w:r>
      <w:r>
        <w:rPr>
          <w:rStyle w:val="1Char"/>
          <w:rFonts w:ascii="黑体" w:eastAsia="黑体" w:hAnsi="黑体" w:hint="eastAsia"/>
          <w:b w:val="0"/>
          <w:bCs w:val="0"/>
        </w:rPr>
        <w:t>2019年度部门决算情况说明</w:t>
      </w:r>
      <w:bookmarkEnd w:id="23"/>
      <w:bookmarkEnd w:id="24"/>
    </w:p>
    <w:p/>
    <w:p>
      <w:pPr>
        <w:pStyle w:val="29"/>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2019年度本年收入51.63万元，本年支出52.44万元。与2018年相比，本年收入减少0.13万元，减少率0.25%；本年支出减少2.29万元、减少率4.18%。主要变动原因是青少年服务平台建设经费减少。</w:t>
      </w:r>
    </w:p>
    <w:p>
      <w:pPr>
        <w:spacing w:line="360" w:lineRule="auto"/>
        <w:rPr>
          <w:rFonts w:ascii="仿宋_GB2312" w:eastAsia="仿宋_GB2312"/>
          <w:color w:val="000000"/>
          <w:sz w:val="32"/>
          <w:szCs w:val="32"/>
        </w:rPr>
      </w:pPr>
      <w:r>
        <w:drawing>
          <wp:inline distT="0" distB="0" distL="114300" distR="114300">
            <wp:extent cx="4790440" cy="2771775"/>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29"/>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9年本年收入合计51.63万元，其中：一般公共预算财政拨款收入51.63万元，占100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；上级补助收入0万元，占0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outlineLvl w:val="1"/>
        <w:rPr>
          <w:rFonts w:ascii="仿宋" w:eastAsia="仿宋" w:hAnsi="仿宋"/>
          <w:color w:val="000000"/>
          <w:sz w:val="32"/>
          <w:szCs w:val="32"/>
        </w:rPr>
      </w:pPr>
    </w:p>
    <w:p>
      <w:pPr>
        <w:spacing w:line="600" w:lineRule="exact"/>
        <w:ind w:firstLineChars="200" w:firstLine="420"/>
        <w:rPr>
          <w:rFonts w:ascii="仿宋" w:eastAsia="仿宋" w:hAnsi="仿宋"/>
          <w:color w:val="000000"/>
          <w:sz w:val="32"/>
          <w:szCs w:val="32"/>
        </w:rPr>
      </w:pPr>
      <w:r>
        <w:drawing>
          <wp:anchor distT="0" distB="0" distL="114300" distR="114300" simplePos="0" relativeHeight="20" behindDoc="0" locked="0" layoutInCell="1" hidden="0" allowOverlap="1">
            <wp:simplePos x="0" y="0"/>
            <wp:positionH relativeFrom="column">
              <wp:posOffset>271145</wp:posOffset>
            </wp:positionH>
            <wp:positionV relativeFrom="paragraph">
              <wp:posOffset>153035</wp:posOffset>
            </wp:positionV>
            <wp:extent cx="4873625" cy="2513329"/>
            <wp:effectExtent l="0" t="0" r="0" b="0"/>
            <wp:wrapTight wrapText="bothSides">
              <wp:wrapPolygon>
                <wp:start x="-19" y="-55"/>
                <wp:lineTo x="-19" y="21554"/>
                <wp:lineTo x="21593" y="21554"/>
                <wp:lineTo x="21593" y="-55"/>
                <wp:lineTo x="-19" y="-55"/>
              </wp:wrapPolygon>
            </wp:wrapTight>
            <wp:docPr id="2" name="图表 3"/>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hAnsi="仿宋" w:hint="eastAsia"/>
          <w:color w:val="000000"/>
          <w:sz w:val="32"/>
          <w:szCs w:val="32"/>
        </w:rPr>
        <w:t>（图2：收入决算结构图）（饼状图）</w:t>
      </w:r>
    </w:p>
    <w:p>
      <w:pPr>
        <w:spacing w:line="600" w:lineRule="exact"/>
        <w:ind w:firstLineChars="200" w:firstLine="640"/>
        <w:rPr>
          <w:rFonts w:ascii="仿宋_GB2312" w:eastAsia="仿宋_GB2312"/>
          <w:color w:val="FF0000"/>
          <w:sz w:val="32"/>
          <w:szCs w:val="32"/>
        </w:rPr>
      </w:pPr>
    </w:p>
    <w:p>
      <w:pPr>
        <w:pStyle w:val="29"/>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9年本年支出合计52.44万元，其中：基本支出41.28万元，占78.72</w:t>
      </w:r>
      <w:r>
        <w:rPr>
          <w:rFonts w:ascii="仿宋" w:eastAsia="仿宋" w:hAnsi="仿宋"/>
          <w:color w:val="000000"/>
          <w:sz w:val="32"/>
          <w:szCs w:val="32"/>
        </w:rPr>
        <w:t>%</w:t>
      </w:r>
      <w:r>
        <w:rPr>
          <w:rFonts w:ascii="仿宋" w:eastAsia="仿宋" w:hAnsi="仿宋" w:hint="eastAsia"/>
          <w:color w:val="000000"/>
          <w:sz w:val="32"/>
          <w:szCs w:val="32"/>
        </w:rPr>
        <w:t>；项目支出11.16万元，占21.28</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rPr>
          <w:rFonts w:ascii="仿宋" w:eastAsia="仿宋" w:hAnsi="仿宋"/>
          <w:color w:val="000000"/>
          <w:sz w:val="32"/>
          <w:szCs w:val="32"/>
        </w:rPr>
      </w:pPr>
    </w:p>
    <w:p>
      <w:pPr>
        <w:spacing w:line="600" w:lineRule="exact"/>
        <w:ind w:firstLineChars="200" w:firstLine="420"/>
        <w:rPr>
          <w:rFonts w:ascii="仿宋" w:eastAsia="仿宋" w:hAnsi="仿宋"/>
          <w:color w:val="000000"/>
          <w:sz w:val="32"/>
          <w:szCs w:val="32"/>
        </w:rPr>
      </w:pPr>
      <w:r>
        <w:drawing>
          <wp:anchor distT="0" distB="0" distL="114300" distR="114300" simplePos="0" relativeHeight="22" behindDoc="0" locked="0" layoutInCell="1" hidden="0" allowOverlap="1">
            <wp:simplePos x="0" y="0"/>
            <wp:positionH relativeFrom="column">
              <wp:posOffset>271145</wp:posOffset>
            </wp:positionH>
            <wp:positionV relativeFrom="paragraph">
              <wp:posOffset>-71755</wp:posOffset>
            </wp:positionV>
            <wp:extent cx="4572000" cy="2242820"/>
            <wp:effectExtent l="0" t="0" r="0" b="0"/>
            <wp:wrapTight wrapText="bothSides">
              <wp:wrapPolygon>
                <wp:start x="-21" y="-37"/>
                <wp:lineTo x="-21" y="21519"/>
                <wp:lineTo x="21578" y="21519"/>
                <wp:lineTo x="21578" y="-37"/>
                <wp:lineTo x="-21" y="-37"/>
              </wp:wrapPolygon>
            </wp:wrapTight>
            <wp:docPr id="3" name="图表 1"/>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（图3：支出决算结构图）（饼状图）</w:t>
      </w:r>
    </w:p>
    <w:p>
      <w:pPr>
        <w:spacing w:line="600" w:lineRule="exact"/>
        <w:ind w:firstLineChars="200" w:firstLine="640"/>
        <w:rPr>
          <w:rFonts w:ascii="仿宋_GB2312" w:eastAsia="仿宋_GB2312"/>
          <w:color w:val="FF0000"/>
          <w:sz w:val="32"/>
          <w:szCs w:val="32"/>
        </w:rPr>
      </w:pPr>
    </w:p>
    <w:p>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9年财政拨款收入51.63万元、支出52.44万元。与</w:t>
      </w:r>
      <w:r>
        <w:rPr>
          <w:rFonts w:ascii="仿宋" w:eastAsia="仿宋" w:hAnsi="仿宋"/>
          <w:color w:val="000000"/>
          <w:sz w:val="32"/>
          <w:szCs w:val="32"/>
        </w:rPr>
        <w:t>201</w:t>
      </w:r>
      <w:r>
        <w:rPr>
          <w:rFonts w:ascii="仿宋" w:eastAsia="仿宋" w:hAnsi="仿宋" w:hint="eastAsia"/>
          <w:color w:val="000000"/>
          <w:sz w:val="32"/>
          <w:szCs w:val="32"/>
        </w:rPr>
        <w:t>8年相比，财政拨款收入减少0.13万元，下降0.25</w:t>
      </w:r>
      <w:r>
        <w:rPr>
          <w:rFonts w:ascii="仿宋" w:eastAsia="仿宋" w:hAnsi="仿宋"/>
          <w:color w:val="000000"/>
          <w:sz w:val="32"/>
          <w:szCs w:val="32"/>
        </w:rPr>
        <w:t>%</w:t>
      </w:r>
      <w:r>
        <w:rPr>
          <w:rFonts w:ascii="仿宋" w:eastAsia="仿宋" w:hAnsi="仿宋" w:hint="eastAsia"/>
          <w:color w:val="000000"/>
          <w:sz w:val="32"/>
          <w:szCs w:val="32"/>
        </w:rPr>
        <w:t>。财政拨款支出减少2.29万元，下降4.18</w:t>
      </w:r>
      <w:r>
        <w:rPr>
          <w:rFonts w:ascii="仿宋" w:eastAsia="仿宋" w:hAnsi="仿宋"/>
          <w:color w:val="000000"/>
          <w:sz w:val="32"/>
          <w:szCs w:val="32"/>
        </w:rPr>
        <w:t>%</w:t>
      </w:r>
      <w:r>
        <w:rPr>
          <w:rFonts w:ascii="仿宋" w:eastAsia="仿宋" w:hAnsi="仿宋" w:hint="eastAsia"/>
          <w:color w:val="000000"/>
          <w:sz w:val="32"/>
          <w:szCs w:val="32"/>
        </w:rPr>
        <w:t>，主要变动原因是青少年服务平台建设经费减少。</w:t>
      </w:r>
    </w:p>
    <w:p>
      <w:pPr>
        <w:spacing w:line="600" w:lineRule="exact"/>
        <w:ind w:firstLineChars="200" w:firstLine="420"/>
        <w:rPr>
          <w:rFonts w:ascii="仿宋" w:eastAsia="仿宋" w:hAnsi="仿宋"/>
          <w:color w:val="000000"/>
          <w:sz w:val="32"/>
          <w:szCs w:val="32"/>
        </w:rPr>
      </w:pPr>
      <w:r>
        <w:drawing>
          <wp:anchor distT="0" distB="0" distL="114300" distR="114300" simplePos="0" relativeHeight="24" behindDoc="0" locked="0" layoutInCell="1" hidden="0" allowOverlap="1">
            <wp:simplePos x="0" y="0"/>
            <wp:positionH relativeFrom="column">
              <wp:posOffset>4445</wp:posOffset>
            </wp:positionH>
            <wp:positionV relativeFrom="paragraph">
              <wp:posOffset>280034</wp:posOffset>
            </wp:positionV>
            <wp:extent cx="5271770" cy="3395979"/>
            <wp:effectExtent l="0" t="0" r="0" b="0"/>
            <wp:wrapTight wrapText="bothSides">
              <wp:wrapPolygon>
                <wp:start x="-18" y="-24"/>
                <wp:lineTo x="-18" y="21542"/>
                <wp:lineTo x="21563" y="21542"/>
                <wp:lineTo x="21563" y="-24"/>
                <wp:lineTo x="-18" y="-24"/>
              </wp:wrapPolygon>
            </wp:wrapTight>
            <wp:docPr id="4" name="图表 1"/>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 w:eastAsia="仿宋" w:hAnsi="仿宋" w:hint="eastAsia"/>
          <w:color w:val="000000"/>
          <w:sz w:val="32"/>
          <w:szCs w:val="32"/>
        </w:rPr>
        <w:t>（图4：财政拨款收、支决算总计变动情况）（柱状图）</w:t>
      </w:r>
    </w:p>
    <w:p>
      <w:pPr>
        <w:spacing w:line="600" w:lineRule="exact"/>
        <w:ind w:firstLine="640"/>
        <w:rPr>
          <w:rFonts w:ascii="仿宋" w:eastAsia="仿宋" w:hAnsi="仿宋"/>
          <w:b/>
          <w:color w:val="00B050"/>
          <w:sz w:val="32"/>
          <w:szCs w:val="32"/>
        </w:rPr>
      </w:pPr>
    </w:p>
    <w:p>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9年一般公共预算财政拨款支出52.44万元，占本年支出合计的100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8年相比，一般公共预算财政拨款减少2.29万元，下降4.18</w:t>
      </w:r>
      <w:r>
        <w:rPr>
          <w:rFonts w:ascii="仿宋" w:eastAsia="仿宋" w:hAnsi="仿宋"/>
          <w:color w:val="000000"/>
          <w:sz w:val="32"/>
          <w:szCs w:val="32"/>
        </w:rPr>
        <w:t>%</w:t>
      </w:r>
      <w:r>
        <w:rPr>
          <w:rFonts w:ascii="仿宋" w:eastAsia="仿宋" w:hAnsi="仿宋" w:hint="eastAsia"/>
          <w:color w:val="000000"/>
          <w:sz w:val="32"/>
          <w:szCs w:val="32"/>
        </w:rPr>
        <w:t>。主要变动原因是青少年服务平台建设经费减少。</w:t>
      </w:r>
    </w:p>
    <w:p>
      <w:pPr>
        <w:spacing w:line="600" w:lineRule="exact"/>
        <w:ind w:firstLineChars="200" w:firstLine="420"/>
        <w:rPr>
          <w:rFonts w:ascii="仿宋" w:eastAsia="仿宋" w:hAnsi="仿宋"/>
          <w:color w:val="000000"/>
          <w:sz w:val="32"/>
          <w:szCs w:val="32"/>
        </w:rPr>
      </w:pPr>
      <w:r>
        <w:drawing>
          <wp:anchor distT="0" distB="0" distL="114300" distR="114300" simplePos="0" relativeHeight="26" behindDoc="0" locked="0" layoutInCell="1" hidden="0" allowOverlap="1">
            <wp:simplePos x="0" y="0"/>
            <wp:positionH relativeFrom="column">
              <wp:posOffset>271145</wp:posOffset>
            </wp:positionH>
            <wp:positionV relativeFrom="paragraph">
              <wp:posOffset>129540</wp:posOffset>
            </wp:positionV>
            <wp:extent cx="5269230" cy="2480945"/>
            <wp:effectExtent l="0" t="0" r="15" b="7"/>
            <wp:wrapSquare wrapText="bothSides"/>
            <wp:docPr id="5" name="图表 1"/>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hint="eastAsia"/>
          <w:color w:val="000000"/>
          <w:sz w:val="32"/>
          <w:szCs w:val="32"/>
        </w:rPr>
        <w:t>（图5：一般公共预算财政拨款支出决算变动情况）（柱状图）</w:t>
      </w: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9年一般公共预算财政拨款支出52.44万元，主要用于以下方面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支出35.04万元，占66.82</w:t>
      </w:r>
      <w:r>
        <w:rPr>
          <w:rFonts w:ascii="仿宋" w:eastAsia="仿宋" w:hAnsi="仿宋"/>
          <w:color w:val="000000"/>
          <w:sz w:val="32"/>
          <w:szCs w:val="32"/>
        </w:rPr>
        <w:t>%</w:t>
      </w:r>
      <w:r>
        <w:rPr>
          <w:rFonts w:ascii="仿宋" w:eastAsia="仿宋" w:hAnsi="仿宋" w:hint="eastAsia"/>
          <w:color w:val="000000"/>
          <w:sz w:val="32"/>
          <w:szCs w:val="32"/>
        </w:rPr>
        <w:t>；农林水</w:t>
      </w:r>
      <w:r>
        <w:rPr>
          <w:rFonts w:ascii="仿宋" w:eastAsia="仿宋" w:hAnsi="仿宋" w:hint="eastAsia"/>
          <w:b/>
          <w:color w:val="000000"/>
          <w:sz w:val="32"/>
          <w:szCs w:val="32"/>
        </w:rPr>
        <w:t>（类）8.6</w:t>
      </w:r>
      <w:r>
        <w:rPr>
          <w:rFonts w:ascii="仿宋" w:eastAsia="仿宋" w:hAnsi="仿宋" w:hint="eastAsia"/>
          <w:color w:val="000000"/>
          <w:sz w:val="32"/>
          <w:szCs w:val="32"/>
        </w:rPr>
        <w:t>万元，占16.4</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支出4.3万元，占8.2</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卫生健康支出1.73</w:t>
      </w:r>
      <w:r>
        <w:rPr>
          <w:rFonts w:ascii="仿宋" w:eastAsia="仿宋" w:hAnsi="仿宋" w:hint="eastAsia"/>
          <w:color w:val="000000"/>
          <w:sz w:val="32"/>
          <w:szCs w:val="32"/>
        </w:rPr>
        <w:t>万元，占3.3</w:t>
      </w:r>
      <w:r>
        <w:rPr>
          <w:rFonts w:ascii="仿宋" w:eastAsia="仿宋" w:hAnsi="仿宋"/>
          <w:color w:val="000000"/>
          <w:sz w:val="32"/>
          <w:szCs w:val="32"/>
        </w:rPr>
        <w:t>%</w:t>
      </w:r>
      <w:r>
        <w:rPr>
          <w:rFonts w:ascii="仿宋" w:eastAsia="仿宋" w:hAnsi="仿宋" w:hint="eastAsia"/>
          <w:color w:val="000000"/>
          <w:sz w:val="32"/>
          <w:szCs w:val="32"/>
        </w:rPr>
        <w:t>；住房保障支出2.77万元，占5.28</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420"/>
        <w:rPr>
          <w:rFonts w:ascii="仿宋" w:eastAsia="仿宋" w:hAnsi="仿宋"/>
          <w:color w:val="000000"/>
          <w:sz w:val="32"/>
          <w:szCs w:val="32"/>
        </w:rPr>
      </w:pPr>
      <w:r>
        <w:drawing>
          <wp:anchor distT="0" distB="0" distL="114300" distR="114300" simplePos="0" relativeHeight="28" behindDoc="0" locked="0" layoutInCell="1" hidden="0" allowOverlap="1">
            <wp:simplePos x="0" y="0"/>
            <wp:positionH relativeFrom="column">
              <wp:posOffset>271145</wp:posOffset>
            </wp:positionH>
            <wp:positionV relativeFrom="paragraph">
              <wp:posOffset>8255</wp:posOffset>
            </wp:positionV>
            <wp:extent cx="5104765" cy="2272665"/>
            <wp:effectExtent l="0" t="0" r="0" b="0"/>
            <wp:wrapTight wrapText="bothSides">
              <wp:wrapPolygon>
                <wp:start x="-18" y="-85"/>
                <wp:lineTo x="-18" y="21550"/>
                <wp:lineTo x="21583" y="21550"/>
                <wp:lineTo x="21583" y="-85"/>
                <wp:lineTo x="-18" y="-85"/>
              </wp:wrapPolygon>
            </wp:wrapTight>
            <wp:docPr id="6" name="图表 1"/>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FF0000"/>
          <w:sz w:val="32"/>
          <w:szCs w:val="32"/>
        </w:rPr>
      </w:pPr>
      <w:bookmarkStart w:id="38" w:name="_Toc15377213"/>
      <w:bookmarkStart w:id="39" w:name="_Toc15377444"/>
      <w:bookmarkStart w:id="40" w:name="_Toc15378460"/>
      <w:r>
        <w:rPr>
          <w:rFonts w:ascii="仿宋" w:eastAsia="仿宋" w:hAnsi="仿宋" w:hint="eastAsia"/>
          <w:b/>
          <w:color w:val="000000"/>
          <w:sz w:val="32"/>
          <w:szCs w:val="32"/>
        </w:rPr>
        <w:t>2019年般公共预算支出决算数为52.44万元</w:t>
      </w:r>
      <w:r>
        <w:rPr>
          <w:rFonts w:ascii="仿宋" w:eastAsia="仿宋" w:hAnsi="仿宋" w:hint="eastAsia"/>
          <w:color w:val="000000"/>
          <w:sz w:val="32"/>
          <w:szCs w:val="32"/>
        </w:rPr>
        <w:t>，</w:t>
      </w:r>
      <w:r>
        <w:rPr>
          <w:rStyle w:val="23"/>
          <w:rFonts w:ascii="仿宋" w:eastAsia="仿宋" w:hAnsi="仿宋" w:hint="eastAsia"/>
          <w:bCs/>
          <w:color w:val="000000"/>
          <w:sz w:val="32"/>
          <w:szCs w:val="32"/>
        </w:rPr>
        <w:t>完成预算100</w:t>
      </w:r>
      <w:r>
        <w:rPr>
          <w:rStyle w:val="23"/>
          <w:rFonts w:ascii="仿宋" w:eastAsia="仿宋" w:hAnsi="仿宋"/>
          <w:bCs/>
          <w:color w:val="000000"/>
          <w:sz w:val="32"/>
          <w:szCs w:val="32"/>
        </w:rPr>
        <w:t>%</w:t>
      </w:r>
      <w:r>
        <w:rPr>
          <w:rStyle w:val="23"/>
          <w:rFonts w:ascii="仿宋" w:eastAsia="仿宋" w:hAnsi="仿宋" w:hint="eastAsia"/>
          <w:bCs/>
          <w:color w:val="000000"/>
          <w:sz w:val="32"/>
          <w:szCs w:val="32"/>
        </w:rPr>
        <w:t>。其中：</w:t>
      </w:r>
      <w:bookmarkEnd w:id="38"/>
      <w:bookmarkEnd w:id="39"/>
      <w:bookmarkEnd w:id="40"/>
    </w:p>
    <w:p>
      <w:pPr>
        <w:spacing w:line="600" w:lineRule="exact"/>
        <w:ind w:firstLineChars="200" w:firstLine="640"/>
        <w:rPr>
          <w:rFonts w:ascii="仿宋" w:eastAsia="仿宋" w:hAnsi="仿宋"/>
          <w:b/>
          <w:color w:val="000000"/>
          <w:sz w:val="32"/>
          <w:szCs w:val="32"/>
        </w:rPr>
      </w:pPr>
      <w:r>
        <w:rPr>
          <w:rStyle w:val="23"/>
          <w:rFonts w:ascii="仿宋" w:eastAsia="仿宋" w:hAnsi="仿宋"/>
          <w:bCs/>
          <w:color w:val="000000"/>
          <w:sz w:val="32"/>
          <w:szCs w:val="32"/>
        </w:rPr>
        <w:t>1.</w:t>
      </w:r>
      <w:r>
        <w:rPr>
          <w:rStyle w:val="23"/>
          <w:rFonts w:ascii="仿宋" w:eastAsia="仿宋" w:hAnsi="仿宋" w:hint="eastAsia"/>
          <w:bCs/>
          <w:color w:val="000000"/>
          <w:sz w:val="32"/>
          <w:szCs w:val="32"/>
        </w:rPr>
        <w:t>一般公共服务（类）群众团体（款）行政运行（项）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支出决算为32.48万元，完成预算100.8</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，决算数大于预算数的主要原因是2018年末结转，即2018年年末追加基本工资调标支出。</w:t>
      </w:r>
    </w:p>
    <w:p>
      <w:pPr>
        <w:spacing w:line="600" w:lineRule="exact"/>
        <w:ind w:firstLineChars="200" w:firstLine="640"/>
        <w:rPr>
          <w:rFonts w:ascii="仿宋" w:eastAsia="仿宋" w:hAnsi="仿宋"/>
          <w:b/>
          <w:color w:val="000000"/>
          <w:sz w:val="32"/>
          <w:szCs w:val="32"/>
        </w:rPr>
      </w:pPr>
      <w:r>
        <w:rPr>
          <w:rStyle w:val="23"/>
          <w:rFonts w:ascii="仿宋" w:eastAsia="仿宋" w:hAnsi="仿宋" w:hint="eastAsia"/>
          <w:bCs/>
          <w:color w:val="000000"/>
          <w:sz w:val="32"/>
          <w:szCs w:val="32"/>
        </w:rPr>
        <w:t>2、一般公共服务（类）群众团体（款）一般行政管理事务（项）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支出决算为2万元，完成预算100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，决算数等于预算数。</w:t>
      </w:r>
    </w:p>
    <w:p>
      <w:pPr>
        <w:spacing w:line="600" w:lineRule="exact"/>
        <w:ind w:firstLineChars="200" w:firstLine="640"/>
        <w:rPr>
          <w:rFonts w:ascii="仿宋" w:eastAsia="仿宋" w:hAnsi="仿宋"/>
          <w:b/>
          <w:color w:val="000000"/>
          <w:sz w:val="32"/>
          <w:szCs w:val="32"/>
        </w:rPr>
      </w:pPr>
      <w:r>
        <w:rPr>
          <w:rStyle w:val="23"/>
          <w:rFonts w:ascii="仿宋" w:eastAsia="仿宋" w:hAnsi="仿宋" w:hint="eastAsia"/>
          <w:b w:val="0"/>
          <w:bCs/>
          <w:color w:val="000000"/>
          <w:sz w:val="32"/>
          <w:szCs w:val="32"/>
        </w:rPr>
        <w:t>3、</w:t>
      </w:r>
      <w:r>
        <w:rPr>
          <w:rStyle w:val="23"/>
          <w:rFonts w:ascii="仿宋" w:eastAsia="仿宋" w:hAnsi="仿宋" w:hint="eastAsia"/>
          <w:bCs/>
          <w:color w:val="000000"/>
          <w:sz w:val="32"/>
          <w:szCs w:val="32"/>
        </w:rPr>
        <w:t>一般公共服务（类）群众团体（款）其他群众团体事务（项）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支出决算为0.56万元，年初无预算，决算数大于预算数的主要原因是2018年末结转，即青少年服务建设平台支出。</w:t>
      </w:r>
    </w:p>
    <w:p>
      <w:pPr>
        <w:numPr>
          <w:ilvl w:val="0"/>
          <w:numId w:val="2"/>
        </w:numPr>
        <w:spacing w:line="600" w:lineRule="exact"/>
        <w:ind w:left="0" w:firstLineChars="200" w:firstLine="640"/>
        <w:rPr>
          <w:rStyle w:val="23"/>
          <w:rFonts w:ascii="仿宋" w:eastAsia="仿宋" w:hAnsi="仿宋"/>
          <w:b w:val="0"/>
          <w:bCs/>
          <w:color w:val="000000"/>
          <w:sz w:val="32"/>
          <w:szCs w:val="32"/>
        </w:rPr>
      </w:pPr>
      <w:r>
        <w:rPr>
          <w:rStyle w:val="23"/>
          <w:rFonts w:ascii="仿宋" w:eastAsia="仿宋" w:hAnsi="仿宋" w:hint="eastAsia"/>
          <w:bCs/>
          <w:color w:val="000000"/>
          <w:sz w:val="32"/>
          <w:szCs w:val="32"/>
        </w:rPr>
        <w:t>社会保障和就业（类）行政事业单位离退休（款）机关事业单位基本养老保险缴费（项）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支出决算为4.19万元，完成预算100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 xml:space="preserve">，决算数等于预算数。 </w:t>
      </w:r>
    </w:p>
    <w:p>
      <w:pPr>
        <w:spacing w:line="600" w:lineRule="exact"/>
        <w:ind w:firstLineChars="200" w:firstLine="640"/>
        <w:rPr>
          <w:rStyle w:val="23"/>
          <w:rFonts w:ascii="仿宋" w:eastAsia="仿宋" w:hAnsi="仿宋"/>
          <w:b w:val="0"/>
          <w:bCs/>
          <w:color w:val="000000"/>
          <w:sz w:val="32"/>
          <w:szCs w:val="32"/>
        </w:rPr>
      </w:pPr>
      <w:r>
        <w:rPr>
          <w:rStyle w:val="23"/>
          <w:rFonts w:ascii="仿宋" w:eastAsia="仿宋" w:hAnsi="仿宋" w:hint="eastAsia"/>
          <w:bCs/>
          <w:color w:val="000000"/>
          <w:sz w:val="32"/>
          <w:szCs w:val="32"/>
        </w:rPr>
        <w:t>5、社会保障和就业（类）其他社会保障和就业（款）其他社会保障和就业（项）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支出决算为0.11万元，完成预算100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 xml:space="preserve">，决算数等于预算数。  </w:t>
      </w:r>
    </w:p>
    <w:p>
      <w:pPr>
        <w:spacing w:line="600" w:lineRule="exact"/>
        <w:ind w:firstLineChars="200" w:firstLine="640"/>
        <w:rPr>
          <w:rStyle w:val="23"/>
          <w:rFonts w:ascii="仿宋" w:eastAsia="仿宋" w:hAnsi="仿宋"/>
          <w:b w:val="0"/>
          <w:bCs/>
          <w:color w:val="000000"/>
          <w:sz w:val="32"/>
          <w:szCs w:val="32"/>
        </w:rPr>
      </w:pPr>
      <w:r>
        <w:rPr>
          <w:rStyle w:val="23"/>
          <w:rFonts w:ascii="仿宋" w:eastAsia="仿宋" w:hAnsi="仿宋" w:hint="eastAsia"/>
          <w:bCs/>
          <w:color w:val="000000"/>
          <w:sz w:val="32"/>
          <w:szCs w:val="32"/>
        </w:rPr>
        <w:t>6</w:t>
      </w:r>
      <w:r>
        <w:rPr>
          <w:rStyle w:val="23"/>
          <w:rFonts w:ascii="仿宋" w:eastAsia="仿宋" w:hAnsi="仿宋"/>
          <w:bCs/>
          <w:color w:val="000000"/>
          <w:sz w:val="32"/>
          <w:szCs w:val="32"/>
        </w:rPr>
        <w:t>.</w:t>
      </w:r>
      <w:r>
        <w:rPr>
          <w:rStyle w:val="23"/>
          <w:rFonts w:ascii="仿宋" w:eastAsia="仿宋" w:hAnsi="仿宋" w:hint="eastAsia"/>
          <w:bCs/>
          <w:color w:val="000000"/>
          <w:sz w:val="32"/>
          <w:szCs w:val="32"/>
        </w:rPr>
        <w:t>医疗卫生与计划生育（类）行政事业单位医疗（款）行政单位医疗（项）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支出决算为1.73万元，完成预算100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，决算数等于预算数。</w:t>
      </w:r>
    </w:p>
    <w:p>
      <w:pPr>
        <w:spacing w:line="600" w:lineRule="exact"/>
        <w:ind w:firstLineChars="200" w:firstLine="640"/>
        <w:rPr>
          <w:rStyle w:val="23"/>
          <w:rFonts w:ascii="仿宋" w:eastAsia="仿宋" w:hAnsi="仿宋"/>
          <w:b w:val="0"/>
          <w:bCs/>
          <w:color w:val="000000"/>
          <w:sz w:val="32"/>
          <w:szCs w:val="32"/>
        </w:rPr>
      </w:pPr>
      <w:r>
        <w:rPr>
          <w:rStyle w:val="23"/>
          <w:rFonts w:ascii="仿宋" w:eastAsia="仿宋" w:hAnsi="仿宋" w:hint="eastAsia"/>
          <w:b w:val="0"/>
          <w:bCs/>
          <w:color w:val="000000"/>
          <w:sz w:val="32"/>
          <w:szCs w:val="32"/>
        </w:rPr>
        <w:t>7.</w:t>
      </w:r>
      <w:r>
        <w:rPr>
          <w:rStyle w:val="23"/>
          <w:rFonts w:ascii="仿宋" w:eastAsia="仿宋" w:hAnsi="仿宋" w:hint="eastAsia"/>
          <w:color w:val="000000"/>
          <w:sz w:val="32"/>
          <w:szCs w:val="32"/>
        </w:rPr>
        <w:t>农林水（类）扶贫（款）其他扶贫（项）</w:t>
      </w:r>
      <w:r>
        <w:rPr>
          <w:rStyle w:val="23"/>
          <w:rFonts w:ascii="仿宋" w:eastAsia="仿宋" w:hAnsi="仿宋" w:hint="eastAsia"/>
          <w:b w:val="0"/>
          <w:bCs/>
          <w:color w:val="000000"/>
          <w:sz w:val="32"/>
          <w:szCs w:val="32"/>
        </w:rPr>
        <w:t>支出决算为8.6万元，完成预算100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，决算数等于预算数。</w:t>
      </w:r>
    </w:p>
    <w:p>
      <w:pPr>
        <w:spacing w:line="600" w:lineRule="exact"/>
        <w:ind w:firstLineChars="200" w:firstLine="640"/>
        <w:rPr>
          <w:rFonts w:ascii="仿宋" w:eastAsia="仿宋" w:hAnsi="仿宋"/>
          <w:b/>
          <w:color w:val="000000"/>
          <w:sz w:val="32"/>
          <w:szCs w:val="32"/>
        </w:rPr>
      </w:pPr>
      <w:r>
        <w:rPr>
          <w:rStyle w:val="23"/>
          <w:rFonts w:ascii="仿宋" w:eastAsia="仿宋" w:hAnsi="仿宋" w:hint="eastAsia"/>
          <w:bCs/>
          <w:color w:val="000000"/>
          <w:sz w:val="32"/>
          <w:szCs w:val="32"/>
        </w:rPr>
        <w:t>8</w:t>
      </w:r>
      <w:r>
        <w:rPr>
          <w:rStyle w:val="23"/>
          <w:rFonts w:ascii="仿宋" w:eastAsia="仿宋" w:hAnsi="仿宋"/>
          <w:bCs/>
          <w:color w:val="000000"/>
          <w:sz w:val="32"/>
          <w:szCs w:val="32"/>
        </w:rPr>
        <w:t>.</w:t>
      </w:r>
      <w:r>
        <w:rPr>
          <w:rStyle w:val="23"/>
          <w:rFonts w:ascii="仿宋" w:eastAsia="仿宋" w:hAnsi="仿宋" w:hint="eastAsia"/>
          <w:bCs/>
          <w:color w:val="000000"/>
          <w:sz w:val="32"/>
          <w:szCs w:val="32"/>
        </w:rPr>
        <w:t>住房保障（类）住房改革（款）住房公积金（项）</w:t>
      </w:r>
      <w:r>
        <w:rPr>
          <w:rStyle w:val="23"/>
          <w:rFonts w:ascii="仿宋" w:eastAsia="仿宋" w:hAnsi="仿宋"/>
          <w:bCs/>
          <w:color w:val="000000"/>
          <w:sz w:val="32"/>
          <w:szCs w:val="32"/>
        </w:rPr>
        <w:t>:</w:t>
      </w:r>
      <w:r>
        <w:rPr>
          <w:rStyle w:val="23"/>
          <w:rFonts w:ascii="仿宋" w:eastAsia="仿宋" w:hAnsi="仿宋" w:hint="eastAsia"/>
          <w:b w:val="0"/>
          <w:bCs/>
          <w:color w:val="000000"/>
          <w:sz w:val="32"/>
          <w:szCs w:val="32"/>
        </w:rPr>
        <w:t>支出决算为2.77万元，完成预算100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，决算数等于预算数。</w:t>
      </w:r>
    </w:p>
    <w:p>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9年一般公共预算财政拨款基本支出41.28万元，其中：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37.81万元，主要包括：基本工资9.2万元、津贴补贴6.89万元、奖金12.62万元、伙食补助费0万元、绩效工资0万元、机关事业单位基本养老保险缴费4.19万元、职业年金缴费0万元、职工基本医疗保险缴费1.73万元、其他社会保障缴费0.11万元、其他工资福利支出0万元、离休费0万元、退休费0万元、抚恤金0万元、生活补助0.3万元、医疗费补助0万元、奖励金0万元、住房公积金2.77万元、其他对个人和家庭的补助支出0万元等。</w:t>
      </w:r>
      <w:r>
        <w:rPr>
          <w:rFonts w:ascii="仿宋" w:eastAsia="仿宋" w:hAnsi="仿宋"/>
          <w:color w:val="000000"/>
          <w:sz w:val="32"/>
          <w:szCs w:val="32"/>
        </w:rPr>
        <w:br/>
      </w:r>
      <w:r>
        <w:rPr>
          <w:rFonts w:ascii="仿宋" w:eastAsia="仿宋" w:hAnsi="仿宋" w:hint="eastAsia"/>
          <w:color w:val="000000"/>
          <w:sz w:val="32"/>
          <w:szCs w:val="32"/>
        </w:rPr>
        <w:t>　　日常公用经费3.47万元，主要包括：办公费0.1万元、印刷费0.04万元、咨询费0万元、手续费0万元、水费0.1万元、电费0.13万元、邮电费0.1万元、取暖费0万元、物业管理费0.01万元、差旅费0.12万元、因公出国（境）费用0万元、维修（护）费0.06万元、租赁费0万元、会议费0.04万元、培训费0.13万元、公务接待费0万元、劳务费0万元、委托业务费0万元、工会经费0.35万元、福利费0.25万元、公务用车运行维护费0万元、其他交通费2.04万元、税金及附加费用0万元、其他商品和服务支出0万元、办公设备购置0万元、专用设备购置0万元、信息网络及软件购置更新0万元、其他资本性支出0万元等。</w:t>
      </w:r>
    </w:p>
    <w:p>
      <w:pPr>
        <w:spacing w:line="600" w:lineRule="exact"/>
        <w:ind w:firstLine="640"/>
        <w:outlineLvl w:val="1"/>
        <w:rPr>
          <w:rStyle w:val="2Char"/>
          <w:rFonts w:ascii="黑体" w:eastAsia="黑体" w:hAnsi="黑体"/>
          <w:b w:val="0"/>
        </w:rPr>
      </w:pPr>
      <w:bookmarkStart w:id="43" w:name="_Toc15377215"/>
      <w:bookmarkStart w:id="44"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9年“三公”经费财政拨款支出决算为0.2万元，完成预算80</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，决算数小于预算数的主要原因是厉行节约。</w:t>
      </w:r>
    </w:p>
    <w:p>
      <w:pPr>
        <w:spacing w:line="600" w:lineRule="exact"/>
        <w:ind w:firstLineChars="200"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pPr>
        <w:spacing w:line="600" w:lineRule="exact"/>
        <w:ind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；公务接待费支出决算0.2万元，占0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 w:eastAsia="仿宋" w:hAnsi="仿宋" w:hint="eastAsia"/>
          <w:color w:val="000000"/>
          <w:sz w:val="32"/>
          <w:szCs w:val="32"/>
        </w:rPr>
      </w:pPr>
    </w:p>
    <w:p>
      <w:pPr>
        <w:spacing w:line="600" w:lineRule="exact"/>
        <w:ind w:firstLine="640"/>
        <w:rPr>
          <w:rFonts w:ascii="仿宋" w:eastAsia="仿宋" w:hAnsi="仿宋" w:hint="eastAsia"/>
          <w:color w:val="000000"/>
          <w:sz w:val="32"/>
          <w:szCs w:val="32"/>
        </w:rPr>
      </w:pPr>
      <w:r>
        <w:rPr>
          <w:rFonts w:ascii="仿宋" w:eastAsia="仿宋" w:hAnsi="仿宋" w:hint="eastAsia"/>
          <w:color w:val="000000"/>
          <w:sz w:val="32"/>
          <w:szCs w:val="32"/>
        </w:rPr>
        <w:drawing>
          <wp:anchor distT="0" distB="0" distL="114300" distR="114300" simplePos="0" relativeHeight="30" behindDoc="0" locked="0" layoutInCell="1" hidden="0" allowOverlap="1">
            <wp:simplePos x="0" y="0"/>
            <wp:positionH relativeFrom="column">
              <wp:posOffset>311150</wp:posOffset>
            </wp:positionH>
            <wp:positionV relativeFrom="paragraph">
              <wp:posOffset>63499</wp:posOffset>
            </wp:positionV>
            <wp:extent cx="4878704" cy="2197100"/>
            <wp:effectExtent l="0" t="0" r="0" b="0"/>
            <wp:wrapTight wrapText="bothSides">
              <wp:wrapPolygon>
                <wp:start x="-28" y="-63"/>
                <wp:lineTo x="-28" y="21567"/>
                <wp:lineTo x="21563" y="21567"/>
                <wp:lineTo x="21563" y="-63"/>
                <wp:lineTo x="-28" y="-63"/>
              </wp:wrapPolygon>
            </wp:wrapTight>
            <wp:docPr id="7" name="图表 1"/>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仿宋" w:eastAsia="仿宋" w:hAnsi="仿宋" w:hint="eastAsia"/>
          <w:color w:val="000000"/>
          <w:sz w:val="32"/>
          <w:szCs w:val="32"/>
          <w:lang w:val="en-US" w:eastAsia="zh-CN"/>
        </w:rPr>
        <w:t xml:space="preserve">  </w:t>
      </w:r>
      <w:r>
        <w:rPr>
          <w:rFonts w:ascii="仿宋" w:eastAsia="仿宋" w:hAnsi="仿宋" w:hint="eastAsia"/>
          <w:color w:val="000000"/>
          <w:sz w:val="32"/>
          <w:szCs w:val="32"/>
        </w:rPr>
        <w:t>（图7：“三公”经费财政拨款支出结构）（饼状图）</w:t>
      </w:r>
    </w:p>
    <w:p>
      <w:pPr>
        <w:spacing w:line="600" w:lineRule="exact"/>
        <w:ind w:firstLine="640"/>
        <w:rPr>
          <w:rFonts w:ascii="仿宋" w:eastAsia="仿宋" w:hAnsi="仿宋"/>
          <w:color w:val="000000"/>
          <w:sz w:val="32"/>
          <w:szCs w:val="32"/>
        </w:rPr>
      </w:pPr>
    </w:p>
    <w:p>
      <w:pPr>
        <w:numPr>
          <w:ilvl w:val="0"/>
          <w:numId w:val="3"/>
        </w:numPr>
        <w:spacing w:line="600" w:lineRule="exact"/>
        <w:ind w:left="0" w:firstLine="640"/>
        <w:rPr>
          <w:rFonts w:ascii="仿宋_GB2312" w:eastAsia="仿宋_GB2312"/>
          <w:color w:val="000000"/>
          <w:sz w:val="32"/>
          <w:szCs w:val="32"/>
        </w:rPr>
      </w:pPr>
      <w:r>
        <w:rPr>
          <w:rFonts w:ascii="仿宋_GB2312" w:eastAsia="仿宋_GB2312" w:hint="eastAsia"/>
          <w:b/>
          <w:color w:val="000000"/>
          <w:sz w:val="32"/>
          <w:szCs w:val="32"/>
        </w:rPr>
        <w:t>因公出国（境）经费支出0</w:t>
      </w:r>
      <w:r>
        <w:rPr>
          <w:rFonts w:ascii="仿宋_GB2312" w:eastAsia="仿宋_GB2312" w:hint="eastAsia"/>
          <w:color w:val="000000"/>
          <w:sz w:val="32"/>
          <w:szCs w:val="32"/>
        </w:rPr>
        <w:t>万元，</w:t>
      </w:r>
      <w:r>
        <w:rPr>
          <w:rStyle w:val="23"/>
          <w:rFonts w:ascii="仿宋" w:eastAsia="仿宋" w:hAnsi="仿宋" w:hint="eastAsia"/>
          <w:b w:val="0"/>
          <w:bCs/>
          <w:color w:val="000000"/>
          <w:sz w:val="32"/>
          <w:szCs w:val="32"/>
        </w:rPr>
        <w:t>完成预算0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公务接待费支出0.2</w:t>
      </w:r>
      <w:r>
        <w:rPr>
          <w:rFonts w:ascii="仿宋_GB2312" w:eastAsia="仿宋_GB2312" w:hint="eastAsia"/>
          <w:color w:val="000000"/>
          <w:sz w:val="32"/>
          <w:szCs w:val="32"/>
        </w:rPr>
        <w:t>万元，</w:t>
      </w:r>
      <w:r>
        <w:rPr>
          <w:rStyle w:val="23"/>
          <w:rFonts w:ascii="仿宋" w:eastAsia="仿宋" w:hAnsi="仿宋" w:hint="eastAsia"/>
          <w:b w:val="0"/>
          <w:bCs/>
          <w:color w:val="000000"/>
          <w:sz w:val="32"/>
          <w:szCs w:val="32"/>
        </w:rPr>
        <w:t>完成预算80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8年减少0.05万元，下降20</w:t>
      </w:r>
      <w:r>
        <w:rPr>
          <w:rFonts w:ascii="仿宋_GB2312" w:eastAsia="仿宋_GB2312"/>
          <w:color w:val="000000"/>
          <w:sz w:val="32"/>
          <w:szCs w:val="32"/>
        </w:rPr>
        <w:t>%</w:t>
      </w:r>
      <w:r>
        <w:rPr>
          <w:rFonts w:ascii="仿宋_GB2312" w:eastAsia="仿宋_GB2312" w:hint="eastAsia"/>
          <w:color w:val="000000"/>
          <w:sz w:val="32"/>
          <w:szCs w:val="32"/>
        </w:rPr>
        <w:t>。主要原因是厉行节约。其中：</w:t>
      </w:r>
    </w:p>
    <w:p>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国内公务接待支出0.2</w:t>
      </w:r>
      <w:r>
        <w:rPr>
          <w:rFonts w:ascii="仿宋_GB2312" w:eastAsia="仿宋_GB2312" w:hint="eastAsia"/>
          <w:color w:val="000000"/>
          <w:sz w:val="32"/>
          <w:szCs w:val="32"/>
        </w:rPr>
        <w:t>万元，主要用于执行公务、开展业务活动开支的交通费、住宿费、用餐费等。国内公务接待1批次，30人次（不包括陪同人员），共计支出0.2万元，具体内容包括志愿者活动支出。</w:t>
      </w:r>
    </w:p>
    <w:p>
      <w:pPr>
        <w:spacing w:line="600" w:lineRule="exact"/>
        <w:ind w:firstLineChars="200" w:firstLine="640"/>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w:t>
      </w:r>
    </w:p>
    <w:p>
      <w:pPr>
        <w:spacing w:line="600" w:lineRule="exact"/>
        <w:ind w:firstLineChars="200"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hint="eastAsia"/>
          <w:color w:val="000000"/>
          <w:sz w:val="32"/>
          <w:szCs w:val="32"/>
          <w:lang w:eastAsia="zh-CN"/>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r>
        <w:rPr>
          <w:rFonts w:ascii="仿宋_GB2312" w:eastAsia="仿宋_GB2312" w:hint="eastAsia"/>
          <w:color w:val="000000"/>
          <w:sz w:val="32"/>
          <w:szCs w:val="32"/>
          <w:lang w:eastAsia="zh-CN"/>
        </w:rPr>
        <w:t>。</w:t>
      </w:r>
    </w:p>
    <w:p>
      <w:pPr>
        <w:spacing w:line="600" w:lineRule="exact"/>
        <w:ind w:left="0" w:firstLineChars="200"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lang w:eastAsia="zh-CN"/>
        </w:rPr>
        <w:t>九、</w:t>
      </w:r>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pPr>
        <w:spacing w:line="600" w:lineRule="exact"/>
        <w:ind w:firstLineChars="200" w:firstLine="64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9年，利州区团委机关运行经费支出3.47万元，比</w:t>
      </w:r>
      <w:r>
        <w:rPr>
          <w:rFonts w:ascii="仿宋_GB2312" w:eastAsia="仿宋_GB2312"/>
          <w:color w:val="000000"/>
          <w:sz w:val="32"/>
          <w:szCs w:val="32"/>
        </w:rPr>
        <w:t>201</w:t>
      </w:r>
      <w:r>
        <w:rPr>
          <w:rFonts w:ascii="仿宋_GB2312" w:eastAsia="仿宋_GB2312" w:hint="eastAsia"/>
          <w:color w:val="000000"/>
          <w:sz w:val="32"/>
          <w:szCs w:val="32"/>
        </w:rPr>
        <w:t>8年减少1.68万元，下降32.62</w:t>
      </w:r>
      <w:r>
        <w:rPr>
          <w:rFonts w:ascii="仿宋_GB2312" w:eastAsia="仿宋_GB2312"/>
          <w:color w:val="000000"/>
          <w:sz w:val="32"/>
          <w:szCs w:val="32"/>
        </w:rPr>
        <w:t>%</w:t>
      </w:r>
      <w:r>
        <w:rPr>
          <w:rFonts w:ascii="仿宋_GB2312" w:eastAsia="仿宋_GB2312" w:hint="eastAsia"/>
          <w:color w:val="000000"/>
          <w:sz w:val="32"/>
          <w:szCs w:val="32"/>
        </w:rPr>
        <w:t>。主要原因是青少年服务平台建设经费。</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9年，利州区团委政府采购支出总额0万元，其中：政府采购货物支出0万元、政府采购工程支出0万元、政府采购服务支出0万元。授予中小企业合同金额0万元，占政府采购支出总额的0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日，利州区团委共有车辆0辆，其中：主要领导干部用车0辆、机要通信用车0辆、应急保障用车0辆、其他用车0辆，单价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pPr>
        <w:spacing w:line="58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根据预算绩效管理要求，本部门（单位）在年初预算编制阶段，组织对2个项目开展了预算事前绩效评估，对2个项目编制了绩效目标，预算执行过程中，选取2个项目开展绩效监控，年终执行完毕后，对2个项目开展了绩效目标完成情况梳理填报。</w:t>
      </w:r>
    </w:p>
    <w:p>
      <w:pPr>
        <w:spacing w:line="540" w:lineRule="exact"/>
        <w:ind w:firstLineChars="200" w:firstLine="640"/>
        <w:rPr>
          <w:rFonts w:ascii="华文仿宋" w:eastAsia="华文仿宋" w:hAnsi="华文仿宋"/>
          <w:color w:val="000000"/>
          <w:sz w:val="32"/>
          <w:szCs w:val="32"/>
        </w:rPr>
      </w:pPr>
      <w:r>
        <w:rPr>
          <w:rFonts w:ascii="仿宋_GB2312" w:eastAsia="仿宋_GB2312" w:cs="仿宋_GB2312" w:hAnsi="仿宋_GB2312" w:hint="eastAsia"/>
          <w:color w:val="000000"/>
          <w:sz w:val="32"/>
          <w:szCs w:val="32"/>
        </w:rPr>
        <w:t>本部门按要求对2019年部门整体支出开展绩效自评，从评价情况来看自评结果良好，全年基本支出保障了2个项目的正常运行和日常工作的正常开展，项目支出保障了重点工作的开展，各项支出均达到了预期的绩效管理目标。</w:t>
      </w:r>
      <w:r>
        <w:rPr>
          <w:rFonts w:ascii="仿宋_GB2312" w:eastAsia="仿宋_GB2312" w:hint="eastAsia"/>
          <w:color w:val="000000"/>
          <w:sz w:val="32"/>
          <w:szCs w:val="32"/>
        </w:rPr>
        <w:t>存在的问题：</w:t>
      </w:r>
      <w:r>
        <w:rPr>
          <w:rFonts w:ascii="仿宋_GB2312" w:eastAsia="仿宋_GB2312" w:cs="仿宋_GB2312" w:hAnsi="宋体" w:hint="eastAsia"/>
          <w:color w:val="000000"/>
          <w:sz w:val="32"/>
          <w:szCs w:val="32"/>
        </w:rPr>
        <w:t>一是绩效评价管理工作制度建设有待进一步加强，绩效管理缺乏系统性；二是</w:t>
      </w:r>
      <w:r>
        <w:rPr>
          <w:rFonts w:ascii="华文仿宋" w:eastAsia="华文仿宋" w:hAnsi="华文仿宋" w:hint="eastAsia"/>
          <w:color w:val="000000"/>
          <w:sz w:val="32"/>
          <w:szCs w:val="32"/>
        </w:rPr>
        <w:t>缺乏绩效评价专业人才，系统现有评价工作人员的知识体系和业务技能还需进一步提高，以适应绩效评价工作相关要求。</w:t>
      </w:r>
    </w:p>
    <w:p>
      <w:pPr>
        <w:spacing w:line="580" w:lineRule="exact"/>
        <w:ind w:firstLineChars="200" w:firstLine="640"/>
        <w:rPr>
          <w:rFonts w:ascii="仿宋_GB2312" w:eastAsia="仿宋_GB2312" w:cs="仿宋_GB2312" w:hAnsi="仿宋_GB2312"/>
          <w:color w:val="000000"/>
          <w:sz w:val="32"/>
          <w:szCs w:val="32"/>
        </w:rPr>
      </w:pPr>
      <w:r>
        <w:rPr>
          <w:rFonts w:ascii="仿宋_GB2312" w:eastAsia="仿宋_GB2312" w:hint="eastAsia"/>
          <w:color w:val="000000"/>
          <w:sz w:val="32"/>
          <w:szCs w:val="32"/>
        </w:rPr>
        <w:t>下一步改进措施：</w:t>
      </w:r>
      <w:r>
        <w:rPr>
          <w:rStyle w:val="23"/>
          <w:rFonts w:ascii="仿宋_GB2312" w:eastAsia="仿宋_GB2312" w:cs="仿宋_GB2312" w:hAnsi="宋体" w:hint="eastAsia"/>
          <w:color w:val="000000"/>
          <w:sz w:val="32"/>
          <w:szCs w:val="32"/>
        </w:rPr>
        <w:t>一是</w:t>
      </w:r>
      <w:r>
        <w:rPr>
          <w:rFonts w:ascii="仿宋_GB2312" w:eastAsia="仿宋_GB2312" w:cs="仿宋_GB2312" w:hAnsi="宋体" w:hint="eastAsia"/>
          <w:color w:val="000000"/>
          <w:sz w:val="32"/>
          <w:szCs w:val="32"/>
        </w:rPr>
        <w:t>进一步加强绩效评价管理制度建设；二是建立有效的绩效管理体系；</w:t>
      </w:r>
      <w:r>
        <w:rPr>
          <w:rStyle w:val="23"/>
          <w:rFonts w:ascii="仿宋_GB2312" w:eastAsia="仿宋_GB2312" w:cs="仿宋_GB2312" w:hAnsi="宋体" w:hint="eastAsia"/>
          <w:color w:val="000000"/>
          <w:sz w:val="32"/>
          <w:szCs w:val="32"/>
        </w:rPr>
        <w:t>三是</w:t>
      </w:r>
      <w:r>
        <w:rPr>
          <w:rFonts w:ascii="仿宋_GB2312" w:eastAsia="仿宋_GB2312" w:cs="仿宋_GB2312" w:hAnsi="宋体" w:hint="eastAsia"/>
          <w:color w:val="000000"/>
          <w:sz w:val="32"/>
          <w:szCs w:val="32"/>
        </w:rPr>
        <w:t>强化绩效管理数据分析，强化绩效管理数据运用；四是强化绩效评价专业技能的培训。</w:t>
      </w:r>
    </w:p>
    <w:p>
      <w:pPr>
        <w:numPr>
          <w:ilvl w:val="0"/>
          <w:numId w:val="4"/>
        </w:numPr>
        <w:spacing w:line="580" w:lineRule="exact"/>
        <w:ind w:left="0" w:firstLineChars="200" w:firstLine="640"/>
        <w:rPr>
          <w:rFonts w:ascii="仿宋_GB2312" w:eastAsia="仿宋_GB2312" w:cs="仿宋_GB2312" w:hAnsi="仿宋_GB2312"/>
          <w:color w:val="000000"/>
          <w:sz w:val="32"/>
          <w:szCs w:val="32"/>
        </w:rPr>
      </w:pPr>
      <w:r>
        <w:rPr>
          <w:rFonts w:ascii="仿宋" w:eastAsia="仿宋" w:cs="楷体_GB2312" w:hAnsi="仿宋" w:hint="eastAsia"/>
          <w:b/>
          <w:bCs/>
          <w:color w:val="000000"/>
          <w:sz w:val="32"/>
          <w:szCs w:val="32"/>
        </w:rPr>
        <w:t>项目绩效目标完成情况。</w:t>
      </w:r>
      <w:r>
        <w:rPr>
          <w:rFonts w:ascii="楷体_GB2312" w:eastAsia="楷体_GB2312" w:cs="楷体_GB2312" w:hAnsi="楷体_GB2312" w:hint="eastAsia"/>
          <w:b/>
          <w:bCs/>
          <w:color w:val="000000"/>
          <w:sz w:val="32"/>
          <w:szCs w:val="32"/>
        </w:rPr>
        <w:br/>
      </w:r>
      <w:r>
        <w:rPr>
          <w:rFonts w:ascii="仿宋_GB2312" w:eastAsia="仿宋_GB2312" w:cs="仿宋_GB2312" w:hAnsi="仿宋_GB2312" w:hint="eastAsia"/>
          <w:color w:val="000000"/>
          <w:sz w:val="32"/>
          <w:szCs w:val="32"/>
        </w:rPr>
        <w:t xml:space="preserve">    本部门在2019年度部门决算中反映“关爱留守儿童</w:t>
      </w:r>
      <w:r>
        <w:rPr>
          <w:rFonts w:ascii="仿宋_GB2312" w:eastAsia="仿宋_GB2312" w:cs="仿宋_GB2312" w:hAnsi="仿宋_GB2312"/>
          <w:color w:val="000000"/>
          <w:sz w:val="32"/>
          <w:szCs w:val="32"/>
        </w:rPr>
        <w:t>”</w:t>
      </w:r>
    </w:p>
    <w:p>
      <w:pPr>
        <w:spacing w:line="580" w:lineRule="exact"/>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“广元市利州区第三届四川村长论坛暨村社发展大会志愿服务</w:t>
      </w:r>
      <w:r>
        <w:rPr>
          <w:rFonts w:ascii="仿宋_GB2312" w:eastAsia="仿宋_GB2312" w:cs="仿宋_GB2312" w:hAnsi="仿宋_GB2312"/>
          <w:color w:val="000000"/>
          <w:sz w:val="32"/>
          <w:szCs w:val="32"/>
        </w:rPr>
        <w:t>”</w:t>
      </w:r>
      <w:r>
        <w:rPr>
          <w:rFonts w:ascii="仿宋_GB2312" w:eastAsia="仿宋_GB2312" w:cs="仿宋_GB2312" w:hAnsi="仿宋_GB2312" w:hint="eastAsia"/>
          <w:color w:val="000000"/>
          <w:sz w:val="32"/>
          <w:szCs w:val="32"/>
        </w:rPr>
        <w:t>等2个项目绩效目标实际完成情况。</w:t>
      </w:r>
    </w:p>
    <w:p>
      <w:pPr>
        <w:numPr>
          <w:ilvl w:val="0"/>
          <w:numId w:val="5"/>
        </w:numPr>
        <w:spacing w:line="580" w:lineRule="exact"/>
        <w:ind w:left="0"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“关爱留守儿童</w:t>
      </w:r>
      <w:r>
        <w:rPr>
          <w:rFonts w:ascii="仿宋_GB2312" w:eastAsia="仿宋_GB2312" w:cs="仿宋_GB2312" w:hAnsi="仿宋_GB2312"/>
          <w:color w:val="000000"/>
          <w:sz w:val="32"/>
          <w:szCs w:val="32"/>
        </w:rPr>
        <w:t>”</w:t>
      </w:r>
      <w:r>
        <w:rPr>
          <w:rFonts w:ascii="仿宋_GB2312" w:eastAsia="仿宋_GB2312" w:cs="仿宋_GB2312" w:hAnsi="仿宋_GB2312" w:hint="eastAsia"/>
          <w:color w:val="000000"/>
          <w:sz w:val="32"/>
          <w:szCs w:val="32"/>
        </w:rPr>
        <w:t>项目绩效目标完成情况综述。项目全年预算数2万元，执行数为2万元，完成预算的100%。通过项目实施，促进了当地留守儿童的身心健康成长，也为其他地方的留守儿童组织提供了一种借鉴模式。</w:t>
      </w:r>
    </w:p>
    <w:p>
      <w:pPr>
        <w:numPr>
          <w:ilvl w:val="0"/>
          <w:numId w:val="5"/>
        </w:numPr>
        <w:spacing w:line="580" w:lineRule="exact"/>
        <w:ind w:left="0"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发现的主要问题：资金拨付不及时。下一步改进措施：按时拨付资金。</w:t>
      </w:r>
    </w:p>
    <w:p>
      <w:pPr>
        <w:numPr>
          <w:ilvl w:val="0"/>
          <w:numId w:val="5"/>
        </w:numPr>
        <w:spacing w:line="580" w:lineRule="exact"/>
        <w:ind w:left="0"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“广元市利州区第三届四川村长论坛暨村社发展大会志愿服务</w:t>
      </w:r>
      <w:r>
        <w:rPr>
          <w:rFonts w:ascii="仿宋_GB2312" w:eastAsia="仿宋_GB2312" w:cs="仿宋_GB2312" w:hAnsi="仿宋_GB2312"/>
          <w:color w:val="000000"/>
          <w:sz w:val="32"/>
          <w:szCs w:val="32"/>
        </w:rPr>
        <w:t>”</w:t>
      </w:r>
      <w:r>
        <w:rPr>
          <w:rFonts w:ascii="仿宋_GB2312" w:eastAsia="仿宋_GB2312" w:cs="仿宋_GB2312" w:hAnsi="仿宋_GB2312" w:hint="eastAsia"/>
          <w:color w:val="000000"/>
          <w:sz w:val="32"/>
          <w:szCs w:val="32"/>
        </w:rPr>
        <w:t>项目绩效目标完成情况综述。项目全年预算数 8.6万元，执行数为8.6万元，完成预算的100%。</w:t>
      </w:r>
      <w:r>
        <w:rPr>
          <w:rFonts w:ascii="仿宋" w:eastAsia="仿宋" w:cs="仿宋" w:hAnsi="仿宋" w:hint="eastAsia"/>
          <w:sz w:val="32"/>
          <w:szCs w:val="32"/>
        </w:rPr>
        <w:t>四川村长论</w:t>
      </w:r>
      <w:r>
        <w:rPr>
          <w:rFonts w:ascii="仿宋" w:eastAsia="仿宋" w:cs="仿宋" w:hAnsi="仿宋" w:hint="eastAsia"/>
          <w:color w:val="000000"/>
          <w:sz w:val="32"/>
          <w:szCs w:val="32"/>
        </w:rPr>
        <w:t>坛是全国省级层面首个聚焦村级发展、助力乡村振兴的重要平台，我委积极助力脱贫攻坚，擦亮“青”字品牌，实施青春建功乡村振兴行动，充分发挥青年志愿者先锋模范引领作用，在全区范围内共计组织100余名志愿者圆满完成了大会交办的各项志愿服务工作，得到了参会领导和嘉宾的一致</w:t>
      </w:r>
      <w:r>
        <w:rPr>
          <w:rFonts w:ascii="仿宋_GB2312" w:eastAsia="仿宋_GB2312" w:cs="仿宋_GB2312" w:hAnsi="仿宋_GB2312" w:hint="eastAsia"/>
          <w:color w:val="000000"/>
          <w:sz w:val="32"/>
          <w:szCs w:val="32"/>
        </w:rPr>
        <w:t>好评。</w:t>
      </w:r>
    </w:p>
    <w:p>
      <w:pPr>
        <w:spacing w:line="580" w:lineRule="exact"/>
        <w:jc w:val="center"/>
        <w:rPr>
          <w:rFonts w:ascii="宋体" w:cs="宋体" w:hAnsi="宋体" w:hint="eastAsia"/>
          <w:b/>
          <w:bCs/>
          <w:color w:val="000000"/>
          <w:kern w:val="0"/>
          <w:sz w:val="36"/>
          <w:szCs w:val="36"/>
        </w:rPr>
      </w:pPr>
      <w:r>
        <w:rPr>
          <w:rFonts w:ascii="宋体" w:cs="宋体" w:hAnsi="宋体" w:hint="eastAsia"/>
          <w:b/>
          <w:bCs/>
          <w:color w:val="000000"/>
          <w:kern w:val="0"/>
          <w:sz w:val="36"/>
          <w:szCs w:val="36"/>
        </w:rPr>
        <w:t>项目绩效目标完成情况表</w:t>
      </w:r>
    </w:p>
    <w:p>
      <w:pPr>
        <w:spacing w:line="580" w:lineRule="exact"/>
        <w:jc w:val="center"/>
        <w:rPr>
          <w:rFonts w:ascii="仿宋_GB2312" w:eastAsia="仿宋_GB2312" w:cs="仿宋_GB2312" w:hAnsi="仿宋_GB2312"/>
          <w:sz w:val="32"/>
          <w:szCs w:val="32"/>
        </w:rPr>
      </w:pPr>
      <w:r>
        <w:rPr>
          <w:rFonts w:ascii="宋体" w:cs="宋体" w:hAnsi="宋体" w:hint="eastAsia"/>
          <w:color w:val="000000"/>
          <w:kern w:val="0"/>
          <w:sz w:val="36"/>
          <w:szCs w:val="36"/>
        </w:rPr>
        <w:t>(2019年度)</w:t>
      </w:r>
    </w:p>
    <w:tbl>
      <w:tblPr>
        <w:tblpPr w:leftFromText="180" w:rightFromText="180" w:vertAnchor="text" w:horzAnchor="page" w:tblpXSpec="center" w:tblpY="423"/>
        <w:tblOverlap w:val="never"/>
        <w:tblW w:w="5369"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008"/>
        <w:gridCol w:w="1130"/>
        <w:gridCol w:w="847"/>
        <w:gridCol w:w="1989"/>
        <w:gridCol w:w="1989"/>
        <w:gridCol w:w="1989"/>
      </w:tblGrid>
      <w:tr>
        <w:trPr>
          <w:trHeight w:val="276"/>
        </w:trPr>
        <w:tc>
          <w:tcPr>
            <w:tcW w:w="1667"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333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color w:val="000000"/>
                <w:sz w:val="32"/>
                <w:szCs w:val="32"/>
              </w:rPr>
              <w:t>“关爱留守儿童</w:t>
            </w:r>
            <w:r>
              <w:rPr>
                <w:rFonts w:ascii="仿宋_GB2312" w:eastAsia="仿宋_GB2312" w:cs="仿宋_GB2312" w:hAnsi="仿宋_GB2312"/>
                <w:color w:val="000000"/>
                <w:sz w:val="32"/>
                <w:szCs w:val="32"/>
              </w:rPr>
              <w:t>”</w:t>
            </w:r>
          </w:p>
        </w:tc>
      </w:tr>
      <w:tr>
        <w:trPr>
          <w:trHeight w:val="276"/>
        </w:trPr>
        <w:tc>
          <w:tcPr>
            <w:tcW w:w="1667"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333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团区委</w:t>
            </w:r>
          </w:p>
        </w:tc>
      </w:tr>
      <w:tr>
        <w:trPr>
          <w:trHeight w:val="276"/>
        </w:trPr>
        <w:tc>
          <w:tcPr>
            <w:tcW w:w="5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r>
              <w:rPr>
                <w:rFonts w:ascii="宋体" w:cs="宋体" w:hAnsi="宋体" w:hint="eastAsia"/>
                <w:color w:val="000000"/>
                <w:kern w:val="0"/>
                <w:sz w:val="24"/>
              </w:rPr>
              <w:t>预算执行情况</w:t>
            </w:r>
          </w:p>
          <w:p>
            <w:pPr>
              <w:widowControl/>
              <w:jc w:val="center"/>
              <w:textAlignment w:val="center"/>
              <w:rPr>
                <w:rFonts w:ascii="宋体" w:cs="宋体" w:hAnsi="宋体"/>
                <w:color w:val="000000"/>
                <w:sz w:val="24"/>
              </w:rPr>
            </w:pPr>
            <w:r>
              <w:rPr>
                <w:rFonts w:ascii="宋体" w:cs="宋体" w:hAnsi="宋体" w:hint="eastAsia"/>
                <w:color w:val="000000"/>
                <w:kern w:val="0"/>
                <w:sz w:val="24"/>
              </w:rPr>
              <w:t>(万元)</w:t>
            </w:r>
          </w:p>
        </w:tc>
        <w:tc>
          <w:tcPr>
            <w:tcW w:w="110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w:t>
            </w:r>
          </w:p>
        </w:tc>
      </w:tr>
      <w:tr>
        <w:trPr>
          <w:trHeight w:val="276"/>
        </w:trPr>
        <w:tc>
          <w:tcPr>
            <w:tcW w:w="5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0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2</w:t>
            </w:r>
          </w:p>
        </w:tc>
      </w:tr>
      <w:tr>
        <w:trPr>
          <w:trHeight w:val="1511"/>
        </w:trPr>
        <w:tc>
          <w:tcPr>
            <w:tcW w:w="5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10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5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221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222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5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21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持续深化留守学生等重点青少年群体关爱行动，深入开展“童伴计划”“城乡社区互助计划”等关爱项目，为留守儿童、贫困儿童提供学业辅导、心理疏导、亲情陪护等各种服务。</w:t>
            </w:r>
          </w:p>
        </w:tc>
        <w:tc>
          <w:tcPr>
            <w:tcW w:w="222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强化完善了留守学生等重点青少年群体关爱行动，“童伴计划”“城乡社区互助计划”等关爱项目持续开展，为更多的留守儿童提供各类服务。</w:t>
            </w:r>
          </w:p>
        </w:tc>
      </w:tr>
      <w:tr>
        <w:trPr>
          <w:trHeight w:val="1042"/>
        </w:trPr>
        <w:tc>
          <w:tcPr>
            <w:tcW w:w="56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6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4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563" w:type="pct"/>
            <w:vMerge/>
            <w:tcBorders>
              <w:left w:val="single" w:sz="4" w:space="0" w:color="000000"/>
              <w:right w:val="single" w:sz="4" w:space="0" w:color="000000"/>
            </w:tcBorders>
            <w:tcMar>
              <w:top w:w="15" w:type="dxa"/>
              <w:left w:w="15" w:type="dxa"/>
              <w:right w:w="15" w:type="dxa"/>
            </w:tcMar>
            <w:vAlign w:val="center"/>
          </w:tcPr>
          <w:p/>
        </w:tc>
        <w:tc>
          <w:tcPr>
            <w:tcW w:w="6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4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为试点社区提供日常工作经费，保障“童伴计划”顺利开展，为留守儿童提供亲情陪护。</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042"/>
        </w:trPr>
        <w:tc>
          <w:tcPr>
            <w:tcW w:w="563" w:type="pct"/>
            <w:vMerge/>
            <w:tcBorders>
              <w:left w:val="single" w:sz="4" w:space="0" w:color="000000"/>
              <w:right w:val="single" w:sz="4" w:space="0" w:color="000000"/>
            </w:tcBorders>
            <w:tcMar>
              <w:top w:w="15" w:type="dxa"/>
              <w:left w:w="15" w:type="dxa"/>
              <w:right w:w="15" w:type="dxa"/>
            </w:tcMar>
            <w:vAlign w:val="center"/>
          </w:tcPr>
          <w:p/>
        </w:tc>
        <w:tc>
          <w:tcPr>
            <w:tcW w:w="6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4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指标2：为试点社区提供日常工作经费，保障“城乡社区互助计划”顺利开展。</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042"/>
        </w:trPr>
        <w:tc>
          <w:tcPr>
            <w:tcW w:w="563" w:type="pct"/>
            <w:vMerge/>
            <w:tcBorders>
              <w:left w:val="single" w:sz="4" w:space="0" w:color="000000"/>
              <w:right w:val="single" w:sz="4" w:space="0" w:color="000000"/>
            </w:tcBorders>
            <w:tcMar>
              <w:top w:w="15" w:type="dxa"/>
              <w:left w:w="15" w:type="dxa"/>
              <w:right w:w="15" w:type="dxa"/>
            </w:tcMar>
            <w:vAlign w:val="center"/>
          </w:tcPr>
          <w:p/>
        </w:tc>
        <w:tc>
          <w:tcPr>
            <w:tcW w:w="6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4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cs="宋体" w:hAnsi="宋体" w:hint="eastAsia"/>
                <w:color w:val="000000"/>
                <w:sz w:val="24"/>
              </w:rPr>
              <w:t>为留守儿童提供亲情陪护，让留守儿童健康成长。</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100%</w:t>
            </w:r>
          </w:p>
        </w:tc>
      </w:tr>
      <w:tr>
        <w:trPr>
          <w:trHeight w:val="1050"/>
        </w:trPr>
        <w:tc>
          <w:tcPr>
            <w:tcW w:w="563" w:type="pct"/>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6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4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让留守儿童满意</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90%以上</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超过90%以上</w:t>
            </w:r>
          </w:p>
        </w:tc>
      </w:tr>
    </w:tbl>
    <w:p>
      <w:pPr>
        <w:spacing w:line="580" w:lineRule="exact"/>
        <w:jc w:val="center"/>
        <w:rPr>
          <w:rFonts w:ascii="黑体" w:eastAsia="黑体" w:cs="宋体" w:hAnsi="黑体" w:hint="eastAsia"/>
          <w:bCs/>
          <w:color w:val="000000"/>
          <w:kern w:val="0"/>
          <w:sz w:val="36"/>
          <w:szCs w:val="36"/>
        </w:rPr>
      </w:pPr>
    </w:p>
    <w:p>
      <w:pPr>
        <w:spacing w:line="580" w:lineRule="exact"/>
        <w:jc w:val="center"/>
        <w:rPr>
          <w:rFonts w:ascii="黑体" w:eastAsia="黑体" w:cs="宋体" w:hAnsi="黑体" w:hint="eastAsia"/>
          <w:bCs/>
          <w:color w:val="000000"/>
          <w:kern w:val="0"/>
          <w:sz w:val="36"/>
          <w:szCs w:val="36"/>
        </w:rPr>
      </w:pPr>
    </w:p>
    <w:p>
      <w:pPr>
        <w:spacing w:line="580" w:lineRule="exact"/>
        <w:jc w:val="center"/>
        <w:rPr>
          <w:rFonts w:ascii="黑体" w:eastAsia="黑体" w:cs="宋体" w:hAnsi="黑体" w:hint="eastAsia"/>
          <w:bCs/>
          <w:color w:val="000000"/>
          <w:kern w:val="0"/>
          <w:sz w:val="36"/>
          <w:szCs w:val="36"/>
        </w:rPr>
      </w:pPr>
    </w:p>
    <w:p>
      <w:pPr>
        <w:spacing w:line="580" w:lineRule="exact"/>
        <w:jc w:val="center"/>
        <w:rPr>
          <w:rFonts w:ascii="黑体" w:eastAsia="黑体" w:cs="宋体" w:hAnsi="黑体" w:hint="eastAsia"/>
          <w:bCs/>
          <w:color w:val="000000"/>
          <w:kern w:val="0"/>
          <w:sz w:val="36"/>
          <w:szCs w:val="36"/>
        </w:rPr>
      </w:pPr>
    </w:p>
    <w:p>
      <w:pPr>
        <w:spacing w:line="580" w:lineRule="exact"/>
        <w:jc w:val="center"/>
        <w:rPr>
          <w:rFonts w:ascii="黑体" w:eastAsia="黑体" w:cs="宋体" w:hAnsi="黑体" w:hint="eastAsia"/>
          <w:bCs/>
          <w:color w:val="000000"/>
          <w:kern w:val="0"/>
          <w:sz w:val="36"/>
          <w:szCs w:val="36"/>
        </w:rPr>
      </w:pPr>
      <w:r>
        <w:rPr>
          <w:rFonts w:ascii="黑体" w:eastAsia="黑体" w:cs="宋体" w:hAnsi="黑体" w:hint="eastAsia"/>
          <w:bCs/>
          <w:color w:val="000000"/>
          <w:kern w:val="0"/>
          <w:sz w:val="36"/>
          <w:szCs w:val="36"/>
        </w:rPr>
        <w:t>项目支出绩效目标完成情况表</w:t>
      </w:r>
    </w:p>
    <w:p>
      <w:pPr>
        <w:spacing w:line="580" w:lineRule="exact"/>
        <w:jc w:val="center"/>
        <w:rPr>
          <w:rFonts w:ascii="仿宋_GB2312" w:eastAsia="仿宋_GB2312" w:cs="仿宋_GB2312" w:hAnsi="仿宋_GB2312"/>
          <w:sz w:val="32"/>
          <w:szCs w:val="32"/>
        </w:rPr>
      </w:pPr>
      <w:r>
        <w:rPr>
          <w:rFonts w:ascii="宋体" w:cs="宋体" w:hAnsi="宋体" w:hint="eastAsia"/>
          <w:color w:val="000000"/>
          <w:kern w:val="0"/>
          <w:sz w:val="36"/>
          <w:szCs w:val="36"/>
        </w:rPr>
        <w:t>(2019年度)</w:t>
      </w:r>
    </w:p>
    <w:tbl>
      <w:tblPr>
        <w:tblpPr w:leftFromText="180" w:rightFromText="180" w:vertAnchor="text" w:horzAnchor="page" w:tblpXSpec="center" w:tblpY="423"/>
        <w:tblOverlap w:val="never"/>
        <w:tblW w:w="5286"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865"/>
        <w:gridCol w:w="1132"/>
        <w:gridCol w:w="846"/>
        <w:gridCol w:w="1990"/>
        <w:gridCol w:w="1992"/>
        <w:gridCol w:w="1988"/>
      </w:tblGrid>
      <w:tr>
        <w:trPr>
          <w:trHeight w:val="276"/>
        </w:trPr>
        <w:tc>
          <w:tcPr>
            <w:tcW w:w="16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bookmarkStart w:id="56" w:name="_Toc15377225"/>
            <w:bookmarkStart w:id="57" w:name="_Toc15396613"/>
            <w:r>
              <w:rPr>
                <w:rFonts w:ascii="宋体" w:eastAsia="宋体" w:cs="宋体" w:hint="eastAsia"/>
                <w:color w:val="000000"/>
                <w:kern w:val="0"/>
                <w:sz w:val="24"/>
              </w:rPr>
              <w:t>项目名称</w:t>
            </w:r>
          </w:p>
        </w:tc>
        <w:tc>
          <w:tcPr>
            <w:tcW w:w="3387"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仿宋_GB2312" w:hint="eastAsia"/>
                <w:color w:val="000000"/>
                <w:sz w:val="21"/>
                <w:szCs w:val="21"/>
              </w:rPr>
              <w:t>“广元市利州区第三届四川村长论坛暨村社发展大会志愿服务</w:t>
            </w:r>
            <w:r>
              <w:rPr>
                <w:rFonts w:ascii="宋体" w:eastAsia="宋体" w:cs="仿宋_GB2312" w:hint="eastAsia"/>
                <w:color w:val="000000"/>
                <w:sz w:val="24"/>
              </w:rPr>
              <w:t>”</w:t>
            </w:r>
          </w:p>
        </w:tc>
      </w:tr>
      <w:tr>
        <w:trPr>
          <w:trHeight w:val="276"/>
        </w:trPr>
        <w:tc>
          <w:tcPr>
            <w:tcW w:w="1613"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预算单位</w:t>
            </w:r>
          </w:p>
        </w:tc>
        <w:tc>
          <w:tcPr>
            <w:tcW w:w="3387"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团区委</w:t>
            </w:r>
          </w:p>
        </w:tc>
      </w:tr>
      <w:tr>
        <w:trPr>
          <w:trHeight w:val="276"/>
        </w:trPr>
        <w:tc>
          <w:tcPr>
            <w:tcW w:w="49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预算执行情况(万元)</w:t>
            </w:r>
          </w:p>
        </w:tc>
        <w:tc>
          <w:tcPr>
            <w:tcW w:w="112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预算数:</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8.6</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执行数:</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8.6</w:t>
            </w:r>
          </w:p>
        </w:tc>
      </w:tr>
      <w:tr>
        <w:trPr>
          <w:trHeight w:val="276"/>
        </w:trPr>
        <w:tc>
          <w:tcPr>
            <w:tcW w:w="491" w:type="pct"/>
            <w:vMerge/>
            <w:tcBorders>
              <w:top w:val="single" w:sz="4" w:space="0" w:color="000000"/>
              <w:left w:val="single" w:sz="4" w:space="0" w:color="000000"/>
              <w:bottom w:val="single" w:sz="4" w:space="0" w:color="000000"/>
              <w:right w:val="single" w:sz="4" w:space="0" w:color="000000"/>
            </w:tcBorders>
            <w:vAlign w:val="center"/>
          </w:tcPr>
          <w:p/>
        </w:tc>
        <w:tc>
          <w:tcPr>
            <w:tcW w:w="112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其中-财政拨款:</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8.6</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其中-财政拨款:</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8.6</w:t>
            </w:r>
          </w:p>
        </w:tc>
      </w:tr>
      <w:tr>
        <w:trPr>
          <w:trHeight w:val="154"/>
        </w:trPr>
        <w:tc>
          <w:tcPr>
            <w:tcW w:w="491" w:type="pct"/>
            <w:vMerge/>
            <w:tcBorders>
              <w:top w:val="single" w:sz="4" w:space="0" w:color="000000"/>
              <w:left w:val="single" w:sz="4" w:space="0" w:color="000000"/>
              <w:bottom w:val="single" w:sz="4" w:space="0" w:color="000000"/>
              <w:right w:val="single" w:sz="4" w:space="0" w:color="000000"/>
            </w:tcBorders>
            <w:vAlign w:val="center"/>
          </w:tcPr>
          <w:p/>
        </w:tc>
        <w:tc>
          <w:tcPr>
            <w:tcW w:w="112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其它资金:</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0</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其它资金:</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color w:val="000000"/>
                <w:sz w:val="24"/>
              </w:rPr>
            </w:pPr>
            <w:r>
              <w:rPr>
                <w:rFonts w:ascii="宋体" w:eastAsia="宋体" w:cs="宋体" w:hint="eastAsia"/>
                <w:color w:val="000000"/>
                <w:sz w:val="24"/>
              </w:rPr>
              <w:t>0</w:t>
            </w:r>
          </w:p>
        </w:tc>
      </w:tr>
      <w:tr>
        <w:trPr>
          <w:trHeight w:val="276"/>
        </w:trPr>
        <w:tc>
          <w:tcPr>
            <w:tcW w:w="49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年度目标完成情况</w:t>
            </w:r>
          </w:p>
        </w:tc>
        <w:tc>
          <w:tcPr>
            <w:tcW w:w="225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预期目标</w:t>
            </w:r>
          </w:p>
        </w:tc>
        <w:tc>
          <w:tcPr>
            <w:tcW w:w="225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实际完成目标</w:t>
            </w:r>
          </w:p>
        </w:tc>
      </w:tr>
      <w:tr>
        <w:trPr>
          <w:trHeight w:val="2181"/>
        </w:trPr>
        <w:tc>
          <w:tcPr>
            <w:tcW w:w="491" w:type="pct"/>
            <w:vMerge/>
            <w:tcBorders>
              <w:top w:val="single" w:sz="4" w:space="0" w:color="000000"/>
              <w:left w:val="single" w:sz="4" w:space="0" w:color="000000"/>
              <w:bottom w:val="single" w:sz="4" w:space="0" w:color="000000"/>
              <w:right w:val="single" w:sz="4" w:space="0" w:color="000000"/>
            </w:tcBorders>
            <w:vAlign w:val="center"/>
          </w:tcPr>
          <w:p/>
        </w:tc>
        <w:tc>
          <w:tcPr>
            <w:tcW w:w="225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eastAsia="宋体" w:cs="宋体"/>
                <w:color w:val="000000"/>
                <w:sz w:val="24"/>
              </w:rPr>
            </w:pPr>
            <w:r>
              <w:rPr>
                <w:rFonts w:ascii="宋体" w:eastAsia="宋体" w:cs="宋体" w:hint="eastAsia"/>
                <w:color w:val="000000"/>
                <w:sz w:val="24"/>
              </w:rPr>
              <w:t>促进我省村级经济社会加快发展，全面做好第三届四川村长论坛暨村社发展大会志愿服务工作，确保志愿服务办出亮点、办成精品。</w:t>
            </w:r>
          </w:p>
        </w:tc>
        <w:tc>
          <w:tcPr>
            <w:tcW w:w="225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宋体" w:cs="宋体"/>
                <w:color w:val="000000"/>
                <w:sz w:val="24"/>
              </w:rPr>
            </w:pPr>
            <w:r>
              <w:rPr>
                <w:rFonts w:ascii="宋体" w:eastAsia="宋体" w:cs="宋体" w:hint="eastAsia"/>
                <w:color w:val="000000"/>
                <w:sz w:val="24"/>
              </w:rPr>
              <w:t>我委积极助力脱贫攻坚，擦亮“青”字品牌，实施青春建功乡村振兴行动，充分发挥青年志愿者先锋模范引领作用，在全区范围内共计组织100余名志愿者圆满完成了大会交办的各项志愿服务工作，得到了参会领导和嘉宾的一致好评。</w:t>
            </w:r>
          </w:p>
        </w:tc>
      </w:tr>
      <w:tr>
        <w:trPr>
          <w:trHeight w:val="1042"/>
        </w:trPr>
        <w:tc>
          <w:tcPr>
            <w:tcW w:w="49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绩效指标完成情况</w:t>
            </w:r>
          </w:p>
        </w:tc>
        <w:tc>
          <w:tcPr>
            <w:tcW w:w="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一级指标</w:t>
            </w: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int="eastAsia"/>
                <w:color w:val="000000"/>
                <w:kern w:val="0"/>
                <w:sz w:val="24"/>
              </w:rPr>
            </w:pPr>
            <w:r>
              <w:rPr>
                <w:rFonts w:ascii="宋体" w:eastAsia="宋体" w:cs="宋体" w:hint="eastAsia"/>
                <w:color w:val="000000"/>
                <w:kern w:val="0"/>
                <w:sz w:val="24"/>
              </w:rPr>
              <w:t>二级</w:t>
            </w:r>
          </w:p>
          <w:p>
            <w:pPr>
              <w:widowControl/>
              <w:jc w:val="center"/>
              <w:textAlignment w:val="center"/>
              <w:rPr>
                <w:rFonts w:ascii="宋体" w:eastAsia="宋体" w:cs="宋体"/>
                <w:color w:val="000000"/>
                <w:sz w:val="24"/>
              </w:rPr>
            </w:pPr>
            <w:r>
              <w:rPr>
                <w:rFonts w:ascii="宋体" w:eastAsia="宋体" w:cs="宋体" w:hint="eastAsia"/>
                <w:color w:val="000000"/>
                <w:kern w:val="0"/>
                <w:sz w:val="24"/>
              </w:rPr>
              <w:t>指标</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三级指标</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预期指标值(包含数字及文字描述)</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实际完成指标值(包含数字及文字描述)</w:t>
            </w:r>
          </w:p>
        </w:tc>
      </w:tr>
      <w:tr>
        <w:trPr>
          <w:trHeight w:val="953"/>
        </w:trPr>
        <w:tc>
          <w:tcPr>
            <w:tcW w:w="491" w:type="pct"/>
            <w:vMerge/>
            <w:tcBorders>
              <w:top w:val="single" w:sz="4" w:space="0" w:color="000000"/>
              <w:left w:val="single" w:sz="4" w:space="0" w:color="000000"/>
              <w:bottom w:val="single" w:sz="4" w:space="0" w:color="000000"/>
              <w:right w:val="single" w:sz="4" w:space="0" w:color="000000"/>
            </w:tcBorders>
            <w:vAlign w:val="center"/>
          </w:tcPr>
          <w:p/>
        </w:tc>
        <w:tc>
          <w:tcPr>
            <w:tcW w:w="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项目完成指标</w:t>
            </w: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int="eastAsia"/>
                <w:color w:val="000000"/>
                <w:sz w:val="24"/>
              </w:rPr>
            </w:pPr>
            <w:r>
              <w:rPr>
                <w:rFonts w:ascii="宋体" w:eastAsia="宋体" w:cs="宋体" w:hint="eastAsia"/>
                <w:color w:val="000000"/>
                <w:sz w:val="24"/>
              </w:rPr>
              <w:t>数量</w:t>
            </w:r>
          </w:p>
          <w:p>
            <w:pPr>
              <w:widowControl/>
              <w:jc w:val="center"/>
              <w:textAlignment w:val="center"/>
              <w:rPr>
                <w:rFonts w:ascii="宋体" w:eastAsia="宋体" w:cs="宋体"/>
                <w:color w:val="000000"/>
                <w:sz w:val="24"/>
              </w:rPr>
            </w:pPr>
            <w:r>
              <w:rPr>
                <w:rFonts w:ascii="宋体" w:eastAsia="宋体" w:cs="宋体" w:hint="eastAsia"/>
                <w:color w:val="000000"/>
                <w:sz w:val="24"/>
              </w:rPr>
              <w:t>指标</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完成志愿者会前培训</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达到预期目标</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100%</w:t>
            </w:r>
          </w:p>
        </w:tc>
      </w:tr>
      <w:tr>
        <w:trPr>
          <w:trHeight w:val="1042"/>
        </w:trPr>
        <w:tc>
          <w:tcPr>
            <w:tcW w:w="491" w:type="pct"/>
            <w:vMerge/>
            <w:tcBorders>
              <w:top w:val="single" w:sz="4" w:space="0" w:color="000000"/>
              <w:left w:val="single" w:sz="4" w:space="0" w:color="000000"/>
              <w:bottom w:val="single" w:sz="4" w:space="0" w:color="000000"/>
              <w:right w:val="single" w:sz="4" w:space="0" w:color="000000"/>
            </w:tcBorders>
            <w:vAlign w:val="center"/>
          </w:tcPr>
          <w:p/>
        </w:tc>
        <w:tc>
          <w:tcPr>
            <w:tcW w:w="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项目完成指标</w:t>
            </w: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int="eastAsia"/>
                <w:color w:val="000000"/>
                <w:sz w:val="24"/>
              </w:rPr>
            </w:pPr>
            <w:r>
              <w:rPr>
                <w:rFonts w:ascii="宋体" w:eastAsia="宋体" w:cs="宋体" w:hint="eastAsia"/>
                <w:color w:val="000000"/>
                <w:sz w:val="24"/>
              </w:rPr>
              <w:t>质量</w:t>
            </w:r>
          </w:p>
          <w:p>
            <w:pPr>
              <w:widowControl/>
              <w:jc w:val="center"/>
              <w:textAlignment w:val="center"/>
              <w:rPr>
                <w:rFonts w:ascii="宋体" w:eastAsia="宋体" w:cs="宋体"/>
                <w:color w:val="000000"/>
                <w:sz w:val="24"/>
              </w:rPr>
            </w:pPr>
            <w:r>
              <w:rPr>
                <w:rFonts w:ascii="宋体" w:eastAsia="宋体" w:cs="宋体" w:hint="eastAsia"/>
                <w:color w:val="000000"/>
                <w:sz w:val="24"/>
              </w:rPr>
              <w:t>指标</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完成志愿者服务</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100%</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100%</w:t>
            </w:r>
          </w:p>
        </w:tc>
      </w:tr>
      <w:tr>
        <w:trPr>
          <w:trHeight w:val="1042"/>
        </w:trPr>
        <w:tc>
          <w:tcPr>
            <w:tcW w:w="491" w:type="pct"/>
            <w:vMerge/>
            <w:tcBorders>
              <w:top w:val="single" w:sz="4" w:space="0" w:color="000000"/>
              <w:left w:val="single" w:sz="4" w:space="0" w:color="000000"/>
              <w:bottom w:val="single" w:sz="4" w:space="0" w:color="000000"/>
              <w:right w:val="single" w:sz="4" w:space="0" w:color="000000"/>
            </w:tcBorders>
            <w:vAlign w:val="center"/>
          </w:tcPr>
          <w:p/>
        </w:tc>
        <w:tc>
          <w:tcPr>
            <w:tcW w:w="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 w:val="24"/>
              </w:rPr>
            </w:pPr>
            <w:r>
              <w:rPr>
                <w:rFonts w:ascii="宋体" w:eastAsia="宋体" w:cs="宋体" w:hint="eastAsia"/>
                <w:color w:val="000000"/>
                <w:kern w:val="0"/>
                <w:sz w:val="24"/>
              </w:rPr>
              <w:t>效益指标</w:t>
            </w: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int="eastAsia"/>
                <w:color w:val="000000"/>
                <w:sz w:val="24"/>
              </w:rPr>
            </w:pPr>
            <w:r>
              <w:rPr>
                <w:rFonts w:ascii="宋体" w:eastAsia="宋体" w:cs="宋体" w:hint="eastAsia"/>
                <w:color w:val="000000"/>
                <w:sz w:val="24"/>
              </w:rPr>
              <w:t>时效</w:t>
            </w:r>
          </w:p>
          <w:p>
            <w:pPr>
              <w:widowControl/>
              <w:jc w:val="center"/>
              <w:textAlignment w:val="center"/>
              <w:rPr>
                <w:rFonts w:ascii="宋体" w:eastAsia="宋体" w:cs="宋体"/>
                <w:color w:val="000000"/>
                <w:sz w:val="24"/>
              </w:rPr>
            </w:pPr>
            <w:r>
              <w:rPr>
                <w:rFonts w:ascii="宋体" w:eastAsia="宋体" w:cs="宋体" w:hint="eastAsia"/>
                <w:color w:val="000000"/>
                <w:sz w:val="24"/>
              </w:rPr>
              <w:t>指标</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保障志愿者补助等经费落实</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达到预期目标</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100%</w:t>
            </w:r>
          </w:p>
        </w:tc>
      </w:tr>
      <w:tr>
        <w:trPr>
          <w:trHeight w:val="1042"/>
        </w:trPr>
        <w:tc>
          <w:tcPr>
            <w:tcW w:w="491" w:type="pct"/>
            <w:vMerge/>
            <w:tcBorders>
              <w:top w:val="single" w:sz="4" w:space="0" w:color="000000"/>
              <w:left w:val="single" w:sz="4" w:space="0" w:color="000000"/>
              <w:bottom w:val="single" w:sz="4" w:space="0" w:color="000000"/>
              <w:right w:val="single" w:sz="4" w:space="0" w:color="000000"/>
            </w:tcBorders>
            <w:vAlign w:val="center"/>
          </w:tcPr>
          <w:p/>
        </w:tc>
        <w:tc>
          <w:tcPr>
            <w:tcW w:w="6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int="eastAsia"/>
                <w:color w:val="000000"/>
                <w:kern w:val="0"/>
                <w:sz w:val="24"/>
              </w:rPr>
            </w:pPr>
            <w:r>
              <w:rPr>
                <w:rFonts w:ascii="宋体" w:eastAsia="宋体" w:cs="宋体" w:hint="eastAsia"/>
                <w:color w:val="000000"/>
                <w:kern w:val="0"/>
                <w:sz w:val="24"/>
              </w:rPr>
              <w:t>满意度</w:t>
            </w:r>
          </w:p>
          <w:p>
            <w:pPr>
              <w:widowControl/>
              <w:jc w:val="center"/>
              <w:textAlignment w:val="center"/>
              <w:rPr>
                <w:rFonts w:ascii="宋体" w:eastAsia="宋体" w:cs="宋体"/>
                <w:color w:val="000000"/>
                <w:sz w:val="24"/>
              </w:rPr>
            </w:pPr>
            <w:r>
              <w:rPr>
                <w:rFonts w:ascii="宋体" w:eastAsia="宋体" w:cs="宋体" w:hint="eastAsia"/>
                <w:color w:val="000000"/>
                <w:kern w:val="0"/>
                <w:sz w:val="24"/>
              </w:rPr>
              <w:t>指标</w:t>
            </w:r>
          </w:p>
        </w:tc>
        <w:tc>
          <w:tcPr>
            <w:tcW w:w="4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满意度指标</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让社会组织满意</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大于或等于90%</w:t>
            </w:r>
          </w:p>
        </w:tc>
        <w:tc>
          <w:tcPr>
            <w:tcW w:w="11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高于90%</w:t>
            </w:r>
          </w:p>
        </w:tc>
      </w:tr>
    </w:tbl>
    <w:p>
      <w:pPr>
        <w:spacing w:line="580" w:lineRule="exact"/>
        <w:ind w:left="630"/>
        <w:rPr>
          <w:rFonts w:ascii="仿宋_GB2312" w:eastAsia="仿宋_GB2312" w:cs="仿宋_GB2312" w:hAnsi="仿宋_GB2312"/>
          <w:sz w:val="32"/>
          <w:szCs w:val="32"/>
        </w:rPr>
      </w:pPr>
      <w:r>
        <w:rPr>
          <w:rFonts w:ascii="楷体_GB2312" w:eastAsia="楷体_GB2312" w:cs="楷体_GB2312" w:hAnsi="楷体_GB2312" w:hint="eastAsia"/>
          <w:sz w:val="32"/>
          <w:szCs w:val="32"/>
        </w:rPr>
        <w:t>2.部门绩效评价结果。</w:t>
      </w:r>
    </w:p>
    <w:p>
      <w:pPr>
        <w:spacing w:line="58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本部门按要求对2019年部门整体支出绩效评价情况开展自评，《团区委2019年部门整体支出绩效评价报告》见附件。</w:t>
      </w:r>
    </w:p>
    <w:p>
      <w:pPr>
        <w:spacing w:line="580" w:lineRule="exact"/>
        <w:ind w:firstLineChars="300" w:firstLine="960"/>
        <w:rPr>
          <w:rFonts w:ascii="仿宋_GB2312" w:eastAsia="仿宋_GB2312" w:cs="仿宋_GB2312" w:hAnsi="仿宋_GB2312" w:hint="eastAsia"/>
          <w:color w:val="000000"/>
          <w:sz w:val="32"/>
          <w:szCs w:val="32"/>
        </w:rPr>
      </w:pPr>
      <w:r>
        <w:rPr>
          <w:rFonts w:ascii="仿宋_GB2312" w:eastAsia="仿宋_GB2312" w:cs="仿宋_GB2312" w:hAnsi="仿宋_GB2312" w:hint="eastAsia"/>
          <w:color w:val="000000"/>
          <w:sz w:val="32"/>
          <w:szCs w:val="32"/>
        </w:rPr>
        <w:t>本部门自行组织对“关爱留守儿童</w:t>
      </w:r>
      <w:r>
        <w:rPr>
          <w:rFonts w:ascii="仿宋_GB2312" w:eastAsia="仿宋_GB2312" w:cs="仿宋_GB2312" w:hAnsi="仿宋_GB2312"/>
          <w:color w:val="000000"/>
          <w:sz w:val="32"/>
          <w:szCs w:val="32"/>
        </w:rPr>
        <w:t>”</w:t>
      </w:r>
      <w:r>
        <w:rPr>
          <w:rFonts w:ascii="仿宋_GB2312" w:eastAsia="仿宋_GB2312" w:cs="仿宋_GB2312" w:hAnsi="仿宋_GB2312" w:hint="eastAsia"/>
          <w:color w:val="000000"/>
          <w:sz w:val="32"/>
          <w:szCs w:val="32"/>
        </w:rPr>
        <w:t>项目、“广元市利州区第三届四川村长论坛暨村社发展大会志愿服务</w:t>
      </w:r>
      <w:r>
        <w:rPr>
          <w:rFonts w:ascii="仿宋_GB2312" w:eastAsia="仿宋_GB2312" w:cs="仿宋_GB2312" w:hAnsi="仿宋_GB2312"/>
          <w:color w:val="000000"/>
          <w:sz w:val="32"/>
          <w:szCs w:val="32"/>
        </w:rPr>
        <w:t>”</w:t>
      </w:r>
      <w:r>
        <w:rPr>
          <w:rFonts w:ascii="仿宋_GB2312" w:eastAsia="仿宋_GB2312" w:cs="仿宋_GB2312" w:hAnsi="仿宋_GB2312" w:hint="eastAsia"/>
          <w:color w:val="000000"/>
          <w:sz w:val="32"/>
          <w:szCs w:val="32"/>
        </w:rPr>
        <w:t>项目开展了绩效评价，《团区委2019年绩效评价报告》见附件。</w:t>
      </w:r>
    </w:p>
    <w:p>
      <w:pPr>
        <w:spacing w:line="600" w:lineRule="exact"/>
        <w:ind w:left="0" w:firstLineChars="300" w:firstLine="1320"/>
        <w:jc w:val="both"/>
        <w:outlineLvl w:val="0"/>
        <w:rPr>
          <w:rFonts w:ascii="黑体" w:eastAsia="黑体" w:hAnsi="黑体" w:hint="eastAsia"/>
          <w:color w:val="000000"/>
          <w:sz w:val="44"/>
          <w:szCs w:val="44"/>
          <w:lang w:eastAsia="zh-CN"/>
        </w:rPr>
      </w:pPr>
    </w:p>
    <w:p>
      <w:pPr>
        <w:spacing w:line="600" w:lineRule="exact"/>
        <w:ind w:left="0" w:firstLineChars="600" w:firstLine="2640"/>
        <w:jc w:val="both"/>
        <w:outlineLvl w:val="0"/>
        <w:rPr>
          <w:rStyle w:val="1Char"/>
          <w:rFonts w:ascii="黑体" w:eastAsia="黑体" w:hAnsi="黑体"/>
          <w:b w:val="0"/>
        </w:rPr>
      </w:pPr>
      <w:r>
        <w:rPr>
          <w:rFonts w:ascii="黑体" w:eastAsia="黑体" w:hAnsi="黑体" w:hint="eastAsia"/>
          <w:color w:val="000000"/>
          <w:sz w:val="44"/>
          <w:szCs w:val="44"/>
          <w:lang w:eastAsia="zh-CN"/>
        </w:rPr>
        <w:t>第三部分</w:t>
      </w:r>
      <w:r>
        <w:rPr>
          <w:rFonts w:ascii="黑体" w:eastAsia="黑体" w:hAnsi="黑体" w:hint="eastAsia"/>
          <w:color w:val="000000"/>
          <w:sz w:val="44"/>
          <w:szCs w:val="44"/>
          <w:lang w:val="en-US" w:eastAsia="zh-CN"/>
        </w:rPr>
        <w:t xml:space="preserve">  </w:t>
      </w:r>
      <w:r>
        <w:rPr>
          <w:rFonts w:ascii="黑体" w:eastAsia="黑体" w:hAnsi="黑体" w:hint="eastAsia"/>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28"/>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8"/>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spacing w:line="600" w:lineRule="exact"/>
        <w:ind w:firstLineChars="200" w:firstLine="640"/>
        <w:jc w:val="left"/>
        <w:rPr>
          <w:rStyle w:val="23"/>
          <w:rFonts w:ascii="仿宋" w:eastAsia="仿宋" w:hAnsi="仿宋"/>
          <w:b w:val="0"/>
          <w:color w:val="000000"/>
          <w:sz w:val="32"/>
          <w:szCs w:val="32"/>
        </w:rPr>
      </w:pPr>
      <w:r>
        <w:rPr>
          <w:rStyle w:val="23"/>
          <w:rFonts w:ascii="仿宋" w:eastAsia="仿宋" w:hAnsi="仿宋" w:hint="eastAsia"/>
          <w:b w:val="0"/>
          <w:color w:val="000000"/>
          <w:sz w:val="32"/>
          <w:szCs w:val="32"/>
        </w:rPr>
        <w:t>9、一般公共服务支出（类）群众团体事务（款）行政运行（项）</w:t>
      </w:r>
      <w:r>
        <w:rPr>
          <w:rStyle w:val="23"/>
          <w:rFonts w:ascii="仿宋" w:eastAsia="仿宋" w:hAnsi="仿宋"/>
          <w:b w:val="0"/>
          <w:color w:val="000000"/>
          <w:sz w:val="32"/>
          <w:szCs w:val="32"/>
        </w:rPr>
        <w:t>:</w:t>
      </w:r>
      <w:r>
        <w:rPr>
          <w:rStyle w:val="23"/>
          <w:rFonts w:ascii="仿宋" w:eastAsia="仿宋" w:hAnsi="仿宋" w:hint="eastAsia"/>
          <w:b w:val="0"/>
          <w:color w:val="000000"/>
          <w:sz w:val="32"/>
          <w:szCs w:val="32"/>
        </w:rPr>
        <w:t>指行政单位（包括实行公务员管理的事业单位）的基本支出。</w:t>
      </w:r>
    </w:p>
    <w:p>
      <w:pPr>
        <w:spacing w:line="600" w:lineRule="exact"/>
        <w:ind w:firstLineChars="200" w:firstLine="640"/>
        <w:rPr>
          <w:rFonts w:ascii="仿宋" w:eastAsia="仿宋" w:hAnsi="仿宋"/>
          <w:color w:val="000000"/>
          <w:sz w:val="32"/>
          <w:szCs w:val="32"/>
        </w:rPr>
      </w:pPr>
      <w:r>
        <w:rPr>
          <w:rStyle w:val="23"/>
          <w:rFonts w:ascii="仿宋" w:eastAsia="仿宋" w:hAnsi="仿宋" w:hint="eastAsia"/>
          <w:b w:val="0"/>
          <w:color w:val="000000"/>
          <w:sz w:val="32"/>
          <w:szCs w:val="32"/>
        </w:rPr>
        <w:t>10、一般公共服务（类）群众团体（款）一般行政管理事务（项）</w:t>
      </w:r>
      <w:r>
        <w:rPr>
          <w:rStyle w:val="23"/>
          <w:rFonts w:ascii="仿宋" w:eastAsia="仿宋" w:hAnsi="仿宋"/>
          <w:b w:val="0"/>
          <w:color w:val="000000"/>
          <w:sz w:val="32"/>
          <w:szCs w:val="32"/>
        </w:rPr>
        <w:t>:</w:t>
      </w:r>
      <w:r>
        <w:rPr>
          <w:rStyle w:val="23"/>
          <w:rFonts w:ascii="仿宋" w:eastAsia="仿宋" w:hAnsi="仿宋" w:hint="eastAsia"/>
          <w:b w:val="0"/>
          <w:color w:val="000000"/>
          <w:sz w:val="32"/>
          <w:szCs w:val="32"/>
        </w:rPr>
        <w:t>指行政单位（包括实行公务员管理的事业单位）未单独设置顶级科目的其他项目支出。</w:t>
      </w:r>
    </w:p>
    <w:p>
      <w:pPr>
        <w:spacing w:line="600" w:lineRule="exact"/>
        <w:ind w:firstLineChars="200" w:firstLine="640"/>
        <w:rPr>
          <w:rFonts w:ascii="仿宋" w:eastAsia="仿宋" w:hAnsi="仿宋"/>
          <w:color w:val="000000"/>
          <w:sz w:val="32"/>
          <w:szCs w:val="32"/>
        </w:rPr>
      </w:pPr>
      <w:r>
        <w:rPr>
          <w:rStyle w:val="23"/>
          <w:rFonts w:ascii="仿宋" w:eastAsia="仿宋" w:hAnsi="仿宋" w:hint="eastAsia"/>
          <w:b w:val="0"/>
          <w:color w:val="000000"/>
          <w:sz w:val="32"/>
          <w:szCs w:val="32"/>
        </w:rPr>
        <w:t>11、一般公共服务（类）群众团体（款）其他群众团体事务支出（项）</w:t>
      </w:r>
      <w:r>
        <w:rPr>
          <w:rStyle w:val="23"/>
          <w:rFonts w:ascii="仿宋" w:eastAsia="仿宋" w:hAnsi="仿宋"/>
          <w:b w:val="0"/>
          <w:color w:val="000000"/>
          <w:sz w:val="32"/>
          <w:szCs w:val="32"/>
        </w:rPr>
        <w:t>:</w:t>
      </w:r>
      <w:r>
        <w:rPr>
          <w:rStyle w:val="23"/>
          <w:rFonts w:ascii="仿宋" w:eastAsia="仿宋" w:hAnsi="仿宋" w:hint="eastAsia"/>
          <w:b w:val="0"/>
          <w:color w:val="000000"/>
          <w:sz w:val="32"/>
          <w:szCs w:val="32"/>
        </w:rPr>
        <w:t>指除上述项目以外其他用于群众团体事务方面的支出。</w:t>
      </w:r>
    </w:p>
    <w:p>
      <w:pPr>
        <w:spacing w:line="600" w:lineRule="exact"/>
        <w:ind w:firstLineChars="200" w:firstLine="640"/>
        <w:rPr>
          <w:rStyle w:val="23"/>
          <w:rFonts w:ascii="仿宋" w:eastAsia="仿宋" w:hAnsi="仿宋"/>
          <w:b w:val="0"/>
          <w:color w:val="000000"/>
          <w:sz w:val="32"/>
          <w:szCs w:val="32"/>
        </w:rPr>
      </w:pPr>
      <w:r>
        <w:rPr>
          <w:rStyle w:val="23"/>
          <w:rFonts w:ascii="仿宋" w:eastAsia="仿宋" w:hAnsi="仿宋" w:hint="eastAsia"/>
          <w:b w:val="0"/>
          <w:color w:val="000000"/>
          <w:sz w:val="32"/>
          <w:szCs w:val="32"/>
        </w:rPr>
        <w:t>12、社会保障和就业（类）行政事业单位离退休（款）机关事业单位基本养老保险缴费（项）</w:t>
      </w:r>
      <w:r>
        <w:rPr>
          <w:rStyle w:val="23"/>
          <w:rFonts w:ascii="仿宋" w:eastAsia="仿宋" w:hAnsi="仿宋"/>
          <w:b w:val="0"/>
          <w:color w:val="000000"/>
          <w:sz w:val="32"/>
          <w:szCs w:val="32"/>
        </w:rPr>
        <w:t>:</w:t>
      </w:r>
      <w:r>
        <w:rPr>
          <w:rStyle w:val="23"/>
          <w:rFonts w:ascii="仿宋" w:eastAsia="仿宋" w:hAnsi="仿宋" w:hint="eastAsia"/>
          <w:b w:val="0"/>
          <w:color w:val="000000"/>
          <w:sz w:val="32"/>
          <w:szCs w:val="32"/>
        </w:rPr>
        <w:t>指机关事业单位实施养老保险制度由单位缴纳的基本养老保险费支出。</w:t>
      </w:r>
    </w:p>
    <w:p>
      <w:pPr>
        <w:spacing w:line="600" w:lineRule="exact"/>
        <w:ind w:firstLineChars="200" w:firstLine="640"/>
        <w:rPr>
          <w:rStyle w:val="23"/>
          <w:rFonts w:ascii="仿宋" w:eastAsia="仿宋" w:hAnsi="仿宋"/>
          <w:b w:val="0"/>
          <w:color w:val="000000"/>
          <w:sz w:val="32"/>
          <w:szCs w:val="32"/>
        </w:rPr>
      </w:pPr>
      <w:r>
        <w:rPr>
          <w:rStyle w:val="23"/>
          <w:rFonts w:ascii="仿宋" w:eastAsia="仿宋" w:hAnsi="仿宋" w:hint="eastAsia"/>
          <w:b w:val="0"/>
          <w:color w:val="000000"/>
          <w:sz w:val="32"/>
          <w:szCs w:val="32"/>
        </w:rPr>
        <w:t>13、医疗卫生与计划生育（类）行政事业单位医疗（款）事业单位医疗（项）</w:t>
      </w:r>
      <w:r>
        <w:rPr>
          <w:rStyle w:val="23"/>
          <w:rFonts w:ascii="仿宋" w:eastAsia="仿宋" w:hAnsi="仿宋"/>
          <w:b w:val="0"/>
          <w:color w:val="000000"/>
          <w:sz w:val="32"/>
          <w:szCs w:val="32"/>
        </w:rPr>
        <w:t>:</w:t>
      </w:r>
      <w:r>
        <w:rPr>
          <w:rStyle w:val="23"/>
          <w:rFonts w:ascii="仿宋" w:eastAsia="仿宋" w:hAnsi="仿宋" w:hint="eastAsia"/>
          <w:b w:val="0"/>
          <w:color w:val="000000"/>
          <w:sz w:val="32"/>
          <w:szCs w:val="32"/>
        </w:rPr>
        <w:t>指财政部门集中安排的事业单位基本医疗保险缴费经费，未参加医疗保险的事业单位的公费医疗经费，按国家规定享受离休人员的医疗经费。</w:t>
      </w:r>
    </w:p>
    <w:p>
      <w:pPr>
        <w:spacing w:line="600" w:lineRule="exact"/>
        <w:ind w:firstLineChars="200" w:firstLine="640"/>
        <w:rPr>
          <w:rStyle w:val="23"/>
          <w:rFonts w:ascii="仿宋" w:eastAsia="仿宋" w:hAnsi="仿宋"/>
          <w:b w:val="0"/>
          <w:color w:val="000000"/>
          <w:sz w:val="32"/>
          <w:szCs w:val="32"/>
        </w:rPr>
      </w:pPr>
      <w:r>
        <w:rPr>
          <w:rStyle w:val="23"/>
          <w:rFonts w:ascii="仿宋" w:eastAsia="仿宋" w:hAnsi="仿宋" w:hint="eastAsia"/>
          <w:b w:val="0"/>
          <w:color w:val="000000"/>
          <w:sz w:val="32"/>
          <w:szCs w:val="32"/>
        </w:rPr>
        <w:t>14.农林水（类）扶贫（款）其他扶贫（项）：指除上述项目以外其他用于扶贫方面的支出。</w:t>
      </w:r>
    </w:p>
    <w:p>
      <w:pPr>
        <w:spacing w:line="600" w:lineRule="exact"/>
        <w:ind w:firstLine="640"/>
        <w:rPr>
          <w:rFonts w:ascii="仿宋" w:eastAsia="仿宋" w:hAnsi="仿宋"/>
          <w:b/>
          <w:color w:val="000000"/>
          <w:sz w:val="32"/>
          <w:szCs w:val="32"/>
        </w:rPr>
      </w:pPr>
      <w:r>
        <w:rPr>
          <w:rStyle w:val="23"/>
          <w:rFonts w:ascii="仿宋" w:eastAsia="仿宋" w:hAnsi="仿宋" w:hint="eastAsia"/>
          <w:b w:val="0"/>
          <w:color w:val="000000"/>
          <w:sz w:val="32"/>
          <w:szCs w:val="32"/>
        </w:rPr>
        <w:t>15、住房保障（类）住房改革（款）住房公积金（项）</w:t>
      </w:r>
      <w:r>
        <w:rPr>
          <w:rStyle w:val="23"/>
          <w:rFonts w:ascii="仿宋" w:eastAsia="仿宋" w:hAnsi="仿宋"/>
          <w:b w:val="0"/>
          <w:color w:val="000000"/>
          <w:sz w:val="32"/>
          <w:szCs w:val="32"/>
        </w:rPr>
        <w:t>:</w:t>
      </w:r>
      <w:r>
        <w:rPr>
          <w:rStyle w:val="23"/>
          <w:rFonts w:ascii="仿宋" w:eastAsia="仿宋" w:hAnsi="仿宋" w:hint="eastAsia"/>
          <w:b w:val="0"/>
          <w:color w:val="000000"/>
          <w:sz w:val="32"/>
          <w:szCs w:val="32"/>
        </w:rPr>
        <w:t>指行政事业单位按人力资源和社会保障部、财政部规定的基本工资和津贴补贴以及规定比例为职工缴纳的住房公积金。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pPr>
        <w:pStyle w:val="28"/>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Chars="200" w:firstLine="640"/>
        <w:rPr>
          <w:rFonts w:ascii="仿宋_GB2312" w:eastAsia="仿宋_GB2312" w:cs="黑体"/>
          <w:sz w:val="32"/>
          <w:szCs w:val="32"/>
        </w:rPr>
      </w:pPr>
    </w:p>
    <w:p>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9"/>
    </w:p>
    <w:p>
      <w:pPr>
        <w:spacing w:line="600" w:lineRule="exact"/>
        <w:jc w:val="left"/>
        <w:outlineLvl w:val="0"/>
        <w:rPr>
          <w:rFonts w:ascii="方正小标宋简体" w:eastAsia="方正小标宋简体" w:cs="方正小标宋简体" w:hAnsi="方正小标宋简体"/>
          <w:sz w:val="32"/>
          <w:szCs w:val="32"/>
        </w:rPr>
      </w:pPr>
      <w:r>
        <w:rPr>
          <w:rFonts w:ascii="黑体" w:eastAsia="黑体" w:cs="黑体" w:hAnsi="黑体" w:hint="eastAsia"/>
          <w:sz w:val="32"/>
          <w:szCs w:val="32"/>
        </w:rPr>
        <w:t>附件1</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rPr>
          <w:rFonts w:ascii="仿宋" w:eastAsia="仿宋" w:cs="仿宋" w:hAnsi="仿宋" w:hint="eastAsia"/>
          <w:b/>
          <w:bCs/>
          <w:color w:val="000000"/>
          <w:kern w:val="0"/>
          <w:sz w:val="40"/>
          <w:szCs w:val="44"/>
          <w:lang w:val="zh-CN"/>
        </w:rPr>
      </w:pPr>
      <w:r>
        <w:rPr>
          <w:rFonts w:ascii="仿宋" w:eastAsia="仿宋" w:cs="仿宋" w:hAnsi="仿宋" w:hint="eastAsia"/>
          <w:b/>
          <w:bCs/>
          <w:color w:val="000000"/>
          <w:kern w:val="0"/>
          <w:sz w:val="40"/>
          <w:szCs w:val="44"/>
          <w:lang w:val="zh-CN"/>
        </w:rPr>
        <w:t>利州区团委部门</w:t>
      </w:r>
      <w:r>
        <w:rPr>
          <w:rFonts w:ascii="仿宋" w:eastAsia="仿宋" w:cs="仿宋" w:hAnsi="仿宋" w:hint="eastAsia"/>
          <w:b/>
          <w:bCs/>
          <w:color w:val="000000"/>
          <w:kern w:val="0"/>
          <w:sz w:val="40"/>
          <w:szCs w:val="44"/>
        </w:rPr>
        <w:t>2019年部门</w:t>
      </w:r>
      <w:r>
        <w:rPr>
          <w:rFonts w:ascii="仿宋" w:eastAsia="仿宋" w:cs="仿宋" w:hAnsi="仿宋" w:hint="eastAsia"/>
          <w:b/>
          <w:bCs/>
          <w:color w:val="000000"/>
          <w:kern w:val="0"/>
          <w:sz w:val="40"/>
          <w:szCs w:val="44"/>
          <w:lang w:val="zh-CN"/>
        </w:rPr>
        <w:t>整体支出</w:t>
      </w:r>
    </w:p>
    <w:p>
      <w:pPr>
        <w:spacing w:line="600" w:lineRule="exact"/>
        <w:jc w:val="center"/>
        <w:rPr>
          <w:rFonts w:ascii="仿宋" w:eastAsia="仿宋" w:cs="仿宋" w:hAnsi="仿宋" w:hint="eastAsia"/>
          <w:b/>
          <w:bCs/>
          <w:color w:val="000000"/>
          <w:kern w:val="0"/>
          <w:sz w:val="40"/>
          <w:szCs w:val="44"/>
          <w:lang w:val="zh-CN"/>
        </w:rPr>
      </w:pPr>
      <w:r>
        <w:rPr>
          <w:rFonts w:ascii="仿宋" w:eastAsia="仿宋" w:cs="仿宋" w:hAnsi="仿宋" w:hint="eastAsia"/>
          <w:b/>
          <w:bCs/>
          <w:color w:val="000000"/>
          <w:kern w:val="0"/>
          <w:sz w:val="40"/>
          <w:szCs w:val="44"/>
          <w:lang w:val="zh-CN"/>
        </w:rPr>
        <w:t>绩效评价报告</w:t>
      </w:r>
    </w:p>
    <w:p>
      <w:pPr>
        <w:widowControl/>
        <w:adjustRightInd w:val="0"/>
        <w:snapToGrid w:val="0"/>
        <w:spacing w:line="580" w:lineRule="exact"/>
        <w:ind w:firstLineChars="200" w:firstLine="480"/>
        <w:contextualSpacing/>
        <w:jc w:val="left"/>
        <w:rPr>
          <w:rFonts w:ascii="黑体" w:eastAsia="黑体" w:cs="宋体" w:hAnsi="宋体"/>
          <w:color w:val="000000"/>
          <w:kern w:val="0"/>
          <w:sz w:val="24"/>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lang w:val="zh-CN"/>
        </w:rPr>
      </w:pPr>
      <w:r>
        <w:rPr>
          <w:rFonts w:ascii="黑体" w:eastAsia="黑体" w:cs="宋体" w:hAnsi="宋体" w:hint="eastAsia"/>
          <w:color w:val="000000"/>
          <w:kern w:val="0"/>
          <w:sz w:val="32"/>
          <w:szCs w:val="32"/>
          <w:shd w:val="clear" w:color="auto" w:fill="FFFFFF"/>
        </w:rPr>
        <w:t>一、</w:t>
      </w:r>
      <w:r>
        <w:rPr>
          <w:rFonts w:ascii="黑体" w:eastAsia="黑体" w:cs="宋体" w:hAnsi="宋体" w:hint="eastAsia"/>
          <w:color w:val="000000"/>
          <w:kern w:val="0"/>
          <w:sz w:val="32"/>
          <w:szCs w:val="32"/>
          <w:shd w:val="clear" w:color="auto" w:fill="FFFFFF"/>
          <w:lang w:val="zh-CN"/>
        </w:rPr>
        <w:t>部门（单位）概况</w:t>
      </w:r>
    </w:p>
    <w:p>
      <w:pPr>
        <w:ind w:firstLineChars="250" w:firstLine="800"/>
        <w:rPr>
          <w:rFonts w:ascii="仿宋" w:eastAsia="仿宋" w:hAnsi="仿宋"/>
          <w:sz w:val="32"/>
          <w:szCs w:val="32"/>
        </w:rPr>
      </w:pPr>
      <w:r>
        <w:rPr>
          <w:rFonts w:ascii="仿宋" w:eastAsia="仿宋" w:cs="仿宋_GB2312" w:hAnsi="仿宋"/>
          <w:sz w:val="32"/>
          <w:szCs w:val="32"/>
        </w:rPr>
        <w:t>（一）机构组成</w:t>
      </w:r>
      <w:r>
        <w:rPr>
          <w:rFonts w:ascii="仿宋" w:eastAsia="仿宋" w:cs="仿宋_GB2312" w:hAnsi="仿宋" w:hint="eastAsia"/>
          <w:sz w:val="32"/>
          <w:szCs w:val="32"/>
        </w:rPr>
        <w:t>：</w:t>
      </w:r>
      <w:r>
        <w:rPr>
          <w:rFonts w:ascii="仿宋" w:eastAsia="仿宋" w:hAnsi="仿宋" w:hint="eastAsia"/>
          <w:sz w:val="32"/>
          <w:szCs w:val="32"/>
        </w:rPr>
        <w:t>团区委是2019年部门决算汇编范围市委独立核算单位，本单位执行的是行政会计制度，属于利州区委下属二级单位。</w:t>
      </w:r>
    </w:p>
    <w:p>
      <w:pPr>
        <w:ind w:firstLineChars="300" w:firstLine="960"/>
        <w:rPr>
          <w:rFonts w:ascii="仿宋" w:eastAsia="仿宋" w:cs="仿宋" w:hAnsi="仿宋"/>
          <w:sz w:val="30"/>
          <w:szCs w:val="30"/>
        </w:rPr>
      </w:pPr>
      <w:r>
        <w:rPr>
          <w:rFonts w:ascii="仿宋" w:eastAsia="仿宋" w:cs="仿宋_GB2312" w:hAnsi="仿宋"/>
          <w:sz w:val="32"/>
          <w:szCs w:val="32"/>
        </w:rPr>
        <w:t>（二）机构职能。</w:t>
      </w:r>
      <w:r>
        <w:rPr>
          <w:rFonts w:ascii="仿宋" w:eastAsia="仿宋" w:cs="仿宋" w:hAnsi="仿宋" w:hint="eastAsia"/>
          <w:sz w:val="30"/>
          <w:szCs w:val="30"/>
        </w:rPr>
        <w:t>中国共产主义青年团是中国共产党领导的先进青年的群团组织,是广大青年在实践中学习共产主义的学校，是党的助手和后备军,是党联系青年的桥梁和纽带，是国家政权的重要社会支柱之一。中国共产主义青年团广元市利州区委员会是广元市利州区各级团组织的领导机关。</w:t>
      </w:r>
    </w:p>
    <w:p>
      <w:pPr>
        <w:rPr>
          <w:rFonts w:ascii="仿宋" w:eastAsia="仿宋" w:cs="仿宋" w:hAnsi="仿宋"/>
          <w:sz w:val="30"/>
          <w:szCs w:val="30"/>
        </w:rPr>
      </w:pPr>
      <w:r>
        <w:rPr>
          <w:rFonts w:ascii="仿宋" w:eastAsia="仿宋" w:cs="仿宋" w:hAnsi="仿宋" w:hint="eastAsia"/>
          <w:sz w:val="30"/>
          <w:szCs w:val="30"/>
        </w:rPr>
        <w:t xml:space="preserve">      一是领导全区共青团工作，组织全区共青团组织围绕首都改革、发展、稳定的大局开展工作，在利州区政治、经济、文化等活动中发挥党的助手作用。</w:t>
      </w:r>
    </w:p>
    <w:p>
      <w:pPr>
        <w:rPr>
          <w:rFonts w:ascii="仿宋" w:eastAsia="仿宋" w:cs="仿宋" w:hAnsi="仿宋"/>
          <w:sz w:val="30"/>
          <w:szCs w:val="30"/>
        </w:rPr>
      </w:pPr>
      <w:r>
        <w:rPr>
          <w:rFonts w:ascii="仿宋" w:eastAsia="仿宋" w:cs="仿宋" w:hAnsi="仿宋" w:hint="eastAsia"/>
          <w:sz w:val="30"/>
          <w:szCs w:val="30"/>
        </w:rPr>
        <w:t xml:space="preserve">    二是围绕区委、区政府中心工作，推进全区青少年精神文明建设；负责指导并组织实施全区青少年的思想理论教育、宣传文化活动，培养、选拔、推荐、表彰优秀青少年；指导全区志愿者工作的开展。</w:t>
      </w:r>
    </w:p>
    <w:p>
      <w:pPr>
        <w:rPr>
          <w:rFonts w:ascii="仿宋" w:eastAsia="仿宋" w:cs="仿宋" w:hAnsi="仿宋"/>
          <w:sz w:val="30"/>
          <w:szCs w:val="30"/>
        </w:rPr>
      </w:pPr>
      <w:r>
        <w:rPr>
          <w:rFonts w:ascii="仿宋" w:eastAsia="仿宋" w:cs="仿宋" w:hAnsi="仿宋" w:hint="eastAsia"/>
          <w:sz w:val="30"/>
          <w:szCs w:val="30"/>
        </w:rPr>
        <w:t xml:space="preserve">    三是负责全区共青团工作和青年工作的理论研究；向区委、区政府反映青少年思想状况，参与协调处理各种与青少年利益相关的工作；对青少年工作中的重大问题提出立法建议，参与有关全区性青少年法规的起草、实施、监督等工作。</w:t>
      </w:r>
    </w:p>
    <w:p>
      <w:pPr>
        <w:rPr>
          <w:rFonts w:ascii="仿宋" w:eastAsia="仿宋" w:cs="仿宋" w:hAnsi="仿宋"/>
          <w:sz w:val="30"/>
          <w:szCs w:val="30"/>
        </w:rPr>
      </w:pPr>
      <w:r>
        <w:rPr>
          <w:rFonts w:ascii="仿宋" w:eastAsia="仿宋" w:cs="仿宋" w:hAnsi="仿宋" w:hint="eastAsia"/>
          <w:sz w:val="30"/>
          <w:szCs w:val="30"/>
        </w:rPr>
        <w:t xml:space="preserve">    四是负责研究指导全区团的组织建设和干部队伍建设，推进全区团的基层组织建设；指导全区各级团校工作；指导全区共青团组织协助有关部门开展青年人力资源开发工作。</w:t>
      </w:r>
    </w:p>
    <w:p>
      <w:pPr>
        <w:rPr>
          <w:rFonts w:ascii="仿宋" w:eastAsia="仿宋" w:cs="仿宋" w:hAnsi="仿宋"/>
          <w:sz w:val="30"/>
          <w:szCs w:val="30"/>
        </w:rPr>
      </w:pPr>
      <w:r>
        <w:rPr>
          <w:rFonts w:ascii="仿宋" w:eastAsia="仿宋" w:cs="仿宋" w:hAnsi="仿宋" w:hint="eastAsia"/>
          <w:sz w:val="30"/>
          <w:szCs w:val="30"/>
        </w:rPr>
        <w:t xml:space="preserve">    五是负责全区青年统战工作。</w:t>
      </w:r>
    </w:p>
    <w:p>
      <w:pPr>
        <w:rPr>
          <w:rFonts w:ascii="仿宋" w:eastAsia="仿宋" w:cs="仿宋" w:hAnsi="仿宋"/>
          <w:sz w:val="30"/>
          <w:szCs w:val="30"/>
        </w:rPr>
      </w:pPr>
      <w:r>
        <w:rPr>
          <w:rFonts w:ascii="仿宋" w:eastAsia="仿宋" w:cs="仿宋" w:hAnsi="仿宋" w:hint="eastAsia"/>
          <w:sz w:val="30"/>
          <w:szCs w:val="30"/>
        </w:rPr>
        <w:t xml:space="preserve">    六是负责全区共青团系统外事工作和青少年对外交流工作。</w:t>
      </w:r>
    </w:p>
    <w:p>
      <w:pPr>
        <w:rPr>
          <w:rFonts w:ascii="仿宋" w:eastAsia="仿宋" w:cs="仿宋" w:hAnsi="仿宋"/>
          <w:sz w:val="30"/>
          <w:szCs w:val="30"/>
        </w:rPr>
      </w:pPr>
      <w:r>
        <w:rPr>
          <w:rFonts w:ascii="仿宋" w:eastAsia="仿宋" w:cs="仿宋" w:hAnsi="仿宋" w:hint="eastAsia"/>
          <w:sz w:val="30"/>
          <w:szCs w:val="30"/>
        </w:rPr>
        <w:t xml:space="preserve">    七是指导和帮助区青联、区少先队工作委员会开展工作；协助有关部门对所主管的社会团体进行监督管理。</w:t>
      </w:r>
    </w:p>
    <w:p>
      <w:pPr>
        <w:rPr>
          <w:rFonts w:ascii="仿宋" w:eastAsia="仿宋" w:cs="仿宋" w:hAnsi="仿宋"/>
          <w:sz w:val="30"/>
          <w:szCs w:val="30"/>
        </w:rPr>
      </w:pPr>
      <w:r>
        <w:rPr>
          <w:rFonts w:ascii="仿宋" w:eastAsia="仿宋" w:cs="仿宋" w:hAnsi="仿宋" w:hint="eastAsia"/>
          <w:sz w:val="30"/>
          <w:szCs w:val="30"/>
        </w:rPr>
        <w:t xml:space="preserve">    八是负责团区委直属企事业单位的管理工作；筹措青少年事业发展经费。</w:t>
      </w:r>
    </w:p>
    <w:p>
      <w:pPr>
        <w:pStyle w:val="22"/>
        <w:spacing w:before="0" w:beforeAutospacing="0" w:after="0" w:afterAutospacing="0" w:line="576" w:lineRule="exact"/>
        <w:ind w:firstLineChars="200" w:firstLine="600"/>
        <w:rPr>
          <w:rFonts w:ascii="仿宋" w:eastAsia="仿宋" w:cs="仿宋" w:hAnsi="仿宋"/>
          <w:sz w:val="30"/>
          <w:szCs w:val="30"/>
        </w:rPr>
      </w:pPr>
      <w:r>
        <w:rPr>
          <w:rFonts w:ascii="仿宋" w:eastAsia="仿宋" w:cs="仿宋" w:hAnsi="仿宋" w:hint="eastAsia"/>
          <w:sz w:val="30"/>
          <w:szCs w:val="30"/>
        </w:rPr>
        <w:t>九是承办区委、区政府和共青团广元市委交办的其他事项。</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（三）人员概况</w:t>
      </w:r>
      <w:r>
        <w:rPr>
          <w:rFonts w:ascii="仿宋" w:eastAsia="仿宋" w:cs="仿宋_GB2312" w:hAnsi="仿宋" w:hint="eastAsia"/>
          <w:sz w:val="32"/>
          <w:szCs w:val="32"/>
        </w:rPr>
        <w:t>：</w:t>
      </w:r>
      <w:r>
        <w:rPr>
          <w:rFonts w:ascii="仿宋" w:eastAsia="仿宋" w:cs="仿宋" w:hAnsi="仿宋" w:hint="eastAsia"/>
          <w:sz w:val="30"/>
          <w:szCs w:val="30"/>
        </w:rPr>
        <w:t>团区委总编制4名，其中参照公务员法管理的编制4名。在职人员总数3人，其中机关行政编制3名（乡镇正科级干部1人，乡镇副科级干部1人，科员1人）。</w:t>
      </w:r>
    </w:p>
    <w:p>
      <w:pPr>
        <w:spacing w:line="580" w:lineRule="exact"/>
        <w:ind w:firstLineChars="200" w:firstLine="640"/>
        <w:rPr>
          <w:rFonts w:ascii="黑体" w:eastAsia="黑体" w:cs="黑体" w:hAnsi="黑体"/>
          <w:sz w:val="32"/>
          <w:szCs w:val="32"/>
        </w:rPr>
      </w:pPr>
      <w:r>
        <w:rPr>
          <w:rFonts w:ascii="黑体" w:eastAsia="黑体" w:cs="黑体" w:hAnsi="黑体"/>
          <w:sz w:val="32"/>
          <w:szCs w:val="32"/>
        </w:rPr>
        <w:t>二、部门财政资金收支情况</w:t>
      </w:r>
    </w:p>
    <w:p>
      <w:pPr>
        <w:spacing w:line="600" w:lineRule="exact"/>
        <w:ind w:firstLineChars="200" w:firstLine="640"/>
        <w:outlineLvl w:val="1"/>
        <w:rPr>
          <w:rFonts w:ascii="仿宋" w:eastAsia="仿宋" w:cs="仿宋_GB2312" w:hAnsi="仿宋"/>
          <w:sz w:val="32"/>
          <w:szCs w:val="32"/>
        </w:rPr>
      </w:pPr>
      <w:r>
        <w:rPr>
          <w:rFonts w:ascii="仿宋" w:eastAsia="仿宋" w:cs="仿宋_GB2312" w:hAnsi="仿宋"/>
          <w:sz w:val="32"/>
          <w:szCs w:val="32"/>
        </w:rPr>
        <w:t>（一）部门财政资金收入情况</w:t>
      </w:r>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9年本年收入合计51.63万元，其中：一般公共预算财政拨款收入51.63万元，占100</w:t>
      </w:r>
      <w:r>
        <w:rPr>
          <w:rFonts w:ascii="仿宋" w:eastAsia="仿宋" w:hAnsi="仿宋"/>
          <w:color w:val="000000"/>
          <w:sz w:val="32"/>
          <w:szCs w:val="32"/>
        </w:rPr>
        <w:t>%</w:t>
      </w:r>
      <w:r>
        <w:rPr>
          <w:rFonts w:ascii="仿宋" w:eastAsia="仿宋" w:hAnsi="仿宋" w:hint="eastAsia"/>
          <w:color w:val="000000"/>
          <w:sz w:val="32"/>
          <w:szCs w:val="32"/>
        </w:rPr>
        <w:t>。</w:t>
      </w:r>
    </w:p>
    <w:p>
      <w:pPr>
        <w:pStyle w:val="29"/>
        <w:numPr>
          <w:ilvl w:val="0"/>
          <w:numId w:val="6"/>
        </w:numPr>
        <w:spacing w:line="600" w:lineRule="exact"/>
        <w:ind w:left="0" w:firstLineChars="100" w:firstLine="320"/>
        <w:outlineLvl w:val="1"/>
        <w:rPr>
          <w:rStyle w:val="2Char"/>
          <w:rFonts w:ascii="黑体" w:eastAsia="黑体" w:hAnsi="黑体"/>
          <w:b w:val="0"/>
        </w:rPr>
      </w:pPr>
      <w:r>
        <w:rPr>
          <w:rFonts w:ascii="黑体" w:eastAsia="黑体" w:hAnsi="黑体" w:hint="eastAsia"/>
          <w:color w:val="000000"/>
          <w:sz w:val="32"/>
          <w:szCs w:val="32"/>
        </w:rPr>
        <w:t>部门财政资金支</w:t>
      </w:r>
      <w:r>
        <w:rPr>
          <w:rStyle w:val="2Char"/>
          <w:rFonts w:ascii="黑体" w:eastAsia="黑体" w:hAnsi="黑体" w:hint="eastAsia"/>
          <w:b w:val="0"/>
        </w:rPr>
        <w:t>出情况</w:t>
      </w:r>
    </w:p>
    <w:p>
      <w:pPr>
        <w:pStyle w:val="29"/>
        <w:spacing w:line="600" w:lineRule="exact"/>
        <w:outlineLvl w:val="1"/>
        <w:rPr>
          <w:rFonts w:ascii="仿宋" w:eastAsia="仿宋" w:cs="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9年本年支出合计52.44万元，其中：基本支出41.28万元，占78.72</w:t>
      </w:r>
      <w:r>
        <w:rPr>
          <w:rFonts w:ascii="仿宋" w:eastAsia="仿宋" w:hAnsi="仿宋"/>
          <w:color w:val="000000"/>
          <w:sz w:val="32"/>
          <w:szCs w:val="32"/>
        </w:rPr>
        <w:t>%</w:t>
      </w:r>
      <w:r>
        <w:rPr>
          <w:rFonts w:ascii="仿宋" w:eastAsia="仿宋" w:hAnsi="仿宋" w:hint="eastAsia"/>
          <w:color w:val="000000"/>
          <w:sz w:val="32"/>
          <w:szCs w:val="32"/>
        </w:rPr>
        <w:t>；项目支出11.16</w:t>
      </w:r>
      <w:r>
        <w:rPr>
          <w:rFonts w:ascii="仿宋" w:eastAsia="仿宋" w:cs="仿宋" w:hAnsi="仿宋" w:hint="eastAsia"/>
          <w:color w:val="000000"/>
          <w:sz w:val="32"/>
          <w:szCs w:val="32"/>
        </w:rPr>
        <w:t>万元，占21.28%。</w:t>
      </w:r>
    </w:p>
    <w:p>
      <w:pPr>
        <w:numPr>
          <w:ilvl w:val="0"/>
          <w:numId w:val="1"/>
        </w:numPr>
        <w:spacing w:line="600" w:lineRule="exact"/>
        <w:ind w:left="1360" w:hanging="720"/>
        <w:rPr>
          <w:rFonts w:ascii="仿宋" w:eastAsia="仿宋" w:cs="仿宋" w:hAnsi="仿宋" w:hint="eastAsia"/>
          <w:b/>
          <w:bCs/>
          <w:sz w:val="32"/>
          <w:szCs w:val="32"/>
        </w:rPr>
      </w:pPr>
      <w:r>
        <w:rPr>
          <w:rFonts w:ascii="仿宋" w:eastAsia="仿宋" w:cs="仿宋" w:hAnsi="仿宋" w:hint="eastAsia"/>
          <w:b/>
          <w:bCs/>
          <w:sz w:val="32"/>
          <w:szCs w:val="32"/>
        </w:rPr>
        <w:t>部门整体预算绩效管理情况</w:t>
      </w:r>
    </w:p>
    <w:p>
      <w:pPr>
        <w:spacing w:line="600" w:lineRule="exact"/>
        <w:ind w:left="640" w:firstLineChars="200" w:firstLine="640"/>
        <w:rPr>
          <w:rFonts w:ascii="仿宋" w:eastAsia="仿宋" w:hAnsi="仿宋" w:hint="eastAsia"/>
          <w:color w:val="000000"/>
          <w:sz w:val="32"/>
          <w:szCs w:val="32"/>
          <w:lang w:eastAsia="zh-CN"/>
        </w:rPr>
      </w:pPr>
      <w:r>
        <w:rPr>
          <w:rFonts w:ascii="仿宋" w:eastAsia="仿宋" w:cs="仿宋" w:hAnsi="仿宋" w:hint="eastAsia"/>
          <w:sz w:val="32"/>
          <w:szCs w:val="32"/>
        </w:rPr>
        <w:t>（一）部门预算管理</w:t>
        <w:br/>
        <w:t xml:space="preserve">    团区委成立了以单位负责人为组长、其他人员为成员的绩效管理领导小组。年初制定相应的绩效目标，分阶段进行相应的对照检查，确保目标的完成。严格按规定，根据实际需要编制预算，各项支出厉行节约，采取先申请后实施的方法，坚决杜绝超预算支出。全年预算支出完成率达100%</w:t>
      </w:r>
      <w:r>
        <w:rPr>
          <w:rFonts w:ascii="仿宋" w:eastAsia="仿宋" w:cs="仿宋" w:hAnsi="仿宋" w:hint="eastAsia"/>
          <w:sz w:val="32"/>
          <w:szCs w:val="32"/>
          <w:lang w:eastAsia="zh-CN"/>
        </w:rPr>
        <w:t>。</w:t>
      </w:r>
    </w:p>
    <w:p>
      <w:pPr>
        <w:ind w:leftChars="304" w:left="958" w:hangingChars="100" w:hanging="320"/>
        <w:rPr>
          <w:rFonts w:ascii="仿宋" w:eastAsia="仿宋" w:cs="仿宋" w:hAnsi="仿宋"/>
          <w:sz w:val="32"/>
          <w:szCs w:val="32"/>
        </w:rPr>
      </w:pPr>
      <w:r>
        <w:rPr>
          <w:rFonts w:ascii="仿宋" w:eastAsia="仿宋" w:cs="仿宋" w:hAnsi="仿宋" w:hint="eastAsia"/>
          <w:sz w:val="32"/>
          <w:szCs w:val="32"/>
        </w:rPr>
        <w:t>（二）专项预算管理</w:t>
      </w:r>
    </w:p>
    <w:p>
      <w:pPr>
        <w:ind w:firstLineChars="300" w:firstLine="960"/>
        <w:rPr>
          <w:rFonts w:ascii="仿宋" w:eastAsia="仿宋" w:cs="仿宋" w:hAnsi="仿宋"/>
          <w:sz w:val="32"/>
          <w:szCs w:val="32"/>
        </w:rPr>
      </w:pPr>
      <w:r>
        <w:rPr>
          <w:rFonts w:ascii="仿宋" w:eastAsia="仿宋" w:cs="仿宋" w:hAnsi="仿宋" w:hint="eastAsia"/>
          <w:sz w:val="32"/>
          <w:szCs w:val="32"/>
        </w:rPr>
        <w:t>团区委在项目管理实施时先制定工作计划、明确责任领导和具体负责人等，严格项目绩效评估，根据工作进度进行资金拨付使用。全年无违纪违规现象发生。</w:t>
        <w:br/>
        <w:t xml:space="preserve">   （三）结果应用情况</w:t>
        <w:br/>
        <w:t xml:space="preserve">    团区委整体预算管理情况良好，各种资金使用合理合规，公开公正，无徇私舞弊，圆满完成各项目标任务。</w:t>
        <w:br/>
        <w:t xml:space="preserve">    四、评价结论及建议</w:t>
        <w:br/>
        <w:t xml:space="preserve">   （一）评价结论：2019年团区委在区委的领导下，在团市委的指导下，顺利完成了各项目标任务，通过绩效目标考核，并取得优异成绩。</w:t>
        <w:br/>
        <w:t xml:space="preserve">   （二）存在问题：全年在资金安排和使用上，还存在不及时、不规范的现象。</w:t>
        <w:br/>
        <w:t xml:space="preserve">    （三）改进建议：加强制度建设，健全财务管理制度，严格资金审批程序，加大资金监管力，提高资金使用效益。严格落实资金使用用途，确保无违纪违行为发生。</w:t>
      </w:r>
    </w:p>
    <w:p>
      <w:pPr>
        <w:widowControl/>
        <w:ind w:firstLineChars="100" w:firstLine="320"/>
        <w:jc w:val="left"/>
        <w:rPr>
          <w:rStyle w:val="1Char"/>
          <w:rFonts w:ascii="仿宋" w:eastAsia="仿宋" w:hAnsi="仿宋" w:hint="eastAsia"/>
          <w:b w:val="0"/>
          <w:bCs w:val="0"/>
          <w:sz w:val="32"/>
          <w:szCs w:val="32"/>
        </w:rPr>
      </w:pPr>
      <w:bookmarkStart w:id="60" w:name="_Toc15396617"/>
    </w:p>
    <w:p>
      <w:pPr>
        <w:widowControl/>
        <w:jc w:val="left"/>
        <w:rPr>
          <w:rStyle w:val="1Char"/>
          <w:rFonts w:ascii="仿宋" w:eastAsia="仿宋" w:hAnsi="仿宋"/>
          <w:b w:val="0"/>
          <w:bCs w:val="0"/>
          <w:sz w:val="32"/>
          <w:szCs w:val="32"/>
        </w:rPr>
      </w:pPr>
      <w:r>
        <w:rPr>
          <w:rStyle w:val="1Char"/>
          <w:rFonts w:ascii="仿宋" w:eastAsia="仿宋" w:hAnsi="仿宋" w:hint="eastAsia"/>
          <w:b w:val="0"/>
          <w:bCs w:val="0"/>
          <w:sz w:val="32"/>
          <w:szCs w:val="32"/>
        </w:rPr>
        <w:t>附件2</w:t>
      </w:r>
      <w:bookmarkEnd w:id="60"/>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2019年“关爱留守儿童”项目支出</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绩效评价报告</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（一）项目选点：关爱留守儿童项目自实施以来，一直受到各级政府和社会爱心人士的关注和支持，其中“童伴计划”选址在荣山镇雷坝社区、三堆镇井田村</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评价指标：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被评价项目绩效评价指标体系设置三个一级指标、八个二级指标、十五个三级指标。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（1）一级指标：项目设置项目完成、项目效益、满意度指标三个。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（2）二级指标：项目完成设置数量目标、质量指标、时效指标和成本指标四个，项目效益设置经济效益、社会效益和可持续影响指标三个，满意度指标设置社会满意度指标一个。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三级指标：数量指标设置指标1：为试点社区提供日常工作经费，保障“童伴计划”顺利开展，为留守儿童提供亲情陪护，指标2：为试点社区提供日常工作经费，保障“城乡社区互助计划”顺利开展；社会效益指标设置为留守儿童提供亲情陪护，让留守儿童健康成长；社会满意度指标为让留守儿童满意。</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（三）评价方法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绩效评价方法主要采用成本效益分析法、比较法、因素分析法、最低成本法、公众评判法等。</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2019年度关爱留守儿童项目实现了对农村留守儿童的关爱和亲情陪护，让留守儿童健康成长，项目受益儿童50余人。项目目标明确、资金到位率高、资金使用规范、组织监管体系完善，项目质量达到相关行业标准，符合经济社会发展和客观实际的要求，达到预期绩效目标要求。</w:t>
      </w:r>
    </w:p>
    <w:p>
      <w:pPr>
        <w:jc w:val="center"/>
        <w:rPr>
          <w:rFonts w:ascii="黑体" w:eastAsia="黑体" w:hAnsi="黑体"/>
          <w:color w:val="000000"/>
          <w:sz w:val="32"/>
          <w:szCs w:val="32"/>
        </w:rPr>
      </w:pPr>
      <w:r>
        <w:rPr>
          <w:rFonts w:ascii="黑体" w:eastAsia="黑体" w:cs="方正小标宋简体" w:hAnsi="黑体" w:hint="eastAsia"/>
          <w:sz w:val="32"/>
          <w:szCs w:val="32"/>
        </w:rPr>
        <w:t>关爱留守儿童</w:t>
      </w:r>
      <w:r>
        <w:rPr>
          <w:rFonts w:ascii="黑体" w:eastAsia="黑体" w:hAnsi="黑体" w:hint="eastAsia"/>
          <w:color w:val="000000"/>
          <w:sz w:val="32"/>
          <w:szCs w:val="32"/>
        </w:rPr>
        <w:t>项目支出绩效评价得分表</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94"/>
        <w:gridCol w:w="1820"/>
        <w:gridCol w:w="3047"/>
        <w:gridCol w:w="1130"/>
        <w:gridCol w:w="1131"/>
      </w:tblGrid>
      <w:tr>
        <w:trPr>
          <w:trHeight w:val="340"/>
        </w:trPr>
        <w:tc>
          <w:tcPr>
            <w:tcW w:w="818" w:type="pct"/>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项目名称</w:t>
            </w:r>
          </w:p>
        </w:tc>
        <w:tc>
          <w:tcPr>
            <w:tcW w:w="4182" w:type="pct"/>
            <w:gridSpan w:val="4"/>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黑体" w:eastAsia="黑体" w:hAnsi="黑体" w:hint="eastAsia"/>
                <w:color w:val="000000"/>
                <w:sz w:val="28"/>
                <w:szCs w:val="28"/>
              </w:rPr>
              <w:t>党风廉政</w:t>
            </w:r>
          </w:p>
        </w:tc>
      </w:tr>
      <w:tr>
        <w:trPr>
          <w:trHeight w:val="340"/>
        </w:trPr>
        <w:tc>
          <w:tcPr>
            <w:tcW w:w="818" w:type="pct"/>
            <w:tcBorders>
              <w:top w:val="single" w:sz="4" w:space="0" w:color="auto"/>
              <w:left w:val="single" w:sz="4" w:space="0" w:color="auto"/>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1068"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指标</w:t>
            </w:r>
          </w:p>
        </w:tc>
        <w:tc>
          <w:tcPr>
            <w:tcW w:w="1788"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三级指标</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b/>
                <w:bCs/>
                <w:color w:val="000000"/>
                <w:kern w:val="0"/>
                <w:sz w:val="20"/>
                <w:szCs w:val="20"/>
              </w:rPr>
            </w:pPr>
            <w:r>
              <w:rPr>
                <w:rFonts w:ascii="宋体" w:hAnsi="宋体" w:hint="eastAsia"/>
                <w:b/>
                <w:bCs/>
                <w:color w:val="000000"/>
                <w:kern w:val="0"/>
                <w:sz w:val="20"/>
                <w:szCs w:val="20"/>
              </w:rPr>
              <w:t>分值</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b/>
                <w:bCs/>
                <w:color w:val="000000"/>
                <w:kern w:val="0"/>
                <w:sz w:val="18"/>
                <w:szCs w:val="18"/>
              </w:rPr>
            </w:pPr>
            <w:r>
              <w:rPr>
                <w:rFonts w:ascii="宋体" w:hAnsi="宋体" w:hint="eastAsia"/>
                <w:b/>
                <w:bCs/>
                <w:color w:val="000000"/>
                <w:kern w:val="0"/>
                <w:sz w:val="18"/>
                <w:szCs w:val="18"/>
              </w:rPr>
              <w:t>得分</w:t>
            </w:r>
          </w:p>
        </w:tc>
      </w:tr>
      <w:tr>
        <w:trPr>
          <w:trHeight w:val="340"/>
        </w:trPr>
        <w:tc>
          <w:tcPr>
            <w:tcW w:w="818" w:type="pct"/>
            <w:vMerge w:val="restart"/>
            <w:tcBorders>
              <w:top w:val="nil"/>
              <w:left w:val="single" w:sz="4" w:space="0" w:color="auto"/>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项目完成指标</w:t>
            </w:r>
          </w:p>
        </w:tc>
        <w:tc>
          <w:tcPr>
            <w:tcW w:w="1068" w:type="pct"/>
            <w:vMerge w:val="restart"/>
            <w:tcBorders>
              <w:top w:val="nil"/>
              <w:left w:val="nil"/>
              <w:bottom w:val="single" w:sz="4" w:space="0" w:color="auto"/>
              <w:right w:val="single" w:sz="4" w:space="0" w:color="auto"/>
            </w:tcBorders>
            <w:vAlign w:val="center"/>
          </w:tcPr>
          <w:p>
            <w:pPr>
              <w:widowControl/>
              <w:jc w:val="center"/>
              <w:textAlignment w:val="center"/>
              <w:rPr>
                <w:rFonts w:ascii="宋体" w:hAnsi="宋体"/>
                <w:color w:val="000000"/>
                <w:kern w:val="0"/>
                <w:sz w:val="20"/>
                <w:szCs w:val="20"/>
              </w:rPr>
            </w:pPr>
            <w:r>
              <w:rPr>
                <w:rFonts w:ascii="宋体" w:cs="宋体" w:hAnsi="宋体" w:hint="eastAsia"/>
                <w:color w:val="000000"/>
                <w:sz w:val="24"/>
              </w:rPr>
              <w:t>数量指标</w:t>
            </w:r>
          </w:p>
        </w:tc>
        <w:tc>
          <w:tcPr>
            <w:tcW w:w="1788" w:type="pct"/>
            <w:tcBorders>
              <w:top w:val="single" w:sz="4" w:space="0" w:color="auto"/>
              <w:left w:val="nil"/>
              <w:bottom w:val="single" w:sz="4" w:space="0" w:color="auto"/>
              <w:right w:val="single" w:sz="4" w:space="0" w:color="auto"/>
            </w:tcBorders>
            <w:vAlign w:val="center"/>
          </w:tcPr>
          <w:p>
            <w:pPr>
              <w:widowControl/>
              <w:jc w:val="center"/>
              <w:textAlignment w:val="center"/>
              <w:rPr>
                <w:rFonts w:ascii="宋体" w:hAnsi="宋体"/>
                <w:color w:val="000000"/>
                <w:kern w:val="0"/>
                <w:sz w:val="20"/>
                <w:szCs w:val="20"/>
              </w:rPr>
            </w:pPr>
            <w:r>
              <w:rPr>
                <w:rFonts w:ascii="宋体" w:cs="宋体" w:hAnsi="宋体" w:hint="eastAsia"/>
                <w:color w:val="000000"/>
                <w:sz w:val="24"/>
              </w:rPr>
              <w:t>为留守儿童提供各类服务</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25</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25</w:t>
            </w:r>
          </w:p>
        </w:tc>
      </w:tr>
      <w:tr>
        <w:trPr>
          <w:trHeight w:val="340"/>
        </w:trPr>
        <w:tc>
          <w:tcPr>
            <w:tcW w:w="818" w:type="pct"/>
            <w:vMerge/>
            <w:tcBorders>
              <w:top w:val="nil"/>
              <w:left w:val="single" w:sz="4" w:space="0" w:color="auto"/>
              <w:bottom w:val="single" w:sz="4" w:space="0" w:color="auto"/>
              <w:right w:val="single" w:sz="4" w:space="0" w:color="auto"/>
            </w:tcBorders>
            <w:vAlign w:val="center"/>
          </w:tcPr>
          <w:p/>
        </w:tc>
        <w:tc>
          <w:tcPr>
            <w:tcW w:w="1068" w:type="pct"/>
            <w:vMerge/>
            <w:tcBorders>
              <w:top w:val="nil"/>
              <w:left w:val="nil"/>
              <w:bottom w:val="single" w:sz="4" w:space="0" w:color="auto"/>
              <w:right w:val="single" w:sz="4" w:space="0" w:color="auto"/>
            </w:tcBorders>
            <w:vAlign w:val="center"/>
          </w:tcPr>
          <w:p/>
        </w:tc>
        <w:tc>
          <w:tcPr>
            <w:tcW w:w="1788"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完成质量</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10</w:t>
            </w:r>
          </w:p>
        </w:tc>
      </w:tr>
      <w:tr>
        <w:trPr>
          <w:trHeight w:val="340"/>
        </w:trPr>
        <w:tc>
          <w:tcPr>
            <w:tcW w:w="818" w:type="pct"/>
            <w:vMerge/>
            <w:tcBorders>
              <w:top w:val="nil"/>
              <w:left w:val="single" w:sz="4" w:space="0" w:color="auto"/>
              <w:bottom w:val="single" w:sz="4" w:space="0" w:color="auto"/>
              <w:right w:val="single" w:sz="4" w:space="0" w:color="auto"/>
            </w:tcBorders>
            <w:vAlign w:val="center"/>
          </w:tcPr>
          <w:p/>
        </w:tc>
        <w:tc>
          <w:tcPr>
            <w:tcW w:w="1068" w:type="pct"/>
            <w:vMerge/>
            <w:tcBorders>
              <w:top w:val="nil"/>
              <w:left w:val="nil"/>
              <w:bottom w:val="single" w:sz="4" w:space="0" w:color="auto"/>
              <w:right w:val="single" w:sz="4" w:space="0" w:color="auto"/>
            </w:tcBorders>
            <w:vAlign w:val="center"/>
          </w:tcPr>
          <w:p/>
        </w:tc>
        <w:tc>
          <w:tcPr>
            <w:tcW w:w="1788"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完成时效</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10</w:t>
            </w:r>
          </w:p>
        </w:tc>
      </w:tr>
      <w:tr>
        <w:trPr>
          <w:trHeight w:val="340"/>
        </w:trPr>
        <w:tc>
          <w:tcPr>
            <w:tcW w:w="818" w:type="pct"/>
            <w:vMerge/>
            <w:tcBorders>
              <w:top w:val="nil"/>
              <w:left w:val="single" w:sz="4" w:space="0" w:color="auto"/>
              <w:bottom w:val="single" w:sz="4" w:space="0" w:color="auto"/>
              <w:right w:val="single" w:sz="4" w:space="0" w:color="auto"/>
            </w:tcBorders>
            <w:vAlign w:val="center"/>
          </w:tcPr>
          <w:p/>
        </w:tc>
        <w:tc>
          <w:tcPr>
            <w:tcW w:w="1068" w:type="pct"/>
            <w:vMerge/>
            <w:tcBorders>
              <w:top w:val="nil"/>
              <w:left w:val="nil"/>
              <w:bottom w:val="single" w:sz="4" w:space="0" w:color="auto"/>
              <w:right w:val="single" w:sz="4" w:space="0" w:color="auto"/>
            </w:tcBorders>
            <w:vAlign w:val="center"/>
          </w:tcPr>
          <w:p/>
        </w:tc>
        <w:tc>
          <w:tcPr>
            <w:tcW w:w="1788"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完成成本</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5</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color w:val="000000"/>
                <w:kern w:val="0"/>
              </w:rPr>
              <w:t>5</w:t>
            </w:r>
          </w:p>
        </w:tc>
      </w:tr>
      <w:tr>
        <w:trPr>
          <w:trHeight w:val="340"/>
        </w:trPr>
        <w:tc>
          <w:tcPr>
            <w:tcW w:w="818" w:type="pct"/>
            <w:vMerge/>
            <w:tcBorders>
              <w:top w:val="nil"/>
              <w:left w:val="single" w:sz="4" w:space="0" w:color="auto"/>
              <w:bottom w:val="single" w:sz="4" w:space="0" w:color="auto"/>
              <w:right w:val="single" w:sz="4" w:space="0" w:color="auto"/>
            </w:tcBorders>
            <w:vAlign w:val="center"/>
          </w:tcPr>
          <w:p/>
        </w:tc>
        <w:tc>
          <w:tcPr>
            <w:tcW w:w="1068" w:type="pct"/>
            <w:tcBorders>
              <w:top w:val="nil"/>
              <w:left w:val="nil"/>
              <w:bottom w:val="single" w:sz="4" w:space="0" w:color="auto"/>
              <w:right w:val="single" w:sz="4" w:space="0" w:color="auto"/>
            </w:tcBorders>
            <w:vAlign w:val="center"/>
          </w:tcPr>
          <w:p>
            <w:pPr>
              <w:widowControl/>
              <w:jc w:val="center"/>
              <w:textAlignment w:val="center"/>
              <w:rPr>
                <w:rFonts w:ascii="宋体" w:hAnsi="宋体"/>
                <w:color w:val="000000"/>
                <w:kern w:val="0"/>
                <w:sz w:val="20"/>
                <w:szCs w:val="20"/>
              </w:rPr>
            </w:pPr>
            <w:r>
              <w:rPr>
                <w:rFonts w:ascii="宋体" w:cs="宋体" w:hAnsi="宋体" w:hint="eastAsia"/>
                <w:color w:val="000000"/>
                <w:sz w:val="24"/>
              </w:rPr>
              <w:t>质量指标</w:t>
            </w:r>
          </w:p>
        </w:tc>
        <w:tc>
          <w:tcPr>
            <w:tcW w:w="1788" w:type="pct"/>
            <w:tcBorders>
              <w:top w:val="single" w:sz="4" w:space="0" w:color="auto"/>
              <w:left w:val="nil"/>
              <w:right w:val="single" w:sz="4" w:space="0" w:color="auto"/>
            </w:tcBorders>
            <w:vAlign w:val="center"/>
          </w:tcPr>
          <w:p>
            <w:pPr>
              <w:widowControl/>
              <w:tabs>
                <w:tab w:val="left" w:pos="533"/>
              </w:tabs>
              <w:jc w:val="center"/>
              <w:textAlignment w:val="center"/>
              <w:rPr>
                <w:rFonts w:ascii="宋体" w:hAnsi="宋体"/>
                <w:color w:val="000000"/>
                <w:kern w:val="0"/>
                <w:sz w:val="20"/>
                <w:szCs w:val="20"/>
              </w:rPr>
            </w:pPr>
            <w:r>
              <w:rPr>
                <w:rFonts w:ascii="宋体" w:hAnsi="宋体" w:hint="eastAsia"/>
                <w:color w:val="000000"/>
                <w:kern w:val="0"/>
                <w:sz w:val="20"/>
                <w:szCs w:val="20"/>
              </w:rPr>
              <w:t>为试点社区提供日常工作经费</w:t>
            </w:r>
          </w:p>
        </w:tc>
        <w:tc>
          <w:tcPr>
            <w:tcW w:w="663" w:type="pct"/>
            <w:tcBorders>
              <w:top w:val="nil"/>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20</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20</w:t>
            </w:r>
          </w:p>
        </w:tc>
      </w:tr>
      <w:tr>
        <w:trPr>
          <w:trHeight w:val="340"/>
        </w:trPr>
        <w:tc>
          <w:tcPr>
            <w:tcW w:w="818" w:type="pct"/>
            <w:tcBorders>
              <w:top w:val="nil"/>
              <w:left w:val="single" w:sz="4" w:space="0" w:color="auto"/>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68" w:type="pct"/>
            <w:tcBorders>
              <w:top w:val="nil"/>
              <w:left w:val="nil"/>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1788" w:type="pct"/>
            <w:tcBorders>
              <w:top w:val="single" w:sz="4" w:space="0" w:color="auto"/>
              <w:left w:val="nil"/>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留守儿童健康成长</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20</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20</w:t>
            </w:r>
          </w:p>
        </w:tc>
      </w:tr>
      <w:tr>
        <w:trPr>
          <w:trHeight w:val="340"/>
        </w:trPr>
        <w:tc>
          <w:tcPr>
            <w:tcW w:w="818" w:type="pct"/>
            <w:tcBorders>
              <w:top w:val="nil"/>
              <w:left w:val="single" w:sz="4" w:space="0" w:color="auto"/>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68" w:type="pct"/>
            <w:tcBorders>
              <w:top w:val="nil"/>
              <w:left w:val="nil"/>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1788" w:type="pct"/>
            <w:tcBorders>
              <w:top w:val="single" w:sz="4" w:space="0" w:color="auto"/>
              <w:left w:val="nil"/>
              <w:bottom w:val="single" w:sz="4" w:space="0" w:color="auto"/>
              <w:right w:val="single" w:sz="4" w:space="0" w:color="auto"/>
            </w:tcBorders>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留守儿童满意</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sz w:val="20"/>
                <w:szCs w:val="20"/>
              </w:rPr>
            </w:pPr>
            <w:r>
              <w:rPr>
                <w:rFonts w:ascii="宋体" w:hAnsi="宋体" w:hint="eastAsia"/>
                <w:color w:val="000000"/>
                <w:kern w:val="0"/>
                <w:sz w:val="20"/>
                <w:szCs w:val="20"/>
              </w:rPr>
              <w:t>10</w:t>
            </w:r>
          </w:p>
        </w:tc>
        <w:tc>
          <w:tcPr>
            <w:tcW w:w="663" w:type="pct"/>
            <w:tcBorders>
              <w:top w:val="single" w:sz="4" w:space="0" w:color="auto"/>
              <w:left w:val="nil"/>
              <w:bottom w:val="single" w:sz="4" w:space="0" w:color="auto"/>
              <w:right w:val="single" w:sz="4" w:space="0" w:color="auto"/>
            </w:tcBorders>
            <w:vAlign w:val="center"/>
          </w:tcPr>
          <w:p>
            <w:pPr>
              <w:widowControl/>
              <w:spacing w:line="260" w:lineRule="exact"/>
              <w:jc w:val="center"/>
              <w:rPr>
                <w:rFonts w:ascii="宋体" w:hAnsi="宋体"/>
                <w:color w:val="000000"/>
                <w:kern w:val="0"/>
              </w:rPr>
            </w:pPr>
            <w:r>
              <w:rPr>
                <w:rFonts w:ascii="宋体" w:hAnsi="宋体" w:hint="eastAsia"/>
                <w:color w:val="000000"/>
                <w:kern w:val="0"/>
              </w:rPr>
              <w:t>10</w:t>
            </w:r>
          </w:p>
        </w:tc>
      </w:tr>
      <w:tr>
        <w:trPr>
          <w:trHeight w:val="340"/>
        </w:trPr>
        <w:tc>
          <w:tcPr>
            <w:tcW w:w="818" w:type="pct"/>
            <w:tcBorders>
              <w:top w:val="single" w:sz="4" w:space="0" w:color="auto"/>
              <w:left w:val="single" w:sz="4" w:space="0" w:color="auto"/>
              <w:bottom w:val="single" w:sz="4" w:space="0" w:color="auto"/>
              <w:right w:val="single" w:sz="4" w:space="0" w:color="auto"/>
            </w:tcBorders>
            <w:vAlign w:val="center"/>
          </w:tcPr>
          <w:p>
            <w:pPr>
              <w:widowControl/>
              <w:spacing w:line="260" w:lineRule="exact"/>
              <w:jc w:val="left"/>
              <w:rPr>
                <w:rFonts w:ascii="宋体" w:hAnsi="宋体"/>
                <w:color w:val="000000"/>
                <w:kern w:val="0"/>
                <w:sz w:val="20"/>
                <w:szCs w:val="20"/>
              </w:rPr>
            </w:pPr>
            <w:r>
              <w:rPr>
                <w:rFonts w:ascii="宋体" w:hAnsi="宋体" w:hint="eastAsia"/>
                <w:color w:val="000000"/>
                <w:kern w:val="0"/>
                <w:sz w:val="20"/>
                <w:szCs w:val="20"/>
              </w:rPr>
              <w:t>总分</w:t>
            </w:r>
          </w:p>
        </w:tc>
        <w:tc>
          <w:tcPr>
            <w:tcW w:w="4182" w:type="pct"/>
            <w:gridSpan w:val="4"/>
            <w:tcBorders>
              <w:top w:val="single" w:sz="4" w:space="0" w:color="auto"/>
              <w:left w:val="nil"/>
              <w:bottom w:val="single" w:sz="4" w:space="0" w:color="auto"/>
              <w:right w:val="single" w:sz="4" w:space="0" w:color="auto"/>
            </w:tcBorders>
            <w:vAlign w:val="center"/>
          </w:tcPr>
          <w:p>
            <w:pPr>
              <w:widowControl/>
              <w:spacing w:line="260" w:lineRule="exact"/>
              <w:jc w:val="left"/>
              <w:rPr>
                <w:rFonts w:ascii="宋体" w:hAnsi="宋体"/>
                <w:color w:val="000000"/>
                <w:kern w:val="0"/>
              </w:rPr>
            </w:pPr>
            <w:r>
              <w:rPr>
                <w:rFonts w:ascii="宋体" w:hAnsi="宋体" w:hint="eastAsia"/>
                <w:color w:val="000000"/>
                <w:kern w:val="0"/>
              </w:rPr>
              <w:t>100</w:t>
            </w:r>
          </w:p>
        </w:tc>
      </w:tr>
    </w:tbl>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 w:hAnsi="仿宋"/>
          <w:sz w:val="32"/>
          <w:szCs w:val="32"/>
        </w:rPr>
      </w:pPr>
      <w:r>
        <w:rPr>
          <w:rFonts w:ascii="仿宋" w:eastAsia="仿宋" w:cs="仿宋" w:hAnsi="仿宋" w:hint="eastAsia"/>
          <w:sz w:val="32"/>
          <w:szCs w:val="32"/>
        </w:rPr>
        <w:t>可行性：领导高度重视，亲自安排、亲自部署、亲自督促；经费来源由财政专项划拨。</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资金分配情况</w:t>
      </w:r>
      <w:r>
        <w:rPr>
          <w:rFonts w:ascii="仿宋" w:eastAsia="仿宋" w:cs="仿宋_GB2312" w:hAnsi="仿宋" w:hint="eastAsia"/>
          <w:sz w:val="32"/>
          <w:szCs w:val="32"/>
        </w:rPr>
        <w:t>:2019年关爱留守儿童项目收到省级资金2万元，能够满足利州区童伴计划的正常高效开展。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截止2019年12月31日实际拨付项目资金2万元。</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资金使用情况</w:t>
      </w:r>
      <w:r>
        <w:rPr>
          <w:rFonts w:ascii="仿宋" w:eastAsia="仿宋" w:cs="仿宋_GB2312" w:hAnsi="仿宋" w:hint="eastAsia"/>
          <w:sz w:val="32"/>
          <w:szCs w:val="32"/>
        </w:rPr>
        <w:t>：在资金使用上，按照团省委和团市委的要求，制定了相应的财务管理制度，做到专款专用、专项核算。项目点资金支出手续齐全，收支票据规范，原始凭证合规，无白条抵账、不合规凭证和大额现金支付等现象，无超范围使用或挪作他用的现象。</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项目目标完成情况</w:t>
      </w:r>
      <w:r>
        <w:rPr>
          <w:rFonts w:ascii="仿宋" w:eastAsia="仿宋" w:cs="仿宋_GB2312" w:hAnsi="仿宋" w:hint="eastAsia"/>
          <w:sz w:val="32"/>
          <w:szCs w:val="32"/>
        </w:rPr>
        <w:t>：2019年度关爱留守儿童资金覆盖率达到100%，两个项目点在持续深化留守学生等重点青少年群体关爱行动，深入开展“童伴计划”“城乡社区互助计划”等关爱项目方面，积极为留守儿童、贫困儿童提供学业辅导、心理疏导、亲情陪护等各种服务。</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项目效益情况</w:t>
      </w:r>
      <w:r>
        <w:rPr>
          <w:rFonts w:ascii="仿宋" w:eastAsia="仿宋" w:cs="仿宋_GB2312" w:hAnsi="仿宋" w:hint="eastAsia"/>
          <w:sz w:val="32"/>
          <w:szCs w:val="32"/>
        </w:rPr>
        <w:t>：项目的实施有效改善了留守儿童的现状，促进了儿童身心健康的发展，有力支持了扶贫关爱事业的发展，减轻了贫困家庭的经济负担，广大群众看到了变化，有了实实在在的“获得感”。从全区2019年走访调查情况来看，与往年同期相比，儿童更加开朗、学习成绩有明显提高，同时，项目实施有效缓解了儿童的家庭压力，让父母能够在外安心务工，促进家庭和睦。</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通过问卷调查、电话访问、现场走访等形式，对学生、学生家长等进行的调查反映，项目实施以来，得到了儿童和家长的认同和支持，社会反响好</w:t>
      </w:r>
    </w:p>
    <w:p>
      <w:pPr>
        <w:numPr>
          <w:ilvl w:val="0"/>
          <w:numId w:val="1"/>
        </w:numPr>
        <w:spacing w:line="580" w:lineRule="exact"/>
        <w:rPr>
          <w:rFonts w:ascii="仿宋" w:eastAsia="仿宋" w:cs="仿宋_GB2312" w:hAnsi="仿宋"/>
          <w:sz w:val="32"/>
          <w:szCs w:val="32"/>
        </w:rPr>
      </w:pPr>
      <w:r>
        <w:rPr>
          <w:rFonts w:ascii="仿宋" w:eastAsia="仿宋" w:cs="仿宋_GB2312" w:hAnsi="仿宋"/>
          <w:sz w:val="32"/>
          <w:szCs w:val="32"/>
        </w:rPr>
        <w:t>存在主要问题</w:t>
      </w:r>
    </w:p>
    <w:p>
      <w:pPr>
        <w:numPr>
          <w:ilvl w:val="0"/>
          <w:numId w:val="8"/>
        </w:numPr>
        <w:ind w:left="0" w:firstLineChars="200" w:firstLine="640"/>
        <w:rPr>
          <w:rFonts w:ascii="仿宋" w:eastAsia="仿宋" w:cs="仿宋" w:hAnsi="仿宋"/>
          <w:sz w:val="32"/>
          <w:szCs w:val="32"/>
        </w:rPr>
      </w:pPr>
      <w:r>
        <w:rPr>
          <w:rFonts w:ascii="仿宋" w:eastAsia="仿宋" w:cs="仿宋" w:hAnsi="仿宋" w:hint="eastAsia"/>
          <w:sz w:val="32"/>
          <w:szCs w:val="32"/>
        </w:rPr>
        <w:t>到童伴之家参加活动的儿童数量较少，平均在八九人左右，较多的有二十三人，主要是离家较远，还有对童伴之家开展的活动不太感兴趣，每次来参加活动的基本上是住在附近的儿童，家长接送方便；</w:t>
      </w:r>
    </w:p>
    <w:p>
      <w:pPr>
        <w:numPr>
          <w:ilvl w:val="0"/>
          <w:numId w:val="8"/>
        </w:numPr>
        <w:ind w:left="0" w:firstLineChars="200" w:firstLine="640"/>
        <w:rPr>
          <w:rFonts w:ascii="仿宋" w:eastAsia="仿宋" w:cs="仿宋" w:hAnsi="仿宋"/>
          <w:sz w:val="32"/>
          <w:szCs w:val="32"/>
        </w:rPr>
      </w:pPr>
      <w:r>
        <w:rPr>
          <w:rFonts w:ascii="仿宋" w:eastAsia="仿宋" w:cs="仿宋" w:hAnsi="仿宋" w:hint="eastAsia"/>
          <w:sz w:val="32"/>
          <w:szCs w:val="32"/>
        </w:rPr>
        <w:t>创新不够，活动形式较为单一。活动通常在室内开展，在作业写完后进行玩游戏做手工等活动，但一般写作业会花掉大部分时间，活动时间较短且活动形式少，有些孩子不太喜欢这类游戏，后期逐渐就不再来童伴之家。最吸引他们的是给他们分发零食和小礼品，更多时候发放的礼品是文具，慢慢的礼品对他们的吸引力也在减少。</w:t>
      </w:r>
    </w:p>
    <w:p>
      <w:pPr>
        <w:numPr>
          <w:ilvl w:val="0"/>
          <w:numId w:val="1"/>
        </w:numPr>
        <w:spacing w:line="580" w:lineRule="exact"/>
        <w:rPr>
          <w:rFonts w:ascii="仿宋" w:eastAsia="仿宋" w:cs="仿宋_GB2312" w:hAnsi="仿宋"/>
          <w:sz w:val="32"/>
          <w:szCs w:val="32"/>
        </w:rPr>
      </w:pPr>
      <w:r>
        <w:rPr>
          <w:rFonts w:ascii="仿宋" w:eastAsia="仿宋" w:cs="仿宋_GB2312" w:hAnsi="仿宋"/>
          <w:sz w:val="32"/>
          <w:szCs w:val="32"/>
        </w:rPr>
        <w:t>相关措施建议</w:t>
      </w:r>
    </w:p>
    <w:p>
      <w:pPr>
        <w:ind w:firstLineChars="200" w:firstLine="640"/>
        <w:rPr>
          <w:rFonts w:ascii="仿宋" w:eastAsia="仿宋" w:cs="仿宋" w:hAnsi="仿宋"/>
          <w:sz w:val="32"/>
          <w:szCs w:val="32"/>
        </w:rPr>
      </w:pPr>
      <w:r>
        <w:rPr>
          <w:rFonts w:ascii="仿宋" w:eastAsia="仿宋" w:cs="仿宋" w:hAnsi="仿宋" w:hint="eastAsia"/>
          <w:sz w:val="32"/>
          <w:szCs w:val="32"/>
        </w:rPr>
        <w:t>希望童伴计划可以惠及更多的儿童，并且希望有更多的志愿者团队参与到我们的项目，使童伴之家的活动形式更加丰富和规范，吸引更多的儿童前来参与，加强对家长的安全意识教育，规范家长接送问题。积极争取更多的资金，丰富活动内容，让困难留守儿童得到更多的福利。</w:t>
      </w:r>
    </w:p>
    <w:p>
      <w:pPr>
        <w:spacing w:line="580" w:lineRule="exact"/>
        <w:jc w:val="both"/>
        <w:rPr>
          <w:rFonts w:ascii="黑体" w:eastAsia="黑体" w:cs="方正小标宋简体" w:hAnsi="黑体" w:hint="eastAsia"/>
          <w:sz w:val="44"/>
          <w:szCs w:val="44"/>
          <w:lang w:eastAsia="zh-CN"/>
        </w:rPr>
      </w:pPr>
      <w:bookmarkStart w:id="61" w:name="_Toc15396618"/>
    </w:p>
    <w:p>
      <w:pPr>
        <w:spacing w:line="580" w:lineRule="exact"/>
        <w:jc w:val="both"/>
        <w:rPr>
          <w:rFonts w:ascii="黑体" w:eastAsia="黑体" w:cs="方正小标宋简体" w:hAnsi="黑体"/>
          <w:sz w:val="44"/>
          <w:szCs w:val="44"/>
          <w:lang w:val="en-US" w:eastAsia="zh-CN"/>
        </w:rPr>
      </w:pPr>
      <w:r>
        <w:rPr>
          <w:rFonts w:ascii="黑体" w:eastAsia="黑体" w:cs="方正小标宋简体" w:hAnsi="黑体" w:hint="eastAsia"/>
          <w:sz w:val="44"/>
          <w:szCs w:val="44"/>
          <w:lang w:eastAsia="zh-CN"/>
        </w:rPr>
        <w:t>附件</w:t>
      </w:r>
      <w:r>
        <w:rPr>
          <w:rFonts w:ascii="黑体" w:eastAsia="黑体" w:cs="方正小标宋简体" w:hAnsi="黑体" w:hint="eastAsia"/>
          <w:sz w:val="44"/>
          <w:szCs w:val="44"/>
          <w:lang w:val="en-US" w:eastAsia="zh-CN"/>
        </w:rPr>
        <w:t>3</w:t>
      </w:r>
    </w:p>
    <w:p>
      <w:pPr>
        <w:spacing w:line="580" w:lineRule="exact"/>
        <w:jc w:val="center"/>
        <w:rPr>
          <w:rFonts w:ascii="黑体" w:eastAsia="黑体" w:cs="方正小标宋简体" w:hAnsi="黑体" w:hint="eastAsia"/>
          <w:sz w:val="44"/>
          <w:szCs w:val="44"/>
        </w:rPr>
      </w:pPr>
    </w:p>
    <w:p>
      <w:pPr>
        <w:spacing w:line="580" w:lineRule="exact"/>
        <w:jc w:val="center"/>
        <w:rPr>
          <w:rFonts w:ascii="黑体" w:eastAsia="黑体" w:cs="方正小标宋简体" w:hAnsi="黑体" w:hint="eastAsia"/>
          <w:sz w:val="44"/>
          <w:szCs w:val="44"/>
        </w:rPr>
      </w:pPr>
      <w:r>
        <w:rPr>
          <w:rFonts w:ascii="黑体" w:eastAsia="黑体" w:cs="方正小标宋简体" w:hAnsi="黑体" w:hint="eastAsia"/>
          <w:sz w:val="44"/>
          <w:szCs w:val="44"/>
        </w:rPr>
        <w:t>2019年“广元市利州区第三届四川村长论坛暨村社发展大会志愿服务”项目支出</w:t>
      </w:r>
    </w:p>
    <w:p>
      <w:pPr>
        <w:spacing w:line="580" w:lineRule="exact"/>
        <w:jc w:val="center"/>
        <w:rPr>
          <w:rFonts w:ascii="黑体" w:eastAsia="黑体" w:cs="方正小标宋简体" w:hAnsi="黑体"/>
          <w:sz w:val="44"/>
          <w:szCs w:val="44"/>
        </w:rPr>
      </w:pPr>
      <w:r>
        <w:rPr>
          <w:rFonts w:ascii="黑体" w:eastAsia="黑体" w:cs="方正小标宋简体" w:hAnsi="黑体" w:hint="eastAsia"/>
          <w:sz w:val="44"/>
          <w:szCs w:val="44"/>
        </w:rPr>
        <w:t>绩效评价报告</w:t>
      </w:r>
    </w:p>
    <w:p>
      <w:pPr>
        <w:spacing w:line="580" w:lineRule="exact"/>
        <w:ind w:firstLineChars="200" w:firstLine="640"/>
        <w:jc w:val="center"/>
        <w:rPr>
          <w:rFonts w:ascii="仿宋_GB2312" w:eastAsia="仿宋_GB2312" w:cs="仿宋_GB2312" w:hAnsi="仿宋_GB2312"/>
          <w:sz w:val="32"/>
          <w:szCs w:val="32"/>
        </w:rPr>
      </w:pP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w:t>
      </w:r>
      <w:r>
        <w:rPr>
          <w:rFonts w:ascii="仿宋" w:eastAsia="仿宋" w:cs="仿宋_GB2312" w:hAnsi="仿宋"/>
          <w:sz w:val="32"/>
          <w:szCs w:val="32"/>
        </w:rPr>
        <w:t>、评价工作开展及项目情况</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（一）项目选点：根据（广利委办〔2019〕37号）文件要求，项目地点为广元市利州区白朝乡月坝村。</w:t>
      </w:r>
    </w:p>
    <w:p>
      <w:pPr>
        <w:spacing w:line="580" w:lineRule="exact"/>
        <w:ind w:firstLineChars="250" w:firstLine="800"/>
        <w:rPr>
          <w:rFonts w:ascii="仿宋" w:eastAsia="仿宋" w:cs="仿宋_GB2312" w:hAnsi="仿宋"/>
          <w:sz w:val="32"/>
          <w:szCs w:val="32"/>
        </w:rPr>
      </w:pPr>
      <w:r>
        <w:rPr>
          <w:rFonts w:ascii="仿宋" w:eastAsia="仿宋" w:cs="仿宋_GB2312" w:hAnsi="仿宋" w:hint="eastAsia"/>
          <w:sz w:val="32"/>
          <w:szCs w:val="32"/>
        </w:rPr>
        <w:t>（二）评价指标：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被评价项目绩效评价指标体系设置三个一级指标、八个二级指标、十五个三级指标。</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（1）一级指标：项目设置项目完成、项目效益、满意度指标三个。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（2）二级指标：项目完成设置数量目标、质量指标、时效指标和成本指标四个，项目效益设置经济效益、社会效益和可持续影响指标三个，满意度指标设置社会满意度指标一个。</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（3）三级指标：数量指标设置指标1：完成志愿者会前培训；指标2：完成志愿者服务；指标3：保障志愿者补助等经费落实。</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（三）评价方法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绩效评价方法主要采用成本效益分析法、比较法、因素分析法、最低成本法、公众评判法等。</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二、评价结论及绩效分析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（一）评价结论</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项目实施以来，目标明确、资金到位率高、资金使用规范、组织监管体系完善，项目质量达到相关行业标准，符合经济社会发展和客观实际的要求，达到预期绩效目标要求。</w:t>
      </w:r>
    </w:p>
    <w:p>
      <w:pPr>
        <w:jc w:val="center"/>
        <w:rPr>
          <w:rFonts w:ascii="仿宋_GB2312" w:eastAsia="仿宋_GB2312" w:cs="仿宋_GB2312" w:hAnsi="仿宋_GB2312"/>
          <w:color w:val="000000"/>
          <w:sz w:val="32"/>
          <w:szCs w:val="32"/>
        </w:rPr>
      </w:pPr>
      <w:r>
        <w:rPr>
          <w:rFonts w:ascii="黑体" w:eastAsia="黑体" w:hAnsi="黑体" w:hint="eastAsia"/>
          <w:color w:val="000000"/>
          <w:sz w:val="30"/>
          <w:szCs w:val="30"/>
        </w:rPr>
        <w:t>广元市利州区第三届四川村长论坛暨村社发展大会志愿服</w:t>
      </w:r>
      <w:r>
        <w:rPr>
          <w:rFonts w:ascii="仿宋_GB2312" w:eastAsia="仿宋_GB2312" w:cs="仿宋_GB2312" w:hAnsi="仿宋_GB2312" w:hint="eastAsia"/>
          <w:color w:val="000000"/>
          <w:sz w:val="32"/>
          <w:szCs w:val="32"/>
        </w:rPr>
        <w:t>务</w:t>
      </w:r>
    </w:p>
    <w:p>
      <w:pPr>
        <w:jc w:val="center"/>
        <w:rPr>
          <w:rFonts w:ascii="黑体" w:eastAsia="黑体" w:hAnsi="黑体"/>
          <w:color w:val="000000"/>
          <w:sz w:val="30"/>
          <w:szCs w:val="30"/>
        </w:rPr>
      </w:pPr>
      <w:r>
        <w:rPr>
          <w:rFonts w:ascii="黑体" w:eastAsia="黑体" w:hAnsi="黑体" w:hint="eastAsia"/>
          <w:color w:val="000000"/>
          <w:sz w:val="30"/>
          <w:szCs w:val="30"/>
        </w:rPr>
        <w:t>项目支出绩效评价得分表</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94"/>
        <w:gridCol w:w="1820"/>
        <w:gridCol w:w="3047"/>
        <w:gridCol w:w="1130"/>
        <w:gridCol w:w="1131"/>
      </w:tblGrid>
      <w:tr>
        <w:trPr>
          <w:trHeight w:val="639"/>
        </w:trPr>
        <w:tc>
          <w:tcPr>
            <w:tcW w:w="818"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b/>
                <w:bCs/>
                <w:color w:val="000000"/>
                <w:kern w:val="0"/>
                <w:sz w:val="24"/>
              </w:rPr>
            </w:pPr>
            <w:r>
              <w:rPr>
                <w:rFonts w:ascii="宋体" w:eastAsia="宋体" w:hint="eastAsia"/>
                <w:b/>
                <w:bCs/>
                <w:color w:val="000000"/>
                <w:kern w:val="0"/>
                <w:sz w:val="24"/>
              </w:rPr>
              <w:t>项目名称</w:t>
            </w:r>
          </w:p>
        </w:tc>
        <w:tc>
          <w:tcPr>
            <w:tcW w:w="4182" w:type="pct"/>
            <w:gridSpan w:val="4"/>
            <w:tcBorders>
              <w:top w:val="single" w:sz="4" w:space="0" w:color="auto"/>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cs="方正小标宋简体" w:hint="eastAsia"/>
                <w:sz w:val="24"/>
              </w:rPr>
              <w:t>广元市利州区第三届四川村长论坛暨村社发展大会志愿服务</w:t>
            </w:r>
          </w:p>
        </w:tc>
      </w:tr>
      <w:tr>
        <w:trPr>
          <w:trHeight w:val="771"/>
        </w:trPr>
        <w:tc>
          <w:tcPr>
            <w:tcW w:w="818"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b/>
                <w:bCs/>
                <w:color w:val="000000"/>
                <w:kern w:val="0"/>
                <w:sz w:val="24"/>
              </w:rPr>
            </w:pPr>
            <w:r>
              <w:rPr>
                <w:rFonts w:ascii="宋体" w:eastAsia="宋体" w:hint="eastAsia"/>
                <w:b/>
                <w:bCs/>
                <w:color w:val="000000"/>
                <w:kern w:val="0"/>
                <w:sz w:val="24"/>
              </w:rPr>
              <w:t>一级</w:t>
            </w:r>
          </w:p>
          <w:p>
            <w:pPr>
              <w:widowControl/>
              <w:jc w:val="center"/>
              <w:rPr>
                <w:rFonts w:ascii="宋体" w:eastAsia="宋体"/>
                <w:b/>
                <w:bCs/>
                <w:color w:val="000000"/>
                <w:kern w:val="0"/>
                <w:sz w:val="24"/>
              </w:rPr>
            </w:pPr>
            <w:r>
              <w:rPr>
                <w:rFonts w:ascii="宋体" w:eastAsia="宋体" w:hint="eastAsia"/>
                <w:b/>
                <w:bCs/>
                <w:color w:val="000000"/>
                <w:kern w:val="0"/>
                <w:sz w:val="24"/>
              </w:rPr>
              <w:t>指标</w:t>
            </w:r>
          </w:p>
        </w:tc>
        <w:tc>
          <w:tcPr>
            <w:tcW w:w="1068" w:type="pct"/>
            <w:tcBorders>
              <w:top w:val="single" w:sz="4" w:space="0" w:color="auto"/>
              <w:left w:val="nil"/>
              <w:bottom w:val="single" w:sz="4" w:space="0" w:color="auto"/>
              <w:right w:val="single" w:sz="4" w:space="0" w:color="auto"/>
            </w:tcBorders>
            <w:vAlign w:val="center"/>
          </w:tcPr>
          <w:p>
            <w:pPr>
              <w:widowControl/>
              <w:jc w:val="center"/>
              <w:rPr>
                <w:rFonts w:ascii="宋体" w:eastAsia="宋体"/>
                <w:b/>
                <w:bCs/>
                <w:color w:val="000000"/>
                <w:kern w:val="0"/>
                <w:sz w:val="24"/>
              </w:rPr>
            </w:pPr>
            <w:r>
              <w:rPr>
                <w:rFonts w:ascii="宋体" w:eastAsia="宋体" w:hint="eastAsia"/>
                <w:b/>
                <w:bCs/>
                <w:color w:val="000000"/>
                <w:kern w:val="0"/>
                <w:sz w:val="24"/>
              </w:rPr>
              <w:t>二级</w:t>
            </w:r>
          </w:p>
          <w:p>
            <w:pPr>
              <w:widowControl/>
              <w:jc w:val="center"/>
              <w:rPr>
                <w:rFonts w:ascii="宋体" w:eastAsia="宋体"/>
                <w:b/>
                <w:bCs/>
                <w:color w:val="000000"/>
                <w:kern w:val="0"/>
                <w:sz w:val="24"/>
              </w:rPr>
            </w:pPr>
            <w:r>
              <w:rPr>
                <w:rFonts w:ascii="宋体" w:eastAsia="宋体" w:hint="eastAsia"/>
                <w:b/>
                <w:bCs/>
                <w:color w:val="000000"/>
                <w:kern w:val="0"/>
                <w:sz w:val="24"/>
              </w:rPr>
              <w:t>指标</w:t>
            </w:r>
          </w:p>
        </w:tc>
        <w:tc>
          <w:tcPr>
            <w:tcW w:w="1788" w:type="pct"/>
            <w:tcBorders>
              <w:top w:val="single" w:sz="4" w:space="0" w:color="auto"/>
              <w:left w:val="nil"/>
              <w:bottom w:val="single" w:sz="4" w:space="0" w:color="auto"/>
              <w:right w:val="single" w:sz="4" w:space="0" w:color="auto"/>
            </w:tcBorders>
            <w:vAlign w:val="center"/>
          </w:tcPr>
          <w:p>
            <w:pPr>
              <w:widowControl/>
              <w:jc w:val="center"/>
              <w:rPr>
                <w:rFonts w:ascii="宋体" w:eastAsia="宋体"/>
                <w:b/>
                <w:bCs/>
                <w:color w:val="000000"/>
                <w:kern w:val="0"/>
                <w:sz w:val="24"/>
              </w:rPr>
            </w:pPr>
            <w:r>
              <w:rPr>
                <w:rFonts w:ascii="宋体" w:eastAsia="宋体" w:hint="eastAsia"/>
                <w:b/>
                <w:bCs/>
                <w:color w:val="000000"/>
                <w:kern w:val="0"/>
                <w:sz w:val="24"/>
              </w:rPr>
              <w:t>三级指标</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b/>
                <w:bCs/>
                <w:color w:val="000000"/>
                <w:kern w:val="0"/>
                <w:sz w:val="24"/>
              </w:rPr>
            </w:pPr>
            <w:r>
              <w:rPr>
                <w:rFonts w:ascii="宋体" w:eastAsia="宋体" w:hint="eastAsia"/>
                <w:b/>
                <w:bCs/>
                <w:color w:val="000000"/>
                <w:kern w:val="0"/>
                <w:sz w:val="24"/>
              </w:rPr>
              <w:t>分值</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b/>
                <w:bCs/>
                <w:color w:val="000000"/>
                <w:kern w:val="0"/>
                <w:sz w:val="24"/>
              </w:rPr>
            </w:pPr>
            <w:r>
              <w:rPr>
                <w:rFonts w:ascii="宋体" w:eastAsia="宋体" w:hint="eastAsia"/>
                <w:b/>
                <w:bCs/>
                <w:color w:val="000000"/>
                <w:kern w:val="0"/>
                <w:sz w:val="24"/>
              </w:rPr>
              <w:t>得分</w:t>
            </w:r>
          </w:p>
        </w:tc>
      </w:tr>
      <w:tr>
        <w:trPr>
          <w:trHeight w:val="409"/>
        </w:trPr>
        <w:tc>
          <w:tcPr>
            <w:tcW w:w="818"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项目完成指标</w:t>
            </w:r>
          </w:p>
        </w:tc>
        <w:tc>
          <w:tcPr>
            <w:tcW w:w="1068" w:type="pct"/>
            <w:tcBorders>
              <w:top w:val="nil"/>
              <w:left w:val="nil"/>
              <w:bottom w:val="single" w:sz="4" w:space="0" w:color="auto"/>
              <w:right w:val="single" w:sz="4" w:space="0" w:color="auto"/>
            </w:tcBorders>
            <w:vAlign w:val="center"/>
          </w:tcPr>
          <w:p>
            <w:pPr>
              <w:widowControl/>
              <w:jc w:val="center"/>
              <w:textAlignment w:val="center"/>
              <w:rPr>
                <w:rFonts w:ascii="宋体" w:eastAsia="宋体"/>
                <w:color w:val="000000"/>
                <w:kern w:val="0"/>
                <w:sz w:val="24"/>
              </w:rPr>
            </w:pPr>
            <w:r>
              <w:rPr>
                <w:rFonts w:ascii="宋体" w:eastAsia="宋体" w:cs="宋体" w:hint="eastAsia"/>
                <w:color w:val="000000"/>
                <w:sz w:val="24"/>
              </w:rPr>
              <w:t>数量指标</w:t>
            </w:r>
          </w:p>
        </w:tc>
        <w:tc>
          <w:tcPr>
            <w:tcW w:w="1788" w:type="pct"/>
            <w:tcBorders>
              <w:top w:val="single" w:sz="4" w:space="0" w:color="auto"/>
              <w:left w:val="nil"/>
              <w:bottom w:val="single" w:sz="4" w:space="0" w:color="auto"/>
              <w:right w:val="single" w:sz="4" w:space="0" w:color="auto"/>
            </w:tcBorders>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完成志愿者会前培训</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20</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20</w:t>
            </w:r>
          </w:p>
        </w:tc>
      </w:tr>
      <w:tr>
        <w:trPr>
          <w:trHeight w:val="1165"/>
        </w:trPr>
        <w:tc>
          <w:tcPr>
            <w:tcW w:w="818" w:type="pct"/>
            <w:vMerge/>
            <w:tcBorders>
              <w:top w:val="nil"/>
              <w:left w:val="single" w:sz="4" w:space="0" w:color="auto"/>
              <w:bottom w:val="single" w:sz="4" w:space="0" w:color="auto"/>
              <w:right w:val="single" w:sz="4" w:space="0" w:color="auto"/>
            </w:tcBorders>
            <w:vAlign w:val="center"/>
          </w:tcPr>
          <w:p/>
        </w:tc>
        <w:tc>
          <w:tcPr>
            <w:tcW w:w="1068" w:type="pct"/>
            <w:tcBorders>
              <w:top w:val="nil"/>
              <w:left w:val="nil"/>
              <w:bottom w:val="single" w:sz="4" w:space="0" w:color="auto"/>
              <w:right w:val="single" w:sz="4" w:space="0" w:color="auto"/>
            </w:tcBorders>
            <w:vAlign w:val="center"/>
          </w:tcPr>
          <w:p>
            <w:pPr>
              <w:widowControl/>
              <w:jc w:val="center"/>
              <w:textAlignment w:val="center"/>
              <w:rPr>
                <w:rFonts w:ascii="宋体" w:eastAsia="宋体"/>
                <w:color w:val="000000"/>
                <w:kern w:val="0"/>
                <w:sz w:val="24"/>
              </w:rPr>
            </w:pPr>
            <w:r>
              <w:rPr>
                <w:rFonts w:ascii="宋体" w:eastAsia="宋体" w:cs="宋体" w:hint="eastAsia"/>
                <w:color w:val="000000"/>
                <w:sz w:val="24"/>
              </w:rPr>
              <w:t>质量指标</w:t>
            </w:r>
          </w:p>
        </w:tc>
        <w:tc>
          <w:tcPr>
            <w:tcW w:w="1788" w:type="pct"/>
            <w:tcBorders>
              <w:top w:val="single" w:sz="4" w:space="0" w:color="auto"/>
              <w:left w:val="nil"/>
              <w:right w:val="single" w:sz="4" w:space="0" w:color="auto"/>
            </w:tcBorders>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完成志愿者服务</w:t>
            </w:r>
          </w:p>
        </w:tc>
        <w:tc>
          <w:tcPr>
            <w:tcW w:w="663" w:type="pct"/>
            <w:tcBorders>
              <w:top w:val="nil"/>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50</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50</w:t>
            </w:r>
          </w:p>
        </w:tc>
      </w:tr>
      <w:tr>
        <w:trPr>
          <w:trHeight w:val="502"/>
        </w:trPr>
        <w:tc>
          <w:tcPr>
            <w:tcW w:w="818" w:type="pct"/>
            <w:tcBorders>
              <w:top w:val="nil"/>
              <w:left w:val="single" w:sz="4" w:space="0" w:color="auto"/>
              <w:bottom w:val="single" w:sz="4" w:space="0" w:color="auto"/>
              <w:right w:val="single" w:sz="4" w:space="0" w:color="auto"/>
            </w:tcBorders>
            <w:vAlign w:val="center"/>
          </w:tcPr>
          <w:p>
            <w:pPr>
              <w:widowControl/>
              <w:jc w:val="center"/>
              <w:textAlignment w:val="center"/>
              <w:rPr>
                <w:rFonts w:ascii="宋体" w:eastAsia="宋体" w:cs="宋体"/>
                <w:color w:val="000000"/>
                <w:sz w:val="24"/>
              </w:rPr>
            </w:pPr>
            <w:r>
              <w:rPr>
                <w:rFonts w:ascii="宋体" w:eastAsia="宋体" w:cs="宋体" w:hint="eastAsia"/>
                <w:color w:val="000000"/>
                <w:kern w:val="0"/>
                <w:sz w:val="24"/>
              </w:rPr>
              <w:t>效益指标</w:t>
            </w:r>
          </w:p>
        </w:tc>
        <w:tc>
          <w:tcPr>
            <w:tcW w:w="1068" w:type="pct"/>
            <w:tcBorders>
              <w:top w:val="nil"/>
              <w:left w:val="nil"/>
              <w:bottom w:val="single" w:sz="4" w:space="0" w:color="auto"/>
              <w:right w:val="single" w:sz="4" w:space="0" w:color="auto"/>
            </w:tcBorders>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社会效益</w:t>
            </w:r>
          </w:p>
          <w:p>
            <w:pPr>
              <w:widowControl/>
              <w:jc w:val="center"/>
              <w:textAlignment w:val="center"/>
              <w:rPr>
                <w:rFonts w:ascii="宋体" w:eastAsia="宋体" w:cs="宋体"/>
                <w:color w:val="000000"/>
                <w:sz w:val="24"/>
              </w:rPr>
            </w:pPr>
            <w:r>
              <w:rPr>
                <w:rFonts w:ascii="宋体" w:eastAsia="宋体" w:cs="宋体" w:hint="eastAsia"/>
                <w:color w:val="000000"/>
                <w:sz w:val="24"/>
              </w:rPr>
              <w:t>指标</w:t>
            </w:r>
          </w:p>
        </w:tc>
        <w:tc>
          <w:tcPr>
            <w:tcW w:w="1788" w:type="pct"/>
            <w:tcBorders>
              <w:top w:val="single" w:sz="4" w:space="0" w:color="auto"/>
              <w:left w:val="nil"/>
              <w:bottom w:val="single" w:sz="4" w:space="0" w:color="auto"/>
              <w:right w:val="single" w:sz="4" w:space="0" w:color="auto"/>
            </w:tcBorders>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保障志愿者补助等经费落实</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20</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20</w:t>
            </w:r>
          </w:p>
        </w:tc>
      </w:tr>
      <w:tr>
        <w:trPr>
          <w:trHeight w:val="502"/>
        </w:trPr>
        <w:tc>
          <w:tcPr>
            <w:tcW w:w="818" w:type="pct"/>
            <w:tcBorders>
              <w:top w:val="nil"/>
              <w:left w:val="single" w:sz="4" w:space="0" w:color="auto"/>
              <w:bottom w:val="single" w:sz="4" w:space="0" w:color="auto"/>
              <w:right w:val="single" w:sz="4" w:space="0" w:color="auto"/>
            </w:tcBorders>
            <w:vAlign w:val="center"/>
          </w:tcPr>
          <w:p>
            <w:pPr>
              <w:widowControl/>
              <w:jc w:val="center"/>
              <w:textAlignment w:val="center"/>
              <w:rPr>
                <w:rFonts w:ascii="宋体" w:eastAsia="宋体" w:cs="宋体" w:hint="eastAsia"/>
                <w:color w:val="000000"/>
                <w:kern w:val="0"/>
                <w:sz w:val="24"/>
              </w:rPr>
            </w:pPr>
            <w:r>
              <w:rPr>
                <w:rFonts w:ascii="宋体" w:eastAsia="宋体" w:cs="宋体" w:hint="eastAsia"/>
                <w:color w:val="000000"/>
                <w:kern w:val="0"/>
                <w:sz w:val="24"/>
              </w:rPr>
              <w:t>满意度</w:t>
            </w:r>
          </w:p>
          <w:p>
            <w:pPr>
              <w:widowControl/>
              <w:jc w:val="center"/>
              <w:textAlignment w:val="center"/>
              <w:rPr>
                <w:rFonts w:ascii="宋体" w:eastAsia="宋体" w:cs="宋体"/>
                <w:color w:val="000000"/>
                <w:sz w:val="24"/>
              </w:rPr>
            </w:pPr>
            <w:r>
              <w:rPr>
                <w:rFonts w:ascii="宋体" w:eastAsia="宋体" w:cs="宋体" w:hint="eastAsia"/>
                <w:color w:val="000000"/>
                <w:kern w:val="0"/>
                <w:sz w:val="24"/>
              </w:rPr>
              <w:t>指标</w:t>
            </w:r>
          </w:p>
        </w:tc>
        <w:tc>
          <w:tcPr>
            <w:tcW w:w="1068" w:type="pct"/>
            <w:tcBorders>
              <w:top w:val="nil"/>
              <w:left w:val="nil"/>
              <w:bottom w:val="single" w:sz="4" w:space="0" w:color="auto"/>
              <w:right w:val="single" w:sz="4" w:space="0" w:color="auto"/>
            </w:tcBorders>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满意度指标</w:t>
            </w:r>
          </w:p>
        </w:tc>
        <w:tc>
          <w:tcPr>
            <w:tcW w:w="1788" w:type="pct"/>
            <w:tcBorders>
              <w:top w:val="single" w:sz="4" w:space="0" w:color="auto"/>
              <w:left w:val="nil"/>
              <w:bottom w:val="single" w:sz="4" w:space="0" w:color="auto"/>
              <w:right w:val="single" w:sz="4" w:space="0" w:color="auto"/>
            </w:tcBorders>
            <w:vAlign w:val="center"/>
          </w:tcPr>
          <w:p>
            <w:pPr>
              <w:widowControl/>
              <w:jc w:val="center"/>
              <w:textAlignment w:val="center"/>
              <w:rPr>
                <w:rFonts w:ascii="宋体" w:eastAsia="宋体" w:cs="宋体"/>
                <w:color w:val="000000"/>
                <w:sz w:val="24"/>
              </w:rPr>
            </w:pPr>
            <w:r>
              <w:rPr>
                <w:rFonts w:ascii="宋体" w:eastAsia="宋体" w:cs="宋体" w:hint="eastAsia"/>
                <w:color w:val="000000"/>
                <w:sz w:val="24"/>
              </w:rPr>
              <w:t>让社会组织满意</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10</w:t>
            </w:r>
          </w:p>
        </w:tc>
        <w:tc>
          <w:tcPr>
            <w:tcW w:w="663" w:type="pct"/>
            <w:tcBorders>
              <w:top w:val="single" w:sz="4" w:space="0" w:color="auto"/>
              <w:left w:val="nil"/>
              <w:bottom w:val="single" w:sz="4" w:space="0" w:color="auto"/>
              <w:right w:val="single" w:sz="4" w:space="0" w:color="auto"/>
            </w:tcBorders>
            <w:vAlign w:val="center"/>
          </w:tcPr>
          <w:p>
            <w:pPr>
              <w:widowControl/>
              <w:jc w:val="center"/>
              <w:rPr>
                <w:rFonts w:ascii="宋体" w:eastAsia="宋体"/>
                <w:color w:val="000000"/>
                <w:kern w:val="0"/>
                <w:sz w:val="24"/>
              </w:rPr>
            </w:pPr>
            <w:r>
              <w:rPr>
                <w:rFonts w:ascii="宋体" w:eastAsia="宋体" w:hint="eastAsia"/>
                <w:color w:val="000000"/>
                <w:kern w:val="0"/>
                <w:sz w:val="24"/>
              </w:rPr>
              <w:t>10</w:t>
            </w:r>
          </w:p>
        </w:tc>
      </w:tr>
      <w:tr>
        <w:trPr>
          <w:trHeight w:val="396"/>
        </w:trPr>
        <w:tc>
          <w:tcPr>
            <w:tcW w:w="818" w:type="pct"/>
            <w:tcBorders>
              <w:top w:val="single" w:sz="4" w:space="0" w:color="auto"/>
              <w:left w:val="single" w:sz="4" w:space="0" w:color="auto"/>
              <w:bottom w:val="single" w:sz="4" w:space="0" w:color="auto"/>
              <w:right w:val="single" w:sz="4" w:space="0" w:color="auto"/>
            </w:tcBorders>
            <w:vAlign w:val="center"/>
          </w:tcPr>
          <w:p>
            <w:pPr>
              <w:widowControl/>
              <w:jc w:val="left"/>
              <w:rPr>
                <w:rFonts w:ascii="宋体" w:eastAsia="宋体"/>
                <w:color w:val="000000"/>
                <w:kern w:val="0"/>
                <w:sz w:val="24"/>
              </w:rPr>
            </w:pPr>
            <w:r>
              <w:rPr>
                <w:rFonts w:ascii="宋体" w:eastAsia="宋体" w:hint="eastAsia"/>
                <w:color w:val="000000"/>
                <w:kern w:val="0"/>
                <w:sz w:val="24"/>
              </w:rPr>
              <w:t>总分</w:t>
            </w:r>
          </w:p>
        </w:tc>
        <w:tc>
          <w:tcPr>
            <w:tcW w:w="4182" w:type="pct"/>
            <w:gridSpan w:val="4"/>
            <w:tcBorders>
              <w:top w:val="single" w:sz="4" w:space="0" w:color="auto"/>
              <w:left w:val="nil"/>
              <w:bottom w:val="single" w:sz="4" w:space="0" w:color="auto"/>
              <w:right w:val="single" w:sz="4" w:space="0" w:color="auto"/>
            </w:tcBorders>
            <w:vAlign w:val="center"/>
          </w:tcPr>
          <w:p>
            <w:pPr>
              <w:widowControl/>
              <w:jc w:val="left"/>
              <w:rPr>
                <w:rFonts w:ascii="宋体" w:eastAsia="宋体"/>
                <w:color w:val="000000"/>
                <w:kern w:val="0"/>
                <w:sz w:val="24"/>
              </w:rPr>
            </w:pPr>
            <w:r>
              <w:rPr>
                <w:rFonts w:ascii="宋体" w:eastAsia="宋体" w:hint="eastAsia"/>
                <w:color w:val="000000"/>
                <w:kern w:val="0"/>
                <w:sz w:val="24"/>
              </w:rPr>
              <w:t>100</w:t>
            </w:r>
          </w:p>
        </w:tc>
      </w:tr>
    </w:tbl>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（二）绩效分析</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1、项目决策</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必要性</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该项目进一步贯彻落实了（广利委办〔2019〕37号）文件要求。四川村长论坛是全国省级层面首个聚焦村级发展、助力乡村振兴的重要平台，我委积极助力脱贫攻坚，擦亮“青”字品牌，实施青春建功乡村振兴行动，充分发挥青年志愿者先锋模范引领作用。</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2、项目管理</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资金分配情况</w:t>
      </w:r>
      <w:r>
        <w:rPr>
          <w:rFonts w:ascii="仿宋" w:eastAsia="仿宋" w:cs="仿宋_GB2312" w:hAnsi="仿宋" w:hint="eastAsia"/>
          <w:sz w:val="32"/>
          <w:szCs w:val="32"/>
        </w:rPr>
        <w:t>:广元市利州区第三届四川村长论坛暨村社发展大会志愿服务项目收到区财政下拨级资金8.6万元，能够满足广元市利州区第三届四川村长论坛暨村社发展大会志愿服务正常高效开展。</w:t>
      </w:r>
    </w:p>
    <w:p>
      <w:pPr>
        <w:spacing w:line="58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截止2019年12月31日实际拨付项目资金8.6万元。</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资金使用情况</w:t>
      </w:r>
      <w:r>
        <w:rPr>
          <w:rFonts w:ascii="仿宋" w:eastAsia="仿宋" w:cs="仿宋_GB2312" w:hAnsi="仿宋" w:hint="eastAsia"/>
          <w:sz w:val="32"/>
          <w:szCs w:val="32"/>
        </w:rPr>
        <w:t>：在资金使用上，按照区委区政府的要求，制定了相应的财务管理制度，做到专款专用、专项核算。项目点资金支出手续齐全，收支票据规范，原始凭证合规，无白条抵账、不合规凭证和大额现金支付等现象，无超范围使用或挪作他用的现象。</w:t>
      </w: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仿宋_GB2312" w:hAnsi="仿宋"/>
          <w:sz w:val="32"/>
          <w:szCs w:val="32"/>
        </w:rPr>
        <w:t>项目绩效</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项目目标完成情况</w:t>
      </w:r>
      <w:r>
        <w:rPr>
          <w:rFonts w:ascii="仿宋" w:eastAsia="仿宋" w:cs="仿宋_GB2312" w:hAnsi="仿宋" w:hint="eastAsia"/>
          <w:sz w:val="32"/>
          <w:szCs w:val="32"/>
        </w:rPr>
        <w:t>：2019年广元市利州区第三届四川村长论坛暨村社发展大会志愿服务项目资金覆盖率达到100%，项目在助力脱贫攻坚，擦亮“青”字品牌，实施青春建功乡村振兴行动等方面充分发挥青年志愿者先锋模范引领作用。</w:t>
      </w:r>
    </w:p>
    <w:p>
      <w:pPr>
        <w:spacing w:line="580" w:lineRule="exact"/>
        <w:ind w:firstLineChars="200" w:firstLine="640"/>
        <w:rPr>
          <w:rFonts w:ascii="仿宋" w:eastAsia="仿宋" w:cs="仿宋_GB2312" w:hAnsi="仿宋"/>
          <w:sz w:val="32"/>
          <w:szCs w:val="32"/>
        </w:rPr>
      </w:pPr>
      <w:r>
        <w:rPr>
          <w:rFonts w:ascii="仿宋" w:eastAsia="仿宋" w:cs="仿宋_GB2312" w:hAnsi="仿宋"/>
          <w:sz w:val="32"/>
          <w:szCs w:val="32"/>
        </w:rPr>
        <w:t>项目效益情况</w:t>
      </w:r>
      <w:r>
        <w:rPr>
          <w:rFonts w:ascii="仿宋" w:eastAsia="仿宋" w:cs="仿宋_GB2312" w:hAnsi="仿宋" w:hint="eastAsia"/>
          <w:sz w:val="32"/>
          <w:szCs w:val="32"/>
        </w:rPr>
        <w:t>：我委在全区范围内共计组织100余名志愿者圆满完成了大会交办的各项志愿服务工作，得到了参会领导和嘉宾的一致好评。</w:t>
      </w:r>
    </w:p>
    <w:p>
      <w:pPr>
        <w:spacing w:line="580" w:lineRule="exact"/>
        <w:ind w:firstLineChars="200" w:firstLine="640"/>
        <w:rPr>
          <w:rFonts w:ascii="仿宋" w:eastAsia="仿宋" w:cs="仿宋" w:hAnsi="仿宋"/>
          <w:sz w:val="32"/>
          <w:szCs w:val="32"/>
        </w:rPr>
      </w:pPr>
      <w:r>
        <w:rPr>
          <w:rFonts w:ascii="仿宋" w:eastAsia="仿宋" w:cs="仿宋_GB2312" w:hAnsi="仿宋"/>
          <w:sz w:val="32"/>
          <w:szCs w:val="32"/>
        </w:rPr>
        <w:t>存在主要问题</w:t>
      </w:r>
      <w:r>
        <w:rPr>
          <w:rFonts w:ascii="仿宋" w:eastAsia="仿宋" w:cs="仿宋_GB2312" w:hAnsi="仿宋" w:hint="eastAsia"/>
          <w:sz w:val="32"/>
          <w:szCs w:val="32"/>
        </w:rPr>
        <w:t>：该项目自实施以来，</w:t>
      </w:r>
      <w:r>
        <w:rPr>
          <w:rFonts w:ascii="仿宋" w:eastAsia="仿宋" w:cs="仿宋_GB2312" w:hAnsi="仿宋"/>
          <w:sz w:val="32"/>
          <w:szCs w:val="32"/>
        </w:rPr>
        <w:t>始终秉承着“奉献、友爱、互助、进步”的志愿</w:t>
      </w:r>
      <w:r>
        <w:rPr>
          <w:rFonts w:ascii="仿宋" w:eastAsia="仿宋" w:cs="仿宋_GB2312" w:hAnsi="仿宋" w:hint="eastAsia"/>
          <w:sz w:val="32"/>
          <w:szCs w:val="32"/>
        </w:rPr>
        <w:t>服务</w:t>
      </w:r>
      <w:r>
        <w:rPr>
          <w:rFonts w:ascii="仿宋" w:eastAsia="仿宋" w:cs="仿宋_GB2312" w:hAnsi="仿宋"/>
          <w:sz w:val="32"/>
          <w:szCs w:val="32"/>
        </w:rPr>
        <w:t>精神，</w:t>
      </w:r>
      <w:r>
        <w:rPr>
          <w:rFonts w:ascii="仿宋" w:eastAsia="仿宋" w:cs="仿宋_GB2312" w:hAnsi="仿宋" w:hint="eastAsia"/>
          <w:sz w:val="32"/>
          <w:szCs w:val="32"/>
        </w:rPr>
        <w:t>圆满完成了大会交办的各项志愿服务工作，得到了参会领导和嘉宾的一致好评，但项目开展以来，我们还是存在</w:t>
      </w:r>
      <w:r>
        <w:rPr>
          <w:rFonts w:ascii="仿宋" w:eastAsia="仿宋" w:cs="仿宋" w:hAnsi="仿宋" w:hint="eastAsia"/>
          <w:sz w:val="32"/>
          <w:szCs w:val="32"/>
        </w:rPr>
        <w:t>服务不够到位的主要问题，我委第一次承办该大会的志愿服务工作，前期筹备时间紧张，导致在服务细节上还有待进一步加强。</w:t>
      </w:r>
    </w:p>
    <w:p>
      <w:pPr>
        <w:numPr>
          <w:ilvl w:val="0"/>
          <w:numId w:val="1"/>
        </w:numPr>
        <w:spacing w:line="580" w:lineRule="exact"/>
        <w:rPr>
          <w:rFonts w:ascii="仿宋" w:eastAsia="仿宋" w:cs="仿宋_GB2312" w:hAnsi="仿宋"/>
          <w:sz w:val="32"/>
          <w:szCs w:val="32"/>
        </w:rPr>
      </w:pPr>
      <w:r>
        <w:rPr>
          <w:rFonts w:ascii="仿宋" w:eastAsia="仿宋" w:cs="仿宋_GB2312" w:hAnsi="仿宋"/>
          <w:sz w:val="32"/>
          <w:szCs w:val="32"/>
        </w:rPr>
        <w:t>相关措施建议</w:t>
      </w:r>
    </w:p>
    <w:p>
      <w:pPr>
        <w:ind w:firstLineChars="200" w:firstLine="640"/>
        <w:rPr>
          <w:rFonts w:ascii="仿宋" w:eastAsia="仿宋" w:cs="仿宋" w:hAnsi="仿宋"/>
          <w:sz w:val="32"/>
          <w:szCs w:val="32"/>
        </w:rPr>
      </w:pPr>
      <w:r>
        <w:rPr>
          <w:rFonts w:ascii="仿宋" w:eastAsia="仿宋" w:cs="仿宋" w:hAnsi="仿宋" w:hint="eastAsia"/>
          <w:sz w:val="32"/>
          <w:szCs w:val="32"/>
        </w:rPr>
        <w:t>扩大对志愿服务的宣传力度，让更多的青年了解、熟悉并加入志愿者队伍，让更多的爱心企业和爱心人士加入志愿者队伍，也将持续开展不同的志愿者服务活动，积极动员更多的青年参加志愿服务活动。</w:t>
      </w:r>
    </w:p>
    <w:p>
      <w:pPr>
        <w:spacing w:line="600" w:lineRule="exact"/>
        <w:jc w:val="center"/>
        <w:outlineLvl w:val="0"/>
        <w:rPr>
          <w:rStyle w:val="1Char"/>
          <w:rFonts w:ascii="黑体" w:eastAsia="黑体" w:hAnsi="黑体"/>
          <w:b w:val="0"/>
        </w:rPr>
      </w:pPr>
    </w:p>
    <w:p>
      <w:pPr>
        <w:numPr>
          <w:ilvl w:val="0"/>
          <w:numId w:val="9"/>
        </w:numPr>
        <w:spacing w:line="600" w:lineRule="exact"/>
        <w:ind w:left="0" w:firstLineChars="500" w:firstLine="2200"/>
        <w:jc w:val="both"/>
        <w:outlineLvl w:val="0"/>
        <w:rPr>
          <w:rStyle w:val="1Char"/>
          <w:rFonts w:ascii="黑体" w:eastAsia="黑体" w:hAnsi="黑体" w:hint="eastAsia"/>
          <w:b w:val="0"/>
        </w:rPr>
      </w:pPr>
      <w:r>
        <w:rPr>
          <w:rStyle w:val="1Char"/>
          <w:rFonts w:ascii="黑体" w:eastAsia="黑体" w:hAnsi="黑体" w:hint="eastAsia"/>
          <w:b w:val="0"/>
        </w:rPr>
        <w:t>附表</w:t>
      </w:r>
      <w:bookmarkStart w:id="62" w:name="_Toc15396619"/>
      <w:bookmarkEnd w:id="58"/>
      <w:bookmarkEnd w:id="61"/>
    </w:p>
    <w:p>
      <w:pPr>
        <w:spacing w:line="600" w:lineRule="exact"/>
        <w:jc w:val="both"/>
        <w:outlineLvl w:val="0"/>
        <w:rPr>
          <w:rFonts w:ascii="仿宋" w:eastAsia="仿宋" w:cs="仿宋" w:hAnsi="仿宋" w:hint="eastAsia"/>
          <w:color w:val="000000"/>
          <w:sz w:val="32"/>
          <w:szCs w:val="32"/>
        </w:rPr>
      </w:pPr>
      <w:r>
        <w:rPr>
          <w:rFonts w:ascii="仿宋" w:eastAsia="仿宋" w:cs="仿宋" w:hAnsi="仿宋" w:hint="eastAsia"/>
          <w:b w:val="0"/>
          <w:color w:val="000000"/>
          <w:sz w:val="32"/>
          <w:szCs w:val="32"/>
        </w:rPr>
        <w:t>一、收</w:t>
      </w:r>
      <w:r>
        <w:rPr>
          <w:rStyle w:val="2Char"/>
          <w:rFonts w:ascii="仿宋" w:eastAsia="仿宋" w:cs="仿宋" w:hAnsi="仿宋" w:hint="eastAsia"/>
          <w:b w:val="0"/>
          <w:bCs w:val="0"/>
          <w:sz w:val="32"/>
          <w:szCs w:val="32"/>
        </w:rPr>
        <w:t>入支出决算总表</w:t>
      </w:r>
      <w:bookmarkEnd w:id="62"/>
    </w:p>
    <w:p>
      <w:pPr>
        <w:pStyle w:val="2"/>
        <w:rPr>
          <w:rFonts w:ascii="仿宋" w:eastAsia="仿宋" w:cs="仿宋" w:hAnsi="仿宋" w:hint="eastAsia"/>
          <w:color w:val="000000"/>
          <w:sz w:val="32"/>
          <w:szCs w:val="32"/>
        </w:rPr>
      </w:pPr>
      <w:bookmarkStart w:id="63" w:name="_Toc15396620"/>
      <w:r>
        <w:rPr>
          <w:rFonts w:ascii="仿宋" w:eastAsia="仿宋" w:cs="仿宋" w:hAnsi="仿宋" w:hint="eastAsia"/>
          <w:b w:val="0"/>
          <w:color w:val="000000"/>
          <w:sz w:val="32"/>
          <w:szCs w:val="32"/>
        </w:rPr>
        <w:t>二、收</w:t>
      </w:r>
      <w:r>
        <w:rPr>
          <w:rStyle w:val="2Char"/>
          <w:rFonts w:ascii="仿宋" w:eastAsia="仿宋" w:cs="仿宋" w:hAnsi="仿宋" w:hint="eastAsia"/>
          <w:b w:val="0"/>
          <w:bCs w:val="0"/>
          <w:sz w:val="32"/>
          <w:szCs w:val="32"/>
        </w:rPr>
        <w:t>入决算表</w:t>
      </w:r>
      <w:bookmarkEnd w:id="63"/>
    </w:p>
    <w:p>
      <w:pPr>
        <w:pStyle w:val="2"/>
        <w:rPr>
          <w:rFonts w:ascii="仿宋" w:eastAsia="仿宋" w:cs="仿宋" w:hAnsi="仿宋" w:hint="eastAsia"/>
          <w:color w:val="000000"/>
          <w:sz w:val="32"/>
          <w:szCs w:val="32"/>
        </w:rPr>
      </w:pPr>
      <w:bookmarkStart w:id="64" w:name="_Toc15396621"/>
      <w:r>
        <w:rPr>
          <w:rStyle w:val="2Char"/>
          <w:rFonts w:ascii="仿宋" w:eastAsia="仿宋" w:cs="仿宋" w:hAnsi="仿宋" w:hint="eastAsia"/>
          <w:b w:val="0"/>
          <w:bCs w:val="0"/>
          <w:sz w:val="32"/>
          <w:szCs w:val="32"/>
        </w:rPr>
        <w:t>三、</w:t>
      </w:r>
      <w:r>
        <w:rPr>
          <w:rFonts w:ascii="仿宋" w:eastAsia="仿宋" w:cs="仿宋" w:hAnsi="仿宋" w:hint="eastAsia"/>
          <w:b w:val="0"/>
          <w:color w:val="000000"/>
          <w:sz w:val="32"/>
          <w:szCs w:val="32"/>
        </w:rPr>
        <w:t>支</w:t>
      </w:r>
      <w:r>
        <w:rPr>
          <w:rStyle w:val="2Char"/>
          <w:rFonts w:ascii="仿宋" w:eastAsia="仿宋" w:cs="仿宋" w:hAnsi="仿宋" w:hint="eastAsia"/>
          <w:b w:val="0"/>
          <w:bCs w:val="0"/>
          <w:sz w:val="32"/>
          <w:szCs w:val="32"/>
        </w:rPr>
        <w:t>出决算表</w:t>
      </w:r>
      <w:bookmarkEnd w:id="64"/>
    </w:p>
    <w:p>
      <w:pPr>
        <w:pStyle w:val="2"/>
        <w:rPr>
          <w:rFonts w:ascii="仿宋" w:eastAsia="仿宋" w:cs="仿宋" w:hAnsi="仿宋" w:hint="eastAsia"/>
          <w:b w:val="0"/>
          <w:color w:val="000000"/>
          <w:sz w:val="32"/>
          <w:szCs w:val="32"/>
        </w:rPr>
      </w:pPr>
      <w:bookmarkStart w:id="65" w:name="_Toc15396622"/>
      <w:r>
        <w:rPr>
          <w:rStyle w:val="2Char"/>
          <w:rFonts w:ascii="仿宋" w:eastAsia="仿宋" w:cs="仿宋" w:hAnsi="仿宋" w:hint="eastAsia"/>
          <w:b w:val="0"/>
          <w:bCs w:val="0"/>
          <w:sz w:val="32"/>
          <w:szCs w:val="32"/>
        </w:rPr>
        <w:t>四、</w:t>
      </w:r>
      <w:r>
        <w:rPr>
          <w:rFonts w:ascii="仿宋" w:eastAsia="仿宋" w:cs="仿宋" w:hAnsi="仿宋" w:hint="eastAsia"/>
          <w:b w:val="0"/>
          <w:color w:val="000000"/>
          <w:sz w:val="32"/>
          <w:szCs w:val="32"/>
        </w:rPr>
        <w:t>财</w:t>
      </w:r>
      <w:r>
        <w:rPr>
          <w:rStyle w:val="2Char"/>
          <w:rFonts w:ascii="仿宋" w:eastAsia="仿宋" w:cs="仿宋" w:hAnsi="仿宋" w:hint="eastAsia"/>
          <w:b w:val="0"/>
          <w:bCs w:val="0"/>
          <w:sz w:val="32"/>
          <w:szCs w:val="32"/>
        </w:rPr>
        <w:t>政拨款收入支出决算总表</w:t>
      </w:r>
      <w:bookmarkEnd w:id="65"/>
    </w:p>
    <w:p>
      <w:pPr>
        <w:pStyle w:val="2"/>
        <w:rPr>
          <w:rStyle w:val="2Char"/>
          <w:rFonts w:ascii="仿宋" w:eastAsia="仿宋" w:cs="仿宋" w:hAnsi="仿宋" w:hint="eastAsia"/>
          <w:b w:val="0"/>
          <w:bCs w:val="0"/>
          <w:sz w:val="32"/>
          <w:szCs w:val="32"/>
        </w:rPr>
      </w:pPr>
      <w:bookmarkStart w:id="66" w:name="_Toc15396623"/>
      <w:r>
        <w:rPr>
          <w:rStyle w:val="2Char"/>
          <w:rFonts w:ascii="仿宋" w:eastAsia="仿宋" w:cs="仿宋" w:hAnsi="仿宋" w:hint="eastAsia"/>
          <w:b w:val="0"/>
          <w:bCs w:val="0"/>
          <w:sz w:val="32"/>
          <w:szCs w:val="32"/>
        </w:rPr>
        <w:t>五、</w:t>
      </w:r>
      <w:r>
        <w:rPr>
          <w:rFonts w:ascii="仿宋" w:eastAsia="仿宋" w:cs="仿宋" w:hAnsi="仿宋" w:hint="eastAsia"/>
          <w:b w:val="0"/>
          <w:color w:val="000000"/>
          <w:sz w:val="32"/>
          <w:szCs w:val="32"/>
        </w:rPr>
        <w:t>财</w:t>
      </w:r>
      <w:r>
        <w:rPr>
          <w:rStyle w:val="2Char"/>
          <w:rFonts w:ascii="仿宋" w:eastAsia="仿宋" w:cs="仿宋" w:hAnsi="仿宋" w:hint="eastAsia"/>
          <w:b w:val="0"/>
          <w:bCs w:val="0"/>
          <w:sz w:val="32"/>
          <w:szCs w:val="32"/>
        </w:rPr>
        <w:t>政拨款支出决算明细表</w:t>
      </w:r>
      <w:bookmarkStart w:id="67" w:name="_Toc15396624"/>
      <w:bookmarkEnd w:id="66"/>
    </w:p>
    <w:p>
      <w:pPr>
        <w:pStyle w:val="2"/>
        <w:rPr>
          <w:rFonts w:ascii="仿宋" w:eastAsia="仿宋" w:cs="仿宋" w:hAnsi="仿宋" w:hint="eastAsia"/>
          <w:color w:val="000000"/>
          <w:sz w:val="32"/>
          <w:szCs w:val="32"/>
        </w:rPr>
      </w:pPr>
      <w:r>
        <w:rPr>
          <w:rStyle w:val="2Char"/>
          <w:rFonts w:ascii="仿宋" w:eastAsia="仿宋" w:cs="仿宋" w:hAnsi="仿宋" w:hint="eastAsia"/>
          <w:b w:val="0"/>
          <w:bCs w:val="0"/>
          <w:sz w:val="32"/>
          <w:szCs w:val="32"/>
        </w:rPr>
        <w:t>六、</w:t>
      </w:r>
      <w:r>
        <w:rPr>
          <w:rFonts w:ascii="仿宋" w:eastAsia="仿宋" w:cs="仿宋" w:hAnsi="仿宋" w:hint="eastAsia"/>
          <w:b w:val="0"/>
          <w:color w:val="000000"/>
          <w:sz w:val="32"/>
          <w:szCs w:val="32"/>
        </w:rPr>
        <w:t>一</w:t>
      </w:r>
      <w:r>
        <w:rPr>
          <w:rStyle w:val="2Char"/>
          <w:rFonts w:ascii="仿宋" w:eastAsia="仿宋" w:cs="仿宋" w:hAnsi="仿宋" w:hint="eastAsia"/>
          <w:b w:val="0"/>
          <w:bCs w:val="0"/>
          <w:sz w:val="32"/>
          <w:szCs w:val="32"/>
        </w:rPr>
        <w:t>般公共预算财政拨款支出决算表</w:t>
      </w:r>
      <w:bookmarkEnd w:id="67"/>
    </w:p>
    <w:p>
      <w:pPr>
        <w:pStyle w:val="2"/>
        <w:rPr>
          <w:rFonts w:ascii="仿宋" w:eastAsia="仿宋" w:cs="仿宋" w:hAnsi="仿宋" w:hint="eastAsia"/>
          <w:color w:val="000000"/>
          <w:sz w:val="32"/>
          <w:szCs w:val="32"/>
        </w:rPr>
      </w:pPr>
      <w:bookmarkStart w:id="68" w:name="_Toc15396625"/>
      <w:r>
        <w:rPr>
          <w:rStyle w:val="2Char"/>
          <w:rFonts w:ascii="仿宋" w:eastAsia="仿宋" w:cs="仿宋" w:hAnsi="仿宋" w:hint="eastAsia"/>
          <w:b w:val="0"/>
          <w:bCs w:val="0"/>
          <w:sz w:val="32"/>
          <w:szCs w:val="32"/>
        </w:rPr>
        <w:t>七、</w:t>
      </w:r>
      <w:r>
        <w:rPr>
          <w:rFonts w:ascii="仿宋" w:eastAsia="仿宋" w:cs="仿宋" w:hAnsi="仿宋" w:hint="eastAsia"/>
          <w:b w:val="0"/>
          <w:color w:val="000000"/>
          <w:sz w:val="32"/>
          <w:szCs w:val="32"/>
        </w:rPr>
        <w:t>一</w:t>
      </w:r>
      <w:r>
        <w:rPr>
          <w:rStyle w:val="2Char"/>
          <w:rFonts w:ascii="仿宋" w:eastAsia="仿宋" w:cs="仿宋" w:hAnsi="仿宋" w:hint="eastAsia"/>
          <w:b w:val="0"/>
          <w:bCs w:val="0"/>
          <w:sz w:val="32"/>
          <w:szCs w:val="32"/>
        </w:rPr>
        <w:t>般公共预算财政拨款支出决算明细表</w:t>
      </w:r>
      <w:bookmarkEnd w:id="68"/>
    </w:p>
    <w:p>
      <w:pPr>
        <w:pStyle w:val="2"/>
        <w:rPr>
          <w:rFonts w:ascii="仿宋" w:eastAsia="仿宋" w:cs="仿宋" w:hAnsi="仿宋" w:hint="eastAsia"/>
          <w:color w:val="000000"/>
          <w:sz w:val="32"/>
          <w:szCs w:val="32"/>
        </w:rPr>
      </w:pPr>
      <w:bookmarkStart w:id="69" w:name="_Toc15396626"/>
      <w:r>
        <w:rPr>
          <w:rStyle w:val="2Char"/>
          <w:rFonts w:ascii="仿宋" w:eastAsia="仿宋" w:cs="仿宋" w:hAnsi="仿宋" w:hint="eastAsia"/>
          <w:b w:val="0"/>
          <w:bCs w:val="0"/>
          <w:sz w:val="32"/>
          <w:szCs w:val="32"/>
        </w:rPr>
        <w:t>八、</w:t>
      </w:r>
      <w:r>
        <w:rPr>
          <w:rFonts w:ascii="仿宋" w:eastAsia="仿宋" w:cs="仿宋" w:hAnsi="仿宋" w:hint="eastAsia"/>
          <w:b w:val="0"/>
          <w:color w:val="000000"/>
          <w:sz w:val="32"/>
          <w:szCs w:val="32"/>
        </w:rPr>
        <w:t>一</w:t>
      </w:r>
      <w:r>
        <w:rPr>
          <w:rStyle w:val="2Char"/>
          <w:rFonts w:ascii="仿宋" w:eastAsia="仿宋" w:cs="仿宋" w:hAnsi="仿宋" w:hint="eastAsia"/>
          <w:b w:val="0"/>
          <w:bCs w:val="0"/>
          <w:sz w:val="32"/>
          <w:szCs w:val="32"/>
        </w:rPr>
        <w:t>般公共预算财政拨款基本支出决算表</w:t>
      </w:r>
      <w:bookmarkEnd w:id="69"/>
    </w:p>
    <w:p>
      <w:pPr>
        <w:pStyle w:val="2"/>
        <w:rPr>
          <w:rFonts w:ascii="仿宋" w:eastAsia="仿宋" w:cs="仿宋" w:hAnsi="仿宋" w:hint="eastAsia"/>
          <w:color w:val="000000"/>
          <w:sz w:val="32"/>
          <w:szCs w:val="32"/>
        </w:rPr>
      </w:pPr>
      <w:bookmarkStart w:id="70" w:name="_Toc15396627"/>
      <w:r>
        <w:rPr>
          <w:rStyle w:val="2Char"/>
          <w:rFonts w:ascii="仿宋" w:eastAsia="仿宋" w:cs="仿宋" w:hAnsi="仿宋" w:hint="eastAsia"/>
          <w:b w:val="0"/>
          <w:bCs w:val="0"/>
          <w:sz w:val="32"/>
          <w:szCs w:val="32"/>
        </w:rPr>
        <w:t>九、</w:t>
      </w:r>
      <w:r>
        <w:rPr>
          <w:rFonts w:ascii="仿宋" w:eastAsia="仿宋" w:cs="仿宋" w:hAnsi="仿宋" w:hint="eastAsia"/>
          <w:b w:val="0"/>
          <w:color w:val="000000"/>
          <w:sz w:val="32"/>
          <w:szCs w:val="32"/>
        </w:rPr>
        <w:t>一</w:t>
      </w:r>
      <w:r>
        <w:rPr>
          <w:rStyle w:val="2Char"/>
          <w:rFonts w:ascii="仿宋" w:eastAsia="仿宋" w:cs="仿宋" w:hAnsi="仿宋" w:hint="eastAsia"/>
          <w:b w:val="0"/>
          <w:bCs w:val="0"/>
          <w:sz w:val="32"/>
          <w:szCs w:val="32"/>
        </w:rPr>
        <w:t>般公共预算财政拨款项目支出决算表</w:t>
      </w:r>
      <w:bookmarkEnd w:id="70"/>
    </w:p>
    <w:p>
      <w:pPr>
        <w:pStyle w:val="2"/>
        <w:rPr>
          <w:rFonts w:ascii="仿宋" w:eastAsia="仿宋" w:cs="仿宋" w:hAnsi="仿宋" w:hint="eastAsia"/>
          <w:color w:val="000000"/>
          <w:sz w:val="32"/>
          <w:szCs w:val="32"/>
        </w:rPr>
      </w:pPr>
      <w:bookmarkStart w:id="71" w:name="_Toc15396628"/>
      <w:r>
        <w:rPr>
          <w:rStyle w:val="2Char"/>
          <w:rFonts w:ascii="仿宋" w:eastAsia="仿宋" w:cs="仿宋" w:hAnsi="仿宋" w:hint="eastAsia"/>
          <w:b w:val="0"/>
          <w:bCs w:val="0"/>
          <w:sz w:val="32"/>
          <w:szCs w:val="32"/>
        </w:rPr>
        <w:t>十、</w:t>
      </w:r>
      <w:r>
        <w:rPr>
          <w:rFonts w:ascii="仿宋" w:eastAsia="仿宋" w:cs="仿宋" w:hAnsi="仿宋" w:hint="eastAsia"/>
          <w:b w:val="0"/>
          <w:color w:val="000000"/>
          <w:sz w:val="32"/>
          <w:szCs w:val="32"/>
        </w:rPr>
        <w:t>一</w:t>
      </w:r>
      <w:r>
        <w:rPr>
          <w:rStyle w:val="2Char"/>
          <w:rFonts w:ascii="仿宋" w:eastAsia="仿宋" w:cs="仿宋" w:hAnsi="仿宋" w:hint="eastAsia"/>
          <w:b w:val="0"/>
          <w:bCs w:val="0"/>
          <w:sz w:val="32"/>
          <w:szCs w:val="32"/>
        </w:rPr>
        <w:t>般公共预算财政拨款“三公”经费支出决算表</w:t>
      </w:r>
      <w:bookmarkEnd w:id="71"/>
    </w:p>
    <w:p>
      <w:pPr>
        <w:pStyle w:val="2"/>
        <w:rPr>
          <w:rFonts w:ascii="仿宋" w:eastAsia="仿宋" w:cs="仿宋" w:hAnsi="仿宋" w:hint="eastAsia"/>
          <w:color w:val="000000"/>
          <w:sz w:val="32"/>
          <w:szCs w:val="32"/>
        </w:rPr>
      </w:pPr>
      <w:bookmarkStart w:id="72" w:name="_Toc15396629"/>
      <w:r>
        <w:rPr>
          <w:rStyle w:val="2Char"/>
          <w:rFonts w:ascii="仿宋" w:eastAsia="仿宋" w:cs="仿宋" w:hAnsi="仿宋" w:hint="eastAsia"/>
          <w:b w:val="0"/>
          <w:bCs w:val="0"/>
          <w:sz w:val="32"/>
          <w:szCs w:val="32"/>
        </w:rPr>
        <w:t>十一、</w:t>
      </w:r>
      <w:r>
        <w:rPr>
          <w:rFonts w:ascii="仿宋" w:eastAsia="仿宋" w:cs="仿宋" w:hAnsi="仿宋" w:hint="eastAsia"/>
          <w:b w:val="0"/>
          <w:color w:val="000000"/>
          <w:sz w:val="32"/>
          <w:szCs w:val="32"/>
        </w:rPr>
        <w:t>政</w:t>
      </w:r>
      <w:r>
        <w:rPr>
          <w:rStyle w:val="2Char"/>
          <w:rFonts w:ascii="仿宋" w:eastAsia="仿宋" w:cs="仿宋" w:hAnsi="仿宋" w:hint="eastAsia"/>
          <w:b w:val="0"/>
          <w:bCs w:val="0"/>
          <w:sz w:val="32"/>
          <w:szCs w:val="32"/>
        </w:rPr>
        <w:t>府性基金预算财政拨款收入支出决算表</w:t>
      </w:r>
      <w:bookmarkEnd w:id="72"/>
    </w:p>
    <w:p>
      <w:pPr>
        <w:pStyle w:val="2"/>
        <w:rPr>
          <w:rFonts w:ascii="仿宋" w:eastAsia="仿宋" w:cs="仿宋" w:hAnsi="仿宋" w:hint="eastAsia"/>
          <w:color w:val="000000"/>
          <w:sz w:val="32"/>
          <w:szCs w:val="32"/>
        </w:rPr>
      </w:pPr>
      <w:bookmarkStart w:id="73" w:name="_Toc15396630"/>
      <w:r>
        <w:rPr>
          <w:rStyle w:val="2Char"/>
          <w:rFonts w:ascii="仿宋" w:eastAsia="仿宋" w:cs="仿宋" w:hAnsi="仿宋" w:hint="eastAsia"/>
          <w:b w:val="0"/>
          <w:bCs w:val="0"/>
          <w:sz w:val="32"/>
          <w:szCs w:val="32"/>
        </w:rPr>
        <w:t>十二、</w:t>
      </w:r>
      <w:r>
        <w:rPr>
          <w:rFonts w:ascii="仿宋" w:eastAsia="仿宋" w:cs="仿宋" w:hAnsi="仿宋" w:hint="eastAsia"/>
          <w:b w:val="0"/>
          <w:color w:val="000000"/>
          <w:sz w:val="32"/>
          <w:szCs w:val="32"/>
        </w:rPr>
        <w:t>政</w:t>
      </w:r>
      <w:r>
        <w:rPr>
          <w:rStyle w:val="2Char"/>
          <w:rFonts w:ascii="仿宋" w:eastAsia="仿宋" w:cs="仿宋" w:hAnsi="仿宋" w:hint="eastAsia"/>
          <w:b w:val="0"/>
          <w:bCs w:val="0"/>
          <w:sz w:val="32"/>
          <w:szCs w:val="32"/>
        </w:rPr>
        <w:t>府性基金预算财政拨款“三公”经费支出决算表</w:t>
      </w:r>
      <w:bookmarkEnd w:id="73"/>
    </w:p>
    <w:p>
      <w:pPr>
        <w:pStyle w:val="2"/>
        <w:rPr>
          <w:rFonts w:ascii="仿宋" w:eastAsia="仿宋" w:cs="仿宋" w:hAnsi="仿宋" w:hint="eastAsia"/>
          <w:color w:val="000000"/>
          <w:sz w:val="32"/>
          <w:szCs w:val="32"/>
        </w:rPr>
      </w:pPr>
      <w:bookmarkStart w:id="74" w:name="_Toc15396631"/>
      <w:r>
        <w:rPr>
          <w:rStyle w:val="2Char"/>
          <w:rFonts w:ascii="仿宋" w:eastAsia="仿宋" w:cs="仿宋" w:hAnsi="仿宋" w:hint="eastAsia"/>
          <w:b w:val="0"/>
          <w:bCs w:val="0"/>
          <w:sz w:val="32"/>
          <w:szCs w:val="32"/>
        </w:rPr>
        <w:t>十三、</w:t>
      </w:r>
      <w:r>
        <w:rPr>
          <w:rFonts w:ascii="仿宋" w:eastAsia="仿宋" w:cs="仿宋" w:hAnsi="仿宋" w:hint="eastAsia"/>
          <w:b w:val="0"/>
          <w:color w:val="000000"/>
          <w:sz w:val="32"/>
          <w:szCs w:val="32"/>
        </w:rPr>
        <w:t>国</w:t>
      </w:r>
      <w:r>
        <w:rPr>
          <w:rStyle w:val="2Char"/>
          <w:rFonts w:ascii="仿宋" w:eastAsia="仿宋" w:cs="仿宋" w:hAnsi="仿宋" w:hint="eastAsia"/>
          <w:b w:val="0"/>
          <w:bCs w:val="0"/>
          <w:sz w:val="32"/>
          <w:szCs w:val="32"/>
        </w:rPr>
        <w:t>有资本经营预算支出决算表</w:t>
      </w:r>
      <w:bookmarkEnd w:id="74"/>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方正舒体"/>
    <w:panose1 w:val="02010601030101010101"/>
    <w:charset w:val="86"/>
    <w:family w:val="auto"/>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方正黑体简体">
    <w:altName w:val="微软雅黑"/>
    <w:panose1 w:val="02010601030101010101"/>
    <w:charset w:val="86"/>
    <w:family w:val="auto"/>
    <w:pitch w:val="variable"/>
    <w:sig w:usb0="00000000" w:usb1="00000000" w:usb2="0000001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华文仿宋">
    <w:altName w:val="汉仪仿宋简"/>
    <w:panose1 w:val="02010600040101010101"/>
    <w:charset w:val="86"/>
    <w:family w:val="auto"/>
    <w:pitch w:val="variable"/>
    <w:sig w:usb0="00000287" w:usb1="080F0000" w:usb2="00000000" w:usb3="00000000" w:csb0="0004009F" w:csb1="DFD70000"/>
  </w:font>
  <w:font w:name="楷体_GB2312">
    <w:altName w:val="楷体"/>
    <w:panose1 w:val="02010609030101010101"/>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2000019F" w:csb1="00000000"/>
  </w:font>
  <w:font w:name="Calibri">
    <w:altName w:val="Times New Roman"/>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039203101"/>
    </w:sdtPr>
    <w:sdtContent>
      <w:p>
        <w:pPr>
          <w:pStyle w:val="18"/>
          <w:tabs>
            <w:tab w:val="center" w:pos="4153"/>
            <w:tab w:val="right" w:pos="8306"/>
          </w:tabs>
          <w:jc w:val="center"/>
        </w:pPr>
        <w:r>
          <w:fldChar w:fldCharType="begin"/>
        </w:r>
        <w:r>
          <w:instrText>PAGE   \* MERGEFORMAT</w:instrText>
        </w:r>
        <w:r>
          <w:fldChar w:fldCharType="separate"/>
        </w:r>
        <w:r>
          <w:rPr>
            <w:lang w:val="zh-CN"/>
          </w:rPr>
          <w:t>3</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2B8ABA6"/>
    <w:multiLevelType w:val="singleLevel"/>
    <w:tmpl w:val="32B8ABA6"/>
    <w:lvl w:ilvl="0">
      <w:start w:val="4"/>
      <w:numFmt w:val="decimal"/>
      <w:lvlRestart w:val="0"/>
      <w:suff w:val="nothing"/>
      <w:lvlText w:val="%1、"/>
      <w:lvlJc w:val="left"/>
      <w:pPr/>
    </w:lvl>
  </w:abstractNum>
  <w:abstractNum w:abstractNumId="2">
    <w:nsid w:val="02121340"/>
    <w:multiLevelType w:val="singleLevel"/>
    <w:tmpl w:val="02121340"/>
    <w:lvl w:ilvl="0">
      <w:start w:val="1"/>
      <w:numFmt w:val="decimal"/>
      <w:lvlRestart w:val="0"/>
      <w:lvlText w:val="%1."/>
      <w:lvlJc w:val="left"/>
      <w:pPr>
        <w:tabs>
          <w:tab w:val="num" w:pos="312"/>
        </w:tabs>
      </w:pPr>
    </w:lvl>
  </w:abstractNum>
  <w:abstractNum w:abstractNumId="3">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4">
    <w:nsid w:val="B026C66B"/>
    <w:multiLevelType w:val="singleLevel"/>
    <w:tmpl w:val="B026C66B"/>
    <w:lvl w:ilvl="0">
      <w:start w:val="1"/>
      <w:numFmt w:val="decimal"/>
      <w:lvlRestart w:val="0"/>
      <w:lvlText w:val="%1."/>
      <w:lvlJc w:val="left"/>
      <w:pPr>
        <w:tabs>
          <w:tab w:val="num" w:pos="312"/>
        </w:tabs>
      </w:pPr>
    </w:lvl>
  </w:abstractNum>
  <w:abstractNum w:abstractNumId="5">
    <w:nsid w:val="9FF344F8"/>
    <w:multiLevelType w:val="singleLevel"/>
    <w:tmpl w:val="9FF344F8"/>
    <w:lvl w:ilvl="0">
      <w:start w:val="2"/>
      <w:numFmt w:val="chineseCounting"/>
      <w:lvlRestart w:val="0"/>
      <w:suff w:val="nothing"/>
      <w:lvlText w:val="（%1）"/>
      <w:lvlJc w:val="left"/>
      <w:pPr/>
      <w:rPr>
        <w:rFonts w:hint="eastAsia"/>
      </w:rPr>
    </w:lvl>
  </w:abstractNum>
  <w:abstractNum w:abstractNumId="6">
    <w:nsid w:val="5876F29F"/>
    <w:multiLevelType w:val="singleLevel"/>
    <w:tmpl w:val="5876F29F"/>
    <w:lvl w:ilvl="0">
      <w:start w:val="3"/>
      <w:numFmt w:val="decimal"/>
      <w:lvlRestart w:val="0"/>
      <w:suff w:val="nothing"/>
      <w:lvlText w:val="%1、"/>
      <w:lvlJc w:val="left"/>
      <w:pPr/>
    </w:lvl>
  </w:abstractNum>
  <w:abstractNum w:abstractNumId="7">
    <w:nsid w:val="5D3B1831"/>
    <w:multiLevelType w:val="singleLevel"/>
    <w:tmpl w:val="5D3B1831"/>
    <w:lvl w:ilvl="0">
      <w:start w:val="1"/>
      <w:numFmt w:val="chineseCounting"/>
      <w:lvlRestart w:val="0"/>
      <w:suff w:val="nothing"/>
      <w:lvlText w:val="（%1）"/>
      <w:lvlJc w:val="left"/>
      <w:pPr/>
      <w:rPr>
        <w:rFonts w:hint="eastAsia"/>
      </w:rPr>
    </w:lvl>
  </w:abstractNum>
  <w:abstractNum w:abstractNumId="8">
    <w:nsid w:val="AE508F84"/>
    <w:multiLevelType w:val="singleLevel"/>
    <w:tmpl w:val="AE508F84"/>
    <w:lvl w:ilvl="0">
      <w:start w:val="5"/>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spacing w:before="100" w:beforeAutospacing="1" w:after="100" w:afterAutospacing="1"/>
      <w:jc w:val="left"/>
    </w:pPr>
    <w:rPr>
      <w:kern w:val="0"/>
      <w:sz w:val="24"/>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1">
    <w:name w:val="TOC 标题2"/>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b="1" i="0" u="none" strike="noStrike" baseline="0">
                <a:solidFill>
                  <a:srgbClr val="595959"/>
                </a:solidFill>
                <a:latin typeface="Times New Roman"/>
                <a:ea typeface="宋体"/>
                <a:cs typeface="Lucida Sans"/>
              </a:defRPr>
            </a:pPr>
            <a:r>
              <a:rPr lang="zh-CN"/>
              <a:t>收、支决算总计变动情况图</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10"/>
              <c:pt idx="0">
                <c:v>收入</c:v>
              </c:pt>
              <c:pt idx="1">
                <c:v>支出</c:v>
              </c:pt>
              <c:pt idx="2">
                <c:v>收入</c:v>
              </c:pt>
              <c:pt idx="3">
                <c:v>支出</c:v>
              </c:pt>
              <c:pt idx="4">
                <c:v>&amp;sxmk&amp;</c:v>
              </c:pt>
              <c:pt idx="5">
                <c:v>2018年</c:v>
              </c:pt>
              <c:pt idx="7">
                <c:v>2019年</c:v>
              </c:pt>
              <c:pt idx="9">
                <c:v>&amp;sxmk&amp;</c:v>
              </c:pt>
            </c:strLit>
          </c:cat>
          <c:val>
            <c:numRef>
              <c:f/>
              <c:numCache>
                <c:formatCode>General</c:formatCode>
                <c:ptCount val="4"/>
                <c:pt idx="0">
                  <c:v>51.5</c:v>
                </c:pt>
                <c:pt idx="1">
                  <c:v>50.15</c:v>
                </c:pt>
                <c:pt idx="2">
                  <c:v>51.63</c:v>
                </c:pt>
                <c:pt idx="3">
                  <c:v>52.44</c:v>
                </c:pt>
              </c:numCache>
            </c:numRef>
          </c:val>
        </c:ser>
        <c:overlap val="-27"/>
        <c:gapWidth val="219"/>
        <c:axId val="0"/>
        <c:axId val="1"/>
      </c:barChart>
      <c:catAx>
        <c:axId val="0"/>
        <c:scaling>
          <c:orientation val="minMax"/>
        </c:scaling>
        <c:delete val="0"/>
        <c:axPos val="b"/>
        <c:numFmt formatCode="General" sourceLinked="1"/>
        <c:title>
          <c:tx>
            <c:rich>
              <a:bodyPr/>
              <a:lstStyle/>
              <a:p>
                <a:pPr>
                  <a:defRPr sz="1000" b="0" i="0" u="none" strike="noStrike" baseline="0">
                    <a:solidFill>
                      <a:srgbClr val="595959"/>
                    </a:solidFill>
                    <a:latin typeface="Times New Roman"/>
                    <a:ea typeface="宋体"/>
                    <a:cs typeface="Lucida Sans"/>
                  </a:defRPr>
                </a:pPr>
                <a:r>
                  <a:rPr lang="zh-CN"/>
                  <a:t>单位：万元</a:t>
                </a:r>
              </a:p>
            </c:rich>
          </c:tx>
          <c:layout/>
          <c:overlay val="0"/>
          <c:spPr>
            <a:noFill/>
            <a:ln>
              <a:noFill/>
            </a:ln>
          </c:spPr>
        </c:title>
        <c:majorTickMark val="out"/>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out"/>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595959"/>
                </a:solidFill>
                <a:latin typeface="Times New Roman"/>
                <a:ea typeface="宋体"/>
                <a:cs typeface="Lucida Sans"/>
              </a:defRPr>
            </a:pPr>
            <a:r>
              <a:rPr lang="zh-CN"/>
              <a:t>收入决算结构图</a:t>
            </a:r>
          </a:p>
        </c:rich>
      </c:tx>
      <c:layout>
        <c:manualLayout>
          <c:xMode val="edge"/>
          <c:yMode val="edge"/>
          <c:x val="0.37294292"/>
          <c:y val="0.01628368"/>
        </c:manualLayout>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
              <c:idx val="0"/>
              <c:layout>
                <c:manualLayout>
                  <c:x val="-0.0012502843"/>
                  <c:y val="-0.061741166"/>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1"/>
              <c:layout>
                <c:manualLayout>
                  <c:x val="-0.08289314"/>
                  <c:y val="-0.010478748"/>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2"/>
              <c:layout>
                <c:manualLayout>
                  <c:x val="0.08178002"/>
                  <c:y val="0.017078469"/>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3"/>
              <c:layout>
                <c:manualLayout>
                  <c:x val="0.023170063"/>
                  <c:y val="-0.028529918"/>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4"/>
              <c:layout>
                <c:manualLayout>
                  <c:x val="-0.108333565"/>
                  <c:y val="0.031933207"/>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5"/>
              <c:layout>
                <c:manualLayout>
                  <c:x val="0.10028469"/>
                  <c:y val="0.050660554"/>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6"/>
              <c:layout>
                <c:manualLayout>
                  <c:x val="-0.014983042"/>
                  <c:y val="-0.033589054"/>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Lit>
              <c:ptCount val="7"/>
              <c:pt idx="0">
                <c:v>一般公共预算财政拨款</c:v>
              </c:pt>
              <c:pt idx="1">
                <c:v>政府性基金预算财政拨款</c:v>
              </c:pt>
              <c:pt idx="2">
                <c:v>上级补助</c:v>
              </c:pt>
              <c:pt idx="3">
                <c:v>事业收入</c:v>
              </c:pt>
              <c:pt idx="4">
                <c:v>经营收入</c:v>
              </c:pt>
              <c:pt idx="5">
                <c:v>附属单位上缴收入</c:v>
              </c:pt>
              <c:pt idx="6">
                <c:v>其他收入</c:v>
              </c:pt>
            </c:strLit>
          </c:cat>
          <c:val>
            <c:numRef>
              <c:f/>
              <c:numCache>
                <c:formatCode>General</c:formatCode>
                <c:ptCount val="7"/>
                <c:pt idx="0">
                  <c:v>51.63</c:v>
                </c:pt>
                <c:pt idx="1">
                  <c:v>0.0</c:v>
                </c:pt>
                <c:pt idx="2">
                  <c:v>0.0</c:v>
                </c:pt>
                <c:pt idx="3">
                  <c:v>0.0</c:v>
                </c:pt>
                <c:pt idx="4">
                  <c:v>0.0</c:v>
                </c:pt>
                <c:pt idx="5">
                  <c:v>0.0</c:v>
                </c:pt>
                <c:pt idx="6">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595959"/>
                </a:solidFill>
                <a:latin typeface="Times New Roman"/>
                <a:ea typeface="宋体"/>
                <a:cs typeface="Lucida Sans"/>
              </a:defRPr>
            </a:pPr>
            <a:r>
              <a:rPr lang="zh-CN"/>
              <a:t>支出决算结构图</a:t>
            </a:r>
          </a:p>
        </c:rich>
      </c:tx>
      <c:layout>
        <c:manualLayout>
          <c:xMode val="edge"/>
          <c:yMode val="edge"/>
          <c:x val="0.3150723"/>
          <c:y val="0.016083917"/>
        </c:manualLayout>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
              <c:idx val="0"/>
              <c:layout>
                <c:manualLayout>
                  <c:x val="0.07563173"/>
                  <c:y val="-0.015290155"/>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1"/>
              <c:layout>
                <c:manualLayout>
                  <c:x val="-0.088845186"/>
                  <c:y val="0.019345261"/>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2"/>
              <c:layout>
                <c:manualLayout>
                  <c:x val="-0.054227155"/>
                  <c:y val="0.0036107227"/>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3"/>
              <c:layout>
                <c:manualLayout>
                  <c:x val="0.13042246"/>
                  <c:y val="0.047899768"/>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4"/>
              <c:layout>
                <c:manualLayout>
                  <c:x val="0.046162166"/>
                  <c:y val="-0.001051282"/>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Lit>
              <c:ptCount val="5"/>
              <c:pt idx="0">
                <c:v>基本支出</c:v>
              </c:pt>
              <c:pt idx="1">
                <c:v>项目支出</c:v>
              </c:pt>
              <c:pt idx="2">
                <c:v>上缴上级</c:v>
              </c:pt>
              <c:pt idx="3">
                <c:v>经营支出</c:v>
              </c:pt>
              <c:pt idx="4">
                <c:v>附属单位补助支出</c:v>
              </c:pt>
            </c:strLit>
          </c:cat>
          <c:val>
            <c:numRef>
              <c:f/>
              <c:numCache>
                <c:formatCode>General</c:formatCode>
                <c:ptCount val="5"/>
                <c:pt idx="0">
                  <c:v>41.28</c:v>
                </c:pt>
                <c:pt idx="1">
                  <c:v>11.16</c:v>
                </c:pt>
                <c:pt idx="2">
                  <c:v>0.0</c:v>
                </c:pt>
                <c:pt idx="3">
                  <c:v>0.0</c:v>
                </c:pt>
                <c:pt idx="4">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595959"/>
                </a:solidFill>
                <a:latin typeface="Times New Roman"/>
                <a:ea typeface="宋体"/>
                <a:cs typeface="Lucida Sans"/>
              </a:defRPr>
            </a:pPr>
            <a:r>
              <a:rPr lang="zh-CN"/>
              <a:t>财政拨款收、支决算总计变动情况</a:t>
            </a:r>
          </a:p>
        </c:rich>
      </c:tx>
      <c:layout/>
      <c:overlay val="0"/>
      <c:spPr>
        <a:noFill/>
        <a:ln>
          <a:noFill/>
        </a:ln>
      </c:spPr>
    </c:title>
    <c:autoTitleDeleted val="1"/>
    <c:plotArea>
      <c:layout>
        <c:manualLayout>
          <c:layoutTarget val="inner"/>
          <c:xMode val="edge"/>
          <c:yMode val="edge"/>
          <c:x val="0.06873043"/>
          <c:y val="0.14715603"/>
          <c:w val="0.903204"/>
          <c:h val="0.63635415"/>
        </c:manualLayout>
      </c:layout>
      <c:barChart>
        <c:barDir val="col"/>
        <c:grouping val="clustered"/>
        <c:varyColors val="0"/>
        <c:ser>
          <c:idx val="0"/>
          <c:order val="0"/>
          <c:tx>
            <c:v>单位：万元</c:v>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10"/>
              <c:pt idx="0">
                <c:v>收入</c:v>
              </c:pt>
              <c:pt idx="1">
                <c:v>支出</c:v>
              </c:pt>
              <c:pt idx="2">
                <c:v>收入</c:v>
              </c:pt>
              <c:pt idx="3">
                <c:v>支出</c:v>
              </c:pt>
              <c:pt idx="4">
                <c:v>&amp;sxmk&amp;</c:v>
              </c:pt>
              <c:pt idx="5">
                <c:v>2019年</c:v>
              </c:pt>
              <c:pt idx="7">
                <c:v>2018年</c:v>
              </c:pt>
              <c:pt idx="9">
                <c:v>&amp;sxmk&amp;</c:v>
              </c:pt>
            </c:strLit>
          </c:cat>
          <c:val>
            <c:numRef>
              <c:f/>
              <c:numCache>
                <c:formatCode>General</c:formatCode>
                <c:ptCount val="4"/>
                <c:pt idx="0">
                  <c:v>51.5</c:v>
                </c:pt>
                <c:pt idx="1">
                  <c:v>50.15</c:v>
                </c:pt>
                <c:pt idx="2">
                  <c:v>51.63</c:v>
                </c:pt>
                <c:pt idx="3">
                  <c:v>52.44</c:v>
                </c:pt>
              </c:numCache>
            </c:numRef>
          </c:val>
        </c:ser>
        <c:overlap val="-27"/>
        <c:gapWidth val="219"/>
        <c:axId val="0"/>
        <c:axId val="1"/>
      </c:barChart>
      <c:catAx>
        <c:axId val="0"/>
        <c:scaling>
          <c:orientation val="minMax"/>
        </c:scaling>
        <c:delete val="0"/>
        <c:axPos val="b"/>
        <c:numFmt formatCode="General" sourceLinked="1"/>
        <c:title>
          <c:tx>
            <c:rich>
              <a:bodyPr/>
              <a:lstStyle/>
              <a:p>
                <a:pPr>
                  <a:defRPr sz="1000" b="0" i="0" u="none" strike="noStrike" baseline="0">
                    <a:solidFill>
                      <a:srgbClr val="595959"/>
                    </a:solidFill>
                    <a:latin typeface="Times New Roman"/>
                    <a:ea typeface="宋体"/>
                    <a:cs typeface="Lucida Sans"/>
                  </a:defRPr>
                </a:pPr>
                <a:r>
                  <a:rPr lang="zh-CN"/>
                  <a:t>单位：万元</a:t>
                </a:r>
              </a:p>
            </c:rich>
          </c:tx>
          <c:layout>
            <c:manualLayout>
              <c:xMode val="edge"/>
              <c:yMode val="edge"/>
              <c:x val="0.83428794"/>
              <c:y val="0.0743838"/>
            </c:manualLayout>
          </c:layout>
          <c:overlay val="0"/>
          <c:spPr>
            <a:noFill/>
            <a:ln>
              <a:noFill/>
            </a:ln>
          </c:spPr>
        </c:title>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595959"/>
                </a:solidFill>
                <a:latin typeface="Times New Roman"/>
                <a:ea typeface="宋体"/>
                <a:cs typeface="Lucida Sans"/>
              </a:defRPr>
            </a:pPr>
            <a:r>
              <a:rPr lang="zh-CN"/>
              <a:t>一般公共预算财政拨款支出决算变动情况</a:t>
            </a:r>
          </a:p>
        </c:rich>
      </c:tx>
      <c:layout>
        <c:manualLayout>
          <c:xMode val="edge"/>
          <c:yMode val="edge"/>
          <c:x val="0.14809354"/>
          <c:y val="0.006690455"/>
        </c:manualLayout>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2019年</c:v>
              </c:pt>
              <c:pt idx="1">
                <c:v>2018年</c:v>
              </c:pt>
            </c:strLit>
          </c:cat>
          <c:val>
            <c:numRef>
              <c:f/>
              <c:numCache>
                <c:formatCode>General</c:formatCode>
                <c:ptCount val="2"/>
                <c:pt idx="0">
                  <c:v>50.15</c:v>
                </c:pt>
                <c:pt idx="1">
                  <c:v>52.44</c:v>
                </c:pt>
              </c:numCache>
            </c:numRef>
          </c:val>
        </c:ser>
        <c:overlap val="-27"/>
        <c:gapWidth val="219"/>
        <c:axId val="0"/>
        <c:axId val="1"/>
      </c:barChart>
      <c:catAx>
        <c:axId val="0"/>
        <c:scaling>
          <c:orientation val="minMax"/>
        </c:scaling>
        <c:delete val="0"/>
        <c:axPos val="b"/>
        <c:numFmt formatCode="General" sourceLinked="1"/>
        <c:title>
          <c:tx>
            <c:rich>
              <a:bodyPr/>
              <a:lstStyle/>
              <a:p>
                <a:pPr>
                  <a:defRPr sz="1000" b="0" i="0" u="none" strike="noStrike" baseline="0">
                    <a:solidFill>
                      <a:srgbClr val="595959"/>
                    </a:solidFill>
                    <a:latin typeface="Times New Roman"/>
                    <a:ea typeface="宋体"/>
                    <a:cs typeface="Lucida Sans"/>
                  </a:defRPr>
                </a:pPr>
                <a:r>
                  <a:rPr lang="zh-CN"/>
                  <a:t>单位：万元</a:t>
                </a:r>
              </a:p>
            </c:rich>
          </c:tx>
          <c:layout/>
          <c:overlay val="0"/>
          <c:spPr>
            <a:noFill/>
            <a:ln>
              <a:noFill/>
            </a:ln>
          </c:spPr>
        </c:title>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595959"/>
                </a:solidFill>
                <a:latin typeface="Times New Roman"/>
                <a:ea typeface="宋体"/>
                <a:cs typeface="Lucida Sans"/>
              </a:defRPr>
            </a:pPr>
            <a:r>
              <a:rPr lang="zh-CN"/>
              <a:t>一般公共预算财政拨款支出决算结构</a:t>
            </a:r>
          </a:p>
        </c:rich>
      </c:tx>
      <c:layout>
        <c:manualLayout>
          <c:xMode val="edge"/>
          <c:yMode val="edge"/>
          <c:x val="0.21052107"/>
          <c:y val="0.007052186"/>
        </c:manualLayout>
      </c:layout>
      <c:overlay val="0"/>
      <c:spPr>
        <a:noFill/>
        <a:ln>
          <a:noFill/>
        </a:ln>
      </c:spPr>
    </c:title>
    <c:autoTitleDeleted val="1"/>
    <c:plotArea>
      <c:layout/>
      <c:pieChart>
        <c:varyColors val="1"/>
        <c:ser>
          <c:idx val="0"/>
          <c:order val="0"/>
          <c:tx>
            <c:v>单位：万元</c:v>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00%" sourceLinked="0"/>
            <c:dLbl>
              <c:idx val="1"/>
              <c:layout>
                <c:manualLayout>
                  <c:x val="-0.12517323"/>
                  <c:y val="0.09377487"/>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1"/>
              <c:showVal val="0"/>
              <c:showCatName val="0"/>
              <c:showSerName val="0"/>
              <c:showPercent val="1"/>
              <c:showBubbleSize val="0"/>
            </c:dLbl>
            <c:dLbl>
              <c:idx val="2"/>
              <c:layout>
                <c:manualLayout>
                  <c:x val="-0.10403683"/>
                  <c:y val="-0.029080123"/>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1"/>
              <c:showVal val="0"/>
              <c:showCatName val="0"/>
              <c:showSerName val="0"/>
              <c:showPercent val="1"/>
              <c:showBubbleSize val="0"/>
            </c:dLbl>
            <c:dLbl>
              <c:idx val="3"/>
              <c:layout>
                <c:manualLayout>
                  <c:x val="-0.023020566"/>
                  <c:y val="-0.006581204"/>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1"/>
              <c:showVal val="0"/>
              <c:showCatName val="0"/>
              <c:showSerName val="0"/>
              <c:showPercent val="1"/>
              <c:showBubbleSize val="0"/>
            </c:dLbl>
            <c:dLbl>
              <c:idx val="4"/>
              <c:layout>
                <c:manualLayout>
                  <c:x val="-0.11993586"/>
                  <c:y val="-0.08202022"/>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1"/>
              <c:showVal val="0"/>
              <c:showCatName val="0"/>
              <c:showSerName val="0"/>
              <c:showPercent val="1"/>
              <c:showBubbleSize val="0"/>
            </c:dLbl>
            <c:showLegendKey val="1"/>
            <c:showVal val="0"/>
            <c:showCatName val="0"/>
            <c:showSerName val="0"/>
            <c:showPercent val="1"/>
            <c:showBubbleSize val="0"/>
            <c:showLeaderLines val="1"/>
          </c:dLbls>
          <c:cat>
            <c:strLit>
              <c:ptCount val="5"/>
              <c:pt idx="0">
                <c:v>一般公共服务（类）</c:v>
              </c:pt>
              <c:pt idx="1">
                <c:v>农林水（类）</c:v>
              </c:pt>
              <c:pt idx="2">
                <c:v>社会保障和就业（类）</c:v>
              </c:pt>
              <c:pt idx="3">
                <c:v>卫生健康支出（类）</c:v>
              </c:pt>
              <c:pt idx="4">
                <c:v>住房保障（类）</c:v>
              </c:pt>
            </c:strLit>
          </c:cat>
          <c:val>
            <c:numRef>
              <c:f/>
              <c:numCache>
                <c:formatCode>General</c:formatCode>
                <c:ptCount val="5"/>
                <c:pt idx="0">
                  <c:v>35.04</c:v>
                </c:pt>
                <c:pt idx="1">
                  <c:v>8.6</c:v>
                </c:pt>
                <c:pt idx="2">
                  <c:v>4.3</c:v>
                </c:pt>
                <c:pt idx="3">
                  <c:v>1.73</c:v>
                </c:pt>
                <c:pt idx="4">
                  <c:v>2.77</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595959"/>
                </a:solidFill>
                <a:latin typeface="Times New Roman"/>
                <a:ea typeface="宋体"/>
                <a:cs typeface="Lucida Sans"/>
              </a:defRPr>
            </a:pPr>
            <a:r>
              <a:rPr lang="zh-CN"/>
              <a:t>“三公”经费财政拨款支出结构</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0%" sourceLinked="0"/>
            <c:dLbl>
              <c:idx val="1"/>
              <c:layout>
                <c:manualLayout>
                  <c:x val="-0.09817539"/>
                  <c:y val="0.032702982"/>
                </c:manualLayout>
              </c:layout>
              <c:numFmt formatCode="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
              <c:idx val="2"/>
              <c:layout>
                <c:manualLayout>
                  <c:x val="0.115681484"/>
                  <c:y val="0.039960258"/>
                </c:manualLayout>
              </c:layout>
              <c:numFmt formatCode="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bestFit"/>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Lit>
              <c:ptCount val="3"/>
              <c:pt idx="0">
                <c:v>公务用车购置及运行维护费支出</c:v>
              </c:pt>
              <c:pt idx="1">
                <c:v>因公出国（境）费支出</c:v>
              </c:pt>
              <c:pt idx="2">
                <c:v>公务接待费支出</c:v>
              </c:pt>
            </c:strLit>
          </c:cat>
          <c:val>
            <c:numRef>
              <c:f/>
              <c:numCache>
                <c:formatCode>General</c:formatCode>
                <c:ptCount val="3"/>
                <c:pt idx="0">
                  <c:v>0.0</c:v>
                </c:pt>
                <c:pt idx="1">
                  <c:v>0.0</c:v>
                </c:pt>
                <c:pt idx="2">
                  <c:v>0.2</c:v>
                </c:pt>
              </c:numCache>
            </c:numRef>
          </c:val>
        </c:ser>
        <c:firstSliceAng val="0"/>
      </c:pieChart>
      <c:spPr>
        <a:noFill/>
        <a:ln>
          <a:noFill/>
        </a:ln>
      </c:spPr>
    </c:plotArea>
    <c:legend>
      <c:legendPos val="r"/>
      <c:layout>
        <c:manualLayout>
          <c:xMode val="edge"/>
          <c:yMode val="edge"/>
          <c:x val="0.5888889"/>
          <c:y val="0.37939814"/>
          <c:w val="0.39444444"/>
          <c:h val="0.35439816"/>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C915684-3825-46EA-BDF4-72F594761C0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37</Pages>
  <Words>0</Words>
  <Characters>13415</Characters>
  <Lines>0</Lines>
  <Paragraphs>314</Paragraphs>
  <CharactersWithSpaces>17887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40</cp:revision>
  <cp:lastPrinted>2020-07-23T02:58:00Z</cp:lastPrinted>
  <dcterms:created xsi:type="dcterms:W3CDTF">2020-08-04T01:49:00Z</dcterms:created>
  <dcterms:modified xsi:type="dcterms:W3CDTF">2023-09-28T09:23:13Z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2052-11.1.0.9926</vt:lpwstr>
  </property>
</Properties>
</file>