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宋体" w:eastAsia="仿宋_GB2312"/>
          <w:color w:val="000000"/>
          <w:sz w:val="32"/>
          <w:szCs w:val="32"/>
        </w:rPr>
      </w:pPr>
      <w:bookmarkStart w:id="61" w:name="_GoBack"/>
      <w:bookmarkEnd w:id="61"/>
      <w:bookmarkStart w:id="0" w:name="_Toc15306267"/>
    </w:p>
    <w:p>
      <w:pPr>
        <w:spacing w:line="600" w:lineRule="exact"/>
        <w:jc w:val="center"/>
        <w:outlineLvl w:val="0"/>
        <w:rPr>
          <w:rFonts w:ascii="仿宋_GB2312" w:hAnsi="宋体" w:eastAsia="仿宋_GB2312"/>
          <w:color w:val="000000"/>
          <w:sz w:val="32"/>
          <w:szCs w:val="32"/>
        </w:rPr>
      </w:pPr>
    </w:p>
    <w:p>
      <w:pPr>
        <w:spacing w:line="600" w:lineRule="exact"/>
        <w:jc w:val="center"/>
        <w:outlineLvl w:val="0"/>
        <w:rPr>
          <w:rFonts w:ascii="仿宋_GB2312" w:hAnsi="宋体" w:eastAsia="仿宋_GB2312"/>
          <w:color w:val="000000"/>
          <w:sz w:val="32"/>
          <w:szCs w:val="32"/>
        </w:rPr>
      </w:pPr>
    </w:p>
    <w:p>
      <w:pPr>
        <w:spacing w:line="600" w:lineRule="exact"/>
        <w:jc w:val="center"/>
        <w:outlineLvl w:val="0"/>
        <w:rPr>
          <w:rFonts w:ascii="仿宋_GB2312" w:hAnsi="宋体" w:eastAsia="仿宋_GB2312"/>
          <w:color w:val="000000"/>
          <w:sz w:val="32"/>
          <w:szCs w:val="32"/>
        </w:rPr>
      </w:pPr>
    </w:p>
    <w:p>
      <w:pPr>
        <w:adjustRightInd w:val="0"/>
        <w:snapToGrid w:val="0"/>
        <w:spacing w:line="360" w:lineRule="auto"/>
        <w:jc w:val="center"/>
        <w:outlineLvl w:val="0"/>
        <w:rPr>
          <w:rFonts w:ascii="方正小标宋简体" w:hAnsi="宋体" w:eastAsia="方正小标宋简体"/>
          <w:color w:val="000000"/>
          <w:sz w:val="44"/>
          <w:szCs w:val="44"/>
        </w:rPr>
      </w:pPr>
      <w:bookmarkStart w:id="1" w:name="_Toc15377425"/>
      <w:bookmarkStart w:id="2" w:name="_Toc15377193"/>
      <w:bookmarkStart w:id="3" w:name="_Toc15396597"/>
      <w:bookmarkStart w:id="4" w:name="_Toc15378441"/>
      <w:bookmarkStart w:id="5" w:name="_Toc15396475"/>
      <w:r>
        <w:rPr>
          <w:rFonts w:hint="eastAsia" w:ascii="方正小标宋简体" w:hAnsi="黑体" w:eastAsia="方正小标宋简体"/>
          <w:color w:val="000000"/>
          <w:sz w:val="44"/>
          <w:szCs w:val="44"/>
        </w:rPr>
        <w:t>2018</w:t>
      </w:r>
      <w:r>
        <w:rPr>
          <w:rFonts w:hint="eastAsia" w:ascii="方正小标宋简体" w:hAnsi="宋体" w:eastAsia="方正小标宋简体"/>
          <w:color w:val="000000"/>
          <w:sz w:val="44"/>
          <w:szCs w:val="44"/>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44"/>
          <w:szCs w:val="44"/>
        </w:rPr>
      </w:pPr>
      <w:bookmarkStart w:id="6" w:name="_Toc15378442"/>
      <w:bookmarkStart w:id="7" w:name="_Toc15396476"/>
      <w:bookmarkStart w:id="8" w:name="_Toc15396598"/>
      <w:bookmarkStart w:id="9" w:name="_Toc15377426"/>
      <w:bookmarkStart w:id="10" w:name="_Toc15377194"/>
      <w:r>
        <w:rPr>
          <w:rFonts w:hint="eastAsia" w:ascii="方正小标宋简体" w:hAnsi="宋体" w:eastAsia="方正小标宋简体"/>
          <w:color w:val="000000"/>
          <w:sz w:val="44"/>
          <w:szCs w:val="44"/>
        </w:rPr>
        <w:t>中共四川省</w:t>
      </w:r>
      <w:bookmarkEnd w:id="0"/>
      <w:bookmarkStart w:id="11" w:name="_Toc15306268"/>
      <w:r>
        <w:rPr>
          <w:rFonts w:hint="eastAsia" w:ascii="方正小标宋简体" w:hAnsi="宋体" w:eastAsia="方正小标宋简体"/>
          <w:color w:val="000000"/>
          <w:sz w:val="44"/>
          <w:szCs w:val="44"/>
        </w:rPr>
        <w:t>广元市利州区委组织部决算</w:t>
      </w:r>
      <w:bookmarkEnd w:id="6"/>
      <w:bookmarkEnd w:id="7"/>
      <w:bookmarkEnd w:id="8"/>
      <w:bookmarkEnd w:id="9"/>
      <w:bookmarkEnd w:id="10"/>
      <w:bookmarkEnd w:id="11"/>
    </w:p>
    <w:p>
      <w:pPr>
        <w:widowControl/>
        <w:jc w:val="left"/>
        <w:rPr>
          <w:rFonts w:ascii="方正小标宋简体" w:hAnsi="宋体" w:eastAsia="方正小标宋简体"/>
          <w:color w:val="000000"/>
          <w:sz w:val="44"/>
          <w:szCs w:val="44"/>
        </w:rPr>
      </w:pPr>
      <w:r>
        <w:rPr>
          <w:rFonts w:ascii="方正小标宋简体" w:hAnsi="宋体" w:eastAsia="方正小标宋简体"/>
          <w:color w:val="000000"/>
          <w:sz w:val="44"/>
          <w:szCs w:val="44"/>
        </w:rPr>
        <w:br w:type="page"/>
      </w:r>
    </w:p>
    <w:p>
      <w:pPr>
        <w:widowControl/>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目    录</w:t>
      </w:r>
    </w:p>
    <w:p>
      <w:pPr>
        <w:widowControl/>
        <w:jc w:val="center"/>
        <w:rPr>
          <w:rFonts w:ascii="仿宋_GB2312" w:hAnsi="黑体" w:eastAsia="仿宋_GB2312"/>
          <w:color w:val="000000"/>
          <w:sz w:val="32"/>
          <w:szCs w:val="32"/>
        </w:rPr>
      </w:pPr>
      <w:r>
        <w:rPr>
          <w:rFonts w:hint="eastAsia" w:ascii="仿宋_GB2312" w:hAnsi="黑体" w:eastAsia="仿宋_GB2312"/>
          <w:color w:val="000000"/>
          <w:sz w:val="32"/>
          <w:szCs w:val="32"/>
        </w:rPr>
        <w:t>公开时间：2019年</w:t>
      </w:r>
      <w:r>
        <w:rPr>
          <w:rFonts w:hint="eastAsia" w:ascii="仿宋_GB2312" w:hAnsi="黑体" w:eastAsia="仿宋_GB2312"/>
          <w:color w:val="000000"/>
          <w:sz w:val="32"/>
          <w:szCs w:val="32"/>
          <w:lang w:val="en-US" w:eastAsia="zh-CN"/>
        </w:rPr>
        <w:t>9</w:t>
      </w:r>
      <w:r>
        <w:rPr>
          <w:rFonts w:hint="eastAsia" w:ascii="仿宋_GB2312" w:hAnsi="黑体" w:eastAsia="仿宋_GB2312"/>
          <w:color w:val="000000"/>
          <w:sz w:val="32"/>
          <w:szCs w:val="32"/>
        </w:rPr>
        <w:t>月</w:t>
      </w:r>
      <w:r>
        <w:rPr>
          <w:rFonts w:hint="eastAsia" w:ascii="仿宋_GB2312" w:hAnsi="黑体" w:eastAsia="仿宋_GB2312"/>
          <w:color w:val="000000"/>
          <w:sz w:val="32"/>
          <w:szCs w:val="32"/>
          <w:lang w:val="en-US" w:eastAsia="zh-CN"/>
        </w:rPr>
        <w:t>12</w:t>
      </w:r>
      <w:r>
        <w:rPr>
          <w:rFonts w:hint="eastAsia" w:ascii="仿宋_GB2312" w:hAnsi="黑体" w:eastAsia="仿宋_GB2312"/>
          <w:color w:val="000000"/>
          <w:sz w:val="32"/>
          <w:szCs w:val="32"/>
        </w:rPr>
        <w:t>日</w:t>
      </w:r>
    </w:p>
    <w:p>
      <w:pPr>
        <w:widowControl/>
        <w:jc w:val="center"/>
        <w:rPr>
          <w:rFonts w:ascii="仿宋_GB2312" w:hAnsi="黑体" w:eastAsia="仿宋_GB2312"/>
          <w:color w:val="000000"/>
          <w:sz w:val="32"/>
          <w:szCs w:val="32"/>
        </w:rPr>
      </w:pPr>
    </w:p>
    <w:p>
      <w:pPr>
        <w:widowControl/>
        <w:jc w:val="left"/>
        <w:rPr>
          <w:rFonts w:ascii="仿宋_GB2312" w:hAnsi="黑体" w:eastAsia="仿宋_GB2312"/>
          <w:color w:val="000000"/>
          <w:sz w:val="32"/>
          <w:szCs w:val="32"/>
        </w:rPr>
      </w:pPr>
    </w:p>
    <w:p>
      <w:pPr>
        <w:widowControl/>
        <w:jc w:val="left"/>
        <w:rPr>
          <w:rFonts w:ascii="仿宋_GB2312" w:hAnsi="黑体" w:eastAsia="仿宋_GB2312"/>
          <w:b/>
          <w:color w:val="000000"/>
          <w:sz w:val="32"/>
          <w:szCs w:val="32"/>
        </w:rPr>
      </w:pPr>
      <w:r>
        <w:rPr>
          <w:rFonts w:hint="eastAsia" w:ascii="仿宋_GB2312" w:hAnsi="黑体" w:eastAsia="仿宋_GB2312"/>
          <w:b/>
          <w:color w:val="000000"/>
          <w:sz w:val="32"/>
          <w:szCs w:val="32"/>
        </w:rPr>
        <w:t>第一部分  部门概况</w:t>
      </w:r>
      <w:r>
        <w:rPr>
          <w:rFonts w:ascii="仿宋_GB2312" w:hAnsi="黑体" w:eastAsia="仿宋_GB2312"/>
          <w:b/>
          <w:color w:val="000000"/>
          <w:sz w:val="32"/>
          <w:szCs w:val="32"/>
        </w:rPr>
        <w:t>…………………………………………</w:t>
      </w:r>
      <w:r>
        <w:rPr>
          <w:rFonts w:hint="eastAsia" w:ascii="仿宋_GB2312" w:hAnsi="黑体" w:eastAsia="仿宋_GB2312"/>
          <w:b/>
          <w:color w:val="000000"/>
          <w:sz w:val="32"/>
          <w:szCs w:val="32"/>
        </w:rPr>
        <w:t>4</w:t>
      </w:r>
    </w:p>
    <w:p>
      <w:pPr>
        <w:widowControl/>
        <w:jc w:val="left"/>
        <w:rPr>
          <w:rFonts w:ascii="仿宋_GB2312" w:hAnsi="黑体" w:eastAsia="仿宋_GB2312"/>
          <w:color w:val="000000"/>
          <w:sz w:val="32"/>
          <w:szCs w:val="32"/>
        </w:rPr>
      </w:pPr>
      <w:r>
        <w:rPr>
          <w:rFonts w:hint="eastAsia" w:ascii="仿宋_GB2312" w:hAnsi="黑体" w:eastAsia="仿宋_GB2312"/>
          <w:color w:val="000000"/>
          <w:sz w:val="32"/>
          <w:szCs w:val="32"/>
        </w:rPr>
        <w:t>一、基本职能及主要工作</w:t>
      </w:r>
      <w:r>
        <w:rPr>
          <w:rFonts w:ascii="仿宋_GB2312" w:hAnsi="黑体" w:eastAsia="仿宋_GB2312"/>
          <w:color w:val="000000"/>
          <w:sz w:val="32"/>
          <w:szCs w:val="32"/>
        </w:rPr>
        <w:t>……………………………………</w:t>
      </w:r>
      <w:r>
        <w:rPr>
          <w:rFonts w:hint="eastAsia" w:ascii="仿宋_GB2312" w:hAnsi="黑体" w:eastAsia="仿宋_GB2312"/>
          <w:color w:val="000000"/>
          <w:sz w:val="32"/>
          <w:szCs w:val="32"/>
        </w:rPr>
        <w:t>4</w:t>
      </w:r>
    </w:p>
    <w:p>
      <w:pPr>
        <w:widowControl/>
        <w:jc w:val="left"/>
        <w:rPr>
          <w:rFonts w:ascii="仿宋_GB2312" w:hAnsi="黑体" w:eastAsia="仿宋_GB2312"/>
          <w:color w:val="000000"/>
          <w:sz w:val="32"/>
          <w:szCs w:val="32"/>
        </w:rPr>
      </w:pPr>
      <w:r>
        <w:rPr>
          <w:rFonts w:hint="eastAsia" w:ascii="仿宋_GB2312" w:hAnsi="黑体" w:eastAsia="仿宋_GB2312"/>
          <w:color w:val="000000"/>
          <w:sz w:val="32"/>
          <w:szCs w:val="32"/>
        </w:rPr>
        <w:t>二、机构设置</w:t>
      </w:r>
      <w:r>
        <w:rPr>
          <w:rFonts w:ascii="仿宋_GB2312" w:hAnsi="黑体" w:eastAsia="仿宋_GB2312"/>
          <w:color w:val="000000"/>
          <w:sz w:val="32"/>
          <w:szCs w:val="32"/>
        </w:rPr>
        <w:t>…………………………………………………</w:t>
      </w:r>
      <w:r>
        <w:rPr>
          <w:rFonts w:hint="eastAsia" w:ascii="仿宋_GB2312" w:hAnsi="黑体" w:eastAsia="仿宋_GB2312"/>
          <w:color w:val="000000"/>
          <w:sz w:val="32"/>
          <w:szCs w:val="32"/>
        </w:rPr>
        <w:t>6</w:t>
      </w:r>
    </w:p>
    <w:p>
      <w:pPr>
        <w:widowControl/>
        <w:jc w:val="left"/>
        <w:rPr>
          <w:rFonts w:ascii="仿宋_GB2312" w:hAnsi="黑体" w:eastAsia="仿宋_GB2312"/>
          <w:b/>
          <w:color w:val="000000"/>
          <w:sz w:val="32"/>
          <w:szCs w:val="32"/>
        </w:rPr>
      </w:pPr>
      <w:r>
        <w:rPr>
          <w:rFonts w:hint="eastAsia" w:ascii="仿宋_GB2312" w:hAnsi="黑体" w:eastAsia="仿宋_GB2312"/>
          <w:b/>
          <w:color w:val="000000"/>
          <w:sz w:val="32"/>
          <w:szCs w:val="32"/>
        </w:rPr>
        <w:t xml:space="preserve">第二部分  2018年度部门决算情况说明 </w:t>
      </w:r>
      <w:r>
        <w:rPr>
          <w:rFonts w:ascii="仿宋_GB2312" w:hAnsi="黑体" w:eastAsia="仿宋_GB2312"/>
          <w:b/>
          <w:color w:val="000000"/>
          <w:sz w:val="32"/>
          <w:szCs w:val="32"/>
        </w:rPr>
        <w:t>…………………</w:t>
      </w:r>
      <w:r>
        <w:rPr>
          <w:rFonts w:hint="eastAsia" w:ascii="仿宋_GB2312" w:hAnsi="黑体" w:eastAsia="仿宋_GB2312"/>
          <w:b/>
          <w:color w:val="000000"/>
          <w:sz w:val="32"/>
          <w:szCs w:val="32"/>
        </w:rPr>
        <w:t>6</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 xml:space="preserve">收入支出决算总体情况说明 </w:t>
      </w:r>
      <w:r>
        <w:rPr>
          <w:rFonts w:ascii="仿宋_GB2312" w:hAnsi="黑体" w:eastAsia="仿宋_GB2312"/>
          <w:color w:val="000000"/>
          <w:sz w:val="32"/>
          <w:szCs w:val="32"/>
        </w:rPr>
        <w:t>…………………………</w:t>
      </w:r>
      <w:r>
        <w:rPr>
          <w:rFonts w:hint="eastAsia" w:ascii="仿宋_GB2312" w:hAnsi="黑体" w:eastAsia="仿宋_GB2312"/>
          <w:color w:val="000000"/>
          <w:sz w:val="32"/>
          <w:szCs w:val="32"/>
        </w:rPr>
        <w:t>6</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收入决算情况说明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7</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支出决算情况说明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8</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财政拨款收入支出决算总体情况说明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8</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一般公共预算财政拨款支出决算情况说明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9</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一般公共预算财政拨款基本支出决算情况说明......11</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“三公”经费财政拨款支出决算情况说明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12</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政府性基金预算支出情况说明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14</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国有资本经营预算支出情况说明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14</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预算绩效情况说明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14</w:t>
      </w:r>
    </w:p>
    <w:p>
      <w:pPr>
        <w:pStyle w:val="24"/>
        <w:widowControl/>
        <w:numPr>
          <w:ilvl w:val="0"/>
          <w:numId w:val="1"/>
        </w:numPr>
        <w:ind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其他重要事项情况说明</w:t>
      </w:r>
      <w:r>
        <w:rPr>
          <w:rFonts w:ascii="仿宋_GB2312" w:hAnsi="黑体" w:eastAsia="仿宋_GB2312"/>
          <w:color w:val="000000"/>
          <w:sz w:val="32"/>
          <w:szCs w:val="32"/>
        </w:rPr>
        <w:t>……………………………</w:t>
      </w:r>
      <w:r>
        <w:rPr>
          <w:rFonts w:hint="eastAsia" w:ascii="仿宋_GB2312" w:hAnsi="黑体" w:eastAsia="仿宋_GB2312"/>
          <w:color w:val="000000"/>
          <w:sz w:val="32"/>
          <w:szCs w:val="32"/>
        </w:rPr>
        <w:t>18</w:t>
      </w:r>
    </w:p>
    <w:p>
      <w:pPr>
        <w:widowControl/>
        <w:jc w:val="left"/>
        <w:rPr>
          <w:rFonts w:ascii="仿宋_GB2312" w:hAnsi="黑体" w:eastAsia="仿宋_GB2312"/>
          <w:b/>
          <w:color w:val="000000"/>
          <w:sz w:val="32"/>
          <w:szCs w:val="32"/>
        </w:rPr>
      </w:pPr>
      <w:r>
        <w:rPr>
          <w:rFonts w:hint="eastAsia" w:ascii="仿宋_GB2312" w:hAnsi="黑体" w:eastAsia="仿宋_GB2312"/>
          <w:b/>
          <w:color w:val="000000"/>
          <w:sz w:val="32"/>
          <w:szCs w:val="32"/>
        </w:rPr>
        <w:t>第三部分  名词解释</w:t>
      </w:r>
      <w:r>
        <w:rPr>
          <w:rFonts w:ascii="仿宋_GB2312" w:hAnsi="黑体" w:eastAsia="仿宋_GB2312"/>
          <w:b/>
          <w:color w:val="000000"/>
          <w:sz w:val="32"/>
          <w:szCs w:val="32"/>
        </w:rPr>
        <w:t>…………………………………………</w:t>
      </w:r>
      <w:r>
        <w:rPr>
          <w:rFonts w:hint="eastAsia" w:ascii="仿宋_GB2312" w:hAnsi="黑体" w:eastAsia="仿宋_GB2312"/>
          <w:b/>
          <w:color w:val="000000"/>
          <w:sz w:val="32"/>
          <w:szCs w:val="32"/>
        </w:rPr>
        <w:t>19</w:t>
      </w:r>
    </w:p>
    <w:p>
      <w:pPr>
        <w:widowControl/>
        <w:jc w:val="left"/>
        <w:rPr>
          <w:rFonts w:ascii="仿宋_GB2312" w:hAnsi="黑体" w:eastAsia="仿宋_GB2312"/>
          <w:b/>
          <w:color w:val="000000"/>
          <w:sz w:val="32"/>
          <w:szCs w:val="32"/>
        </w:rPr>
      </w:pPr>
      <w:r>
        <w:rPr>
          <w:rFonts w:hint="eastAsia" w:ascii="仿宋_GB2312" w:hAnsi="黑体" w:eastAsia="仿宋_GB2312"/>
          <w:b/>
          <w:color w:val="000000"/>
          <w:sz w:val="32"/>
          <w:szCs w:val="32"/>
        </w:rPr>
        <w:t>第四部分  附件</w:t>
      </w:r>
      <w:r>
        <w:rPr>
          <w:rFonts w:ascii="仿宋_GB2312" w:hAnsi="黑体" w:eastAsia="仿宋_GB2312"/>
          <w:b/>
          <w:color w:val="000000"/>
          <w:sz w:val="32"/>
          <w:szCs w:val="32"/>
        </w:rPr>
        <w:t>………………………………………………</w:t>
      </w:r>
      <w:r>
        <w:rPr>
          <w:rFonts w:hint="eastAsia" w:ascii="仿宋_GB2312" w:hAnsi="黑体" w:eastAsia="仿宋_GB2312"/>
          <w:b/>
          <w:color w:val="000000"/>
          <w:sz w:val="32"/>
          <w:szCs w:val="32"/>
        </w:rPr>
        <w:t>23</w:t>
      </w:r>
    </w:p>
    <w:p>
      <w:pPr>
        <w:widowControl/>
        <w:jc w:val="left"/>
        <w:rPr>
          <w:rFonts w:ascii="仿宋_GB2312" w:hAnsi="黑体" w:eastAsia="仿宋_GB2312"/>
          <w:color w:val="000000"/>
          <w:sz w:val="32"/>
          <w:szCs w:val="32"/>
        </w:rPr>
      </w:pPr>
      <w:r>
        <w:rPr>
          <w:rFonts w:hint="eastAsia" w:ascii="仿宋_GB2312" w:hAnsi="黑体" w:eastAsia="仿宋_GB2312"/>
          <w:color w:val="000000"/>
          <w:sz w:val="32"/>
          <w:szCs w:val="32"/>
        </w:rPr>
        <w:t>附件1</w:t>
      </w:r>
      <w:r>
        <w:rPr>
          <w:rFonts w:ascii="仿宋_GB2312" w:hAnsi="黑体" w:eastAsia="仿宋_GB2312"/>
          <w:color w:val="000000"/>
          <w:sz w:val="32"/>
          <w:szCs w:val="32"/>
        </w:rPr>
        <w:t>…………………………………………………………</w:t>
      </w:r>
      <w:r>
        <w:rPr>
          <w:rFonts w:hint="eastAsia" w:ascii="仿宋_GB2312" w:hAnsi="黑体" w:eastAsia="仿宋_GB2312"/>
          <w:color w:val="000000"/>
          <w:sz w:val="32"/>
          <w:szCs w:val="32"/>
        </w:rPr>
        <w:t>23</w:t>
      </w:r>
    </w:p>
    <w:p>
      <w:pPr>
        <w:widowControl/>
        <w:jc w:val="left"/>
        <w:rPr>
          <w:rFonts w:ascii="仿宋_GB2312" w:hAnsi="黑体" w:eastAsia="仿宋_GB2312"/>
          <w:color w:val="000000"/>
          <w:sz w:val="32"/>
          <w:szCs w:val="32"/>
        </w:rPr>
      </w:pPr>
      <w:r>
        <w:rPr>
          <w:rFonts w:hint="eastAsia" w:ascii="仿宋_GB2312" w:hAnsi="黑体" w:eastAsia="仿宋_GB2312"/>
          <w:color w:val="000000"/>
          <w:sz w:val="32"/>
          <w:szCs w:val="32"/>
        </w:rPr>
        <w:t>附件2</w:t>
      </w:r>
      <w:r>
        <w:rPr>
          <w:rFonts w:ascii="仿宋_GB2312" w:hAnsi="黑体" w:eastAsia="仿宋_GB2312"/>
          <w:color w:val="000000"/>
          <w:sz w:val="32"/>
          <w:szCs w:val="32"/>
        </w:rPr>
        <w:t>…………………………………………………………</w:t>
      </w:r>
      <w:r>
        <w:rPr>
          <w:rFonts w:hint="eastAsia" w:ascii="仿宋_GB2312" w:hAnsi="黑体" w:eastAsia="仿宋_GB2312"/>
          <w:color w:val="000000"/>
          <w:sz w:val="32"/>
          <w:szCs w:val="32"/>
        </w:rPr>
        <w:t>24</w:t>
      </w:r>
    </w:p>
    <w:p>
      <w:pPr>
        <w:widowControl/>
        <w:jc w:val="left"/>
        <w:rPr>
          <w:rFonts w:ascii="仿宋_GB2312" w:hAnsi="黑体" w:eastAsia="仿宋_GB2312"/>
          <w:b/>
          <w:color w:val="000000"/>
          <w:sz w:val="32"/>
          <w:szCs w:val="32"/>
        </w:rPr>
      </w:pPr>
      <w:r>
        <w:rPr>
          <w:rFonts w:hint="eastAsia" w:ascii="仿宋_GB2312" w:hAnsi="黑体" w:eastAsia="仿宋_GB2312"/>
          <w:b/>
          <w:color w:val="000000"/>
          <w:sz w:val="32"/>
          <w:szCs w:val="32"/>
        </w:rPr>
        <w:t>第五部分  附表</w:t>
      </w:r>
      <w:r>
        <w:rPr>
          <w:rFonts w:ascii="仿宋_GB2312" w:hAnsi="黑体" w:eastAsia="仿宋_GB2312"/>
          <w:b/>
          <w:color w:val="000000"/>
          <w:sz w:val="32"/>
          <w:szCs w:val="32"/>
        </w:rPr>
        <w:t>………………………………………………</w:t>
      </w:r>
      <w:r>
        <w:rPr>
          <w:rFonts w:hint="eastAsia" w:ascii="仿宋_GB2312" w:hAnsi="黑体" w:eastAsia="仿宋_GB2312"/>
          <w:b/>
          <w:color w:val="000000"/>
          <w:sz w:val="32"/>
          <w:szCs w:val="32"/>
        </w:rPr>
        <w:t>27</w:t>
      </w:r>
    </w:p>
    <w:p>
      <w:pPr>
        <w:pStyle w:val="24"/>
        <w:numPr>
          <w:ilvl w:val="0"/>
          <w:numId w:val="2"/>
        </w:numPr>
        <w:spacing w:line="600" w:lineRule="exact"/>
        <w:ind w:firstLineChars="0"/>
        <w:jc w:val="left"/>
        <w:outlineLvl w:val="0"/>
        <w:rPr>
          <w:rStyle w:val="25"/>
          <w:rFonts w:ascii="仿宋_GB2312" w:eastAsia="仿宋_GB2312" w:hAnsiTheme="minorEastAsia"/>
          <w:b w:val="0"/>
          <w:sz w:val="32"/>
          <w:szCs w:val="32"/>
        </w:rPr>
      </w:pPr>
      <w:r>
        <w:rPr>
          <w:rStyle w:val="25"/>
          <w:rFonts w:hint="eastAsia" w:ascii="仿宋_GB2312" w:eastAsia="仿宋_GB2312" w:hAnsiTheme="minorEastAsia"/>
          <w:b w:val="0"/>
          <w:sz w:val="32"/>
          <w:szCs w:val="32"/>
        </w:rPr>
        <w:t>收入支出决算总表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收入总表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支出总表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财政拨款收入支出决算总表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财政拨款支出决算明细表（政府经济分类科目）</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一般公共预算财政拨款支出决算表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一般公共预算财政拨款支出决算明细表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一般公共预算财政拨款基本支出决算表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一般公共预算财政拨款项目支出决算表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一般公共预算财政拨款“三公”经费支出决算表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政府性基金预算财政拨款收入支出决算表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政府性基金财政拨款“三公”经费支出决算表</w:t>
      </w:r>
    </w:p>
    <w:p>
      <w:pPr>
        <w:pStyle w:val="24"/>
        <w:numPr>
          <w:ilvl w:val="0"/>
          <w:numId w:val="2"/>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国有资本经营预算支出决算表</w:t>
      </w:r>
    </w:p>
    <w:p>
      <w:pPr>
        <w:widowControl/>
        <w:jc w:val="left"/>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jc w:val="left"/>
        <w:rPr>
          <w:rFonts w:ascii="仿宋_GB2312" w:hAnsi="黑体" w:eastAsia="仿宋_GB2312"/>
          <w:color w:val="000000"/>
          <w:sz w:val="32"/>
          <w:szCs w:val="32"/>
        </w:rPr>
      </w:pPr>
    </w:p>
    <w:p>
      <w:pPr>
        <w:widowControl/>
        <w:jc w:val="center"/>
        <w:rPr>
          <w:rStyle w:val="25"/>
          <w:rFonts w:ascii="方正小标宋简体" w:hAnsi="黑体" w:eastAsia="方正小标宋简体"/>
          <w:sz w:val="32"/>
          <w:szCs w:val="32"/>
        </w:rPr>
      </w:pPr>
      <w:bookmarkStart w:id="12" w:name="_Toc15377196"/>
      <w:bookmarkStart w:id="13" w:name="_Toc15396599"/>
      <w:r>
        <w:rPr>
          <w:rFonts w:hint="eastAsia" w:ascii="方正小标宋简体" w:hAnsi="黑体" w:eastAsia="方正小标宋简体"/>
          <w:sz w:val="32"/>
          <w:szCs w:val="32"/>
        </w:rPr>
        <w:t xml:space="preserve">第一部分 </w:t>
      </w:r>
      <w:r>
        <w:rPr>
          <w:rStyle w:val="25"/>
          <w:rFonts w:hint="eastAsia" w:ascii="方正小标宋简体" w:hAnsi="黑体" w:eastAsia="方正小标宋简体"/>
          <w:sz w:val="32"/>
          <w:szCs w:val="32"/>
        </w:rPr>
        <w:t>部门概况</w:t>
      </w:r>
      <w:bookmarkEnd w:id="12"/>
      <w:bookmarkEnd w:id="13"/>
      <w:bookmarkStart w:id="14" w:name="_Toc15377197"/>
      <w:bookmarkStart w:id="15" w:name="_Toc15396600"/>
    </w:p>
    <w:p>
      <w:pPr>
        <w:widowControl/>
        <w:jc w:val="center"/>
        <w:rPr>
          <w:rStyle w:val="25"/>
          <w:rFonts w:ascii="方正小标宋简体" w:hAnsi="黑体" w:eastAsia="方正小标宋简体"/>
          <w:sz w:val="32"/>
          <w:szCs w:val="32"/>
        </w:rPr>
      </w:pPr>
    </w:p>
    <w:p>
      <w:pPr>
        <w:widowControl/>
        <w:ind w:firstLine="803" w:firstLineChars="250"/>
        <w:jc w:val="left"/>
        <w:rPr>
          <w:rStyle w:val="26"/>
          <w:rFonts w:asciiTheme="minorEastAsia" w:hAnsiTheme="minorEastAsia" w:eastAsiaTheme="minorEastAsia"/>
        </w:rPr>
      </w:pPr>
      <w:r>
        <w:rPr>
          <w:rFonts w:hint="eastAsia" w:asciiTheme="minorEastAsia" w:hAnsiTheme="minorEastAsia" w:eastAsiaTheme="minorEastAsia"/>
          <w:b/>
          <w:color w:val="000000"/>
          <w:sz w:val="32"/>
          <w:szCs w:val="32"/>
        </w:rPr>
        <w:t>一、基</w:t>
      </w:r>
      <w:r>
        <w:rPr>
          <w:rStyle w:val="26"/>
          <w:rFonts w:hint="eastAsia" w:asciiTheme="minorEastAsia" w:hAnsiTheme="minorEastAsia" w:eastAsiaTheme="minorEastAsia"/>
        </w:rPr>
        <w:t>本职能及主要工作</w:t>
      </w:r>
      <w:bookmarkEnd w:id="14"/>
      <w:bookmarkEnd w:id="15"/>
      <w:bookmarkStart w:id="16" w:name="_Toc15377198"/>
      <w:bookmarkStart w:id="17" w:name="_Toc15378445"/>
    </w:p>
    <w:p>
      <w:pPr>
        <w:widowControl/>
        <w:ind w:firstLine="640" w:firstLineChars="200"/>
        <w:jc w:val="left"/>
        <w:rPr>
          <w:rFonts w:ascii="仿宋_GB2312" w:hAnsi="仿宋" w:eastAsia="仿宋_GB2312"/>
          <w:bCs/>
          <w:color w:val="000000"/>
          <w:sz w:val="32"/>
          <w:szCs w:val="32"/>
        </w:rPr>
      </w:pPr>
      <w:r>
        <w:rPr>
          <w:rFonts w:hint="eastAsia" w:ascii="仿宋_GB2312" w:hAnsi="仿宋" w:eastAsia="仿宋_GB2312"/>
          <w:bCs/>
          <w:color w:val="000000"/>
          <w:sz w:val="32"/>
          <w:szCs w:val="32"/>
        </w:rPr>
        <w:t>（一）主要职能。</w:t>
      </w:r>
    </w:p>
    <w:bookmarkEnd w:id="16"/>
    <w:bookmarkEnd w:id="17"/>
    <w:p>
      <w:pPr>
        <w:spacing w:line="576" w:lineRule="exact"/>
        <w:ind w:firstLine="642" w:firstLineChars="200"/>
        <w:rPr>
          <w:rFonts w:ascii="华文仿宋" w:hAnsi="华文仿宋" w:eastAsia="华文仿宋"/>
          <w:bCs/>
          <w:color w:val="000000"/>
          <w:sz w:val="32"/>
          <w:szCs w:val="32"/>
        </w:rPr>
      </w:pPr>
      <w:bookmarkStart w:id="18" w:name="_Toc15377199"/>
      <w:bookmarkStart w:id="19" w:name="_Toc15378446"/>
      <w:r>
        <w:rPr>
          <w:rFonts w:hint="eastAsia" w:ascii="楷体" w:hAnsi="楷体" w:eastAsia="楷体"/>
          <w:b/>
          <w:bCs/>
          <w:color w:val="000000"/>
          <w:sz w:val="32"/>
          <w:szCs w:val="32"/>
        </w:rPr>
        <w:t>（一）主要职能</w:t>
      </w:r>
      <w:r>
        <w:rPr>
          <w:rFonts w:hint="eastAsia" w:ascii="华文仿宋" w:hAnsi="华文仿宋" w:eastAsia="华文仿宋"/>
          <w:bCs/>
          <w:color w:val="000000"/>
          <w:sz w:val="32"/>
          <w:szCs w:val="32"/>
        </w:rPr>
        <w:t>。</w:t>
      </w:r>
    </w:p>
    <w:p>
      <w:pPr>
        <w:spacing w:line="576" w:lineRule="exact"/>
        <w:ind w:firstLine="800" w:firstLineChars="250"/>
        <w:rPr>
          <w:rFonts w:ascii="华文仿宋" w:hAnsi="华文仿宋" w:eastAsia="华文仿宋"/>
          <w:color w:val="000000"/>
          <w:sz w:val="32"/>
          <w:szCs w:val="32"/>
        </w:rPr>
      </w:pPr>
      <w:r>
        <w:rPr>
          <w:rFonts w:hint="eastAsia" w:ascii="华文仿宋" w:hAnsi="华文仿宋" w:eastAsia="华文仿宋"/>
          <w:color w:val="000000"/>
          <w:sz w:val="32"/>
          <w:szCs w:val="32"/>
        </w:rPr>
        <w:t>中共广元市利州区委组织部基本职能是研究、指导全区各级党组织特别是党的基层组织的建设，负责全区党员干部教育、管理、监督、培训工作，负责全区有关干部备案审查和任免工作及人才等工作。管理区委老干部局、区直属机关工作委员会、区两新党组织工作委员会，归口管理区委党建办、农建办、干教办。</w:t>
      </w:r>
    </w:p>
    <w:p>
      <w:pPr>
        <w:spacing w:line="576" w:lineRule="exact"/>
        <w:ind w:firstLine="640" w:firstLineChars="200"/>
        <w:rPr>
          <w:rFonts w:hAnsi="仿宋"/>
          <w:bCs/>
          <w:color w:val="000000"/>
          <w:sz w:val="32"/>
          <w:szCs w:val="32"/>
        </w:rPr>
      </w:pPr>
      <w:r>
        <w:rPr>
          <w:rFonts w:hint="eastAsia" w:ascii="仿宋_GB2312" w:hAnsi="仿宋" w:eastAsia="仿宋_GB2312"/>
          <w:bCs/>
          <w:color w:val="000000"/>
          <w:sz w:val="32"/>
          <w:szCs w:val="32"/>
        </w:rPr>
        <w:t>（二）2018年重点工作完成情况</w:t>
      </w:r>
      <w:bookmarkEnd w:id="18"/>
      <w:bookmarkEnd w:id="19"/>
      <w:r>
        <w:rPr>
          <w:rFonts w:hint="eastAsia" w:hAnsi="仿宋"/>
          <w:bCs/>
          <w:color w:val="000000"/>
          <w:sz w:val="32"/>
          <w:szCs w:val="32"/>
        </w:rPr>
        <w:t>：</w:t>
      </w:r>
    </w:p>
    <w:p>
      <w:pPr>
        <w:spacing w:line="576" w:lineRule="exact"/>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2018年来，全区组织工作在区委的坚强领导下，以习近平新时代中国特色社会主义思想为指引，全面落实新时代党的建设总要求和党的组织路线，为全面建设综合实力一流的现代化市辖区提供了坚强组织保证。一是始终把政治建设摆在首位。深入推进“两学一做”学习教育常态化制度化，开展习近平新时代中国特色社会主义思想和省委市委区委全会精神全覆盖学习培训4200余场次、“大讨论”4100余场次。抓实组织生活会和民主评议党员、从严规范党员领导干部双重组织生活，党员干部“两个维护”更加自觉、“四个意识”更加牢固。二是切实加强组织体系建设。抓实“六个基本”，构建基层党建底线管理“三大体系”，深入实施“逐村体检、整乡提升”行动，扎实推进“五双五共”城市融合党建，深化拓展“务实亲民”机关党建品牌，统筹推进“两新”组织、产业园区、国企、学校、医院等新兴领域党的建设。抓好党员发展和教育管理，全年发展党员241人。宣树的重大典型张贵平同志被省委、市委、区委追授为“优秀共产党员”，在全市产生广泛影响。深入实施党建扶贫“七大行动”，出台“六条铁规”逗硬脱产驻村，增派“金融村官”构建“6+1”帮扶力量新格局，“部门帮扶周”做法在全市推广，4个贫困村、63户211人顺利通过2018年脱贫验收。三是致力打造综合实力一流的现代化市辖区建设骨干力量。鲜明用人导向，提拔重用科级干部24人，干部选任满意度达99.87%。加强干部培养锻炼，举办各类培训班36期，培训干部8000余人次，36名优秀干部到发达地区、省市部门、基层一线挂职锻炼，选派26名干部到凉山州开展综合帮扶，相关做法获省委办、省委组织部肯定推广。从严干部监督管理，量化扣分预警34人，全覆盖开展谈心谈话2148人次。四是深入推进人才优先发展示范区建设。全面落实创新创业人才特殊支持十条措施，大力实施引进人才“壮苗计划”，全覆盖设立乡村两级人才工作站（点），9563名乡土人才全部加入“站籍”；中科院成都分院、四川大学经济学院在我区建立教学实践基地，110余名引进高层次人才得到全方位培养，340名利州籍人才返乡创业，优秀人才发挥“三大功能”助力乡村振兴得到许部长批示肯定，两度被《中国组织人事报》报道。</w:t>
      </w:r>
      <w:r>
        <w:rPr>
          <w:rFonts w:hint="eastAsia" w:ascii="华文仿宋" w:hAnsi="华文仿宋" w:eastAsia="华文仿宋"/>
          <w:color w:val="000000"/>
          <w:sz w:val="32"/>
          <w:szCs w:val="32"/>
        </w:rPr>
        <w:t>五是切实加强老干部工作，落实好老干部政治、生活待遇，做好老干部医疗保健工作。</w:t>
      </w:r>
      <w:bookmarkStart w:id="20" w:name="_Toc15396601"/>
      <w:bookmarkStart w:id="21" w:name="_Toc15377200"/>
    </w:p>
    <w:p>
      <w:pPr>
        <w:spacing w:line="576" w:lineRule="exact"/>
        <w:ind w:firstLine="640" w:firstLineChars="200"/>
        <w:rPr>
          <w:rStyle w:val="26"/>
          <w:rFonts w:cs="Times New Roman" w:asciiTheme="minorEastAsia" w:hAnsiTheme="minorEastAsia" w:eastAsiaTheme="minorEastAsia"/>
          <w:b w:val="0"/>
          <w:bCs w:val="0"/>
          <w:color w:val="000000"/>
        </w:rPr>
      </w:pPr>
      <w:r>
        <w:rPr>
          <w:rFonts w:hint="eastAsia" w:asciiTheme="minorEastAsia" w:hAnsiTheme="minorEastAsia" w:eastAsiaTheme="minorEastAsia"/>
          <w:color w:val="000000"/>
          <w:sz w:val="32"/>
          <w:szCs w:val="32"/>
        </w:rPr>
        <w:t>二、机</w:t>
      </w:r>
      <w:r>
        <w:rPr>
          <w:rStyle w:val="26"/>
          <w:rFonts w:hint="eastAsia" w:asciiTheme="minorEastAsia" w:hAnsiTheme="minorEastAsia" w:eastAsiaTheme="minorEastAsia"/>
        </w:rPr>
        <w:t>构设置</w:t>
      </w:r>
      <w:bookmarkEnd w:id="20"/>
      <w:bookmarkEnd w:id="21"/>
    </w:p>
    <w:p>
      <w:pPr>
        <w:ind w:firstLine="640" w:firstLineChars="200"/>
        <w:rPr>
          <w:rFonts w:ascii="仿宋_GB2312" w:hAnsi="仿宋" w:eastAsia="仿宋_GB2312"/>
          <w:sz w:val="32"/>
          <w:szCs w:val="32"/>
        </w:rPr>
      </w:pPr>
      <w:r>
        <w:rPr>
          <w:rFonts w:hint="eastAsia" w:ascii="仿宋_GB2312" w:hAnsi="仿宋" w:eastAsia="仿宋_GB2312"/>
          <w:sz w:val="32"/>
          <w:szCs w:val="32"/>
        </w:rPr>
        <w:t>中共广元市利州区委组织部下属二级单位3个，其中行政单位0个，参照公务员法管理的事业单位</w:t>
      </w:r>
      <w:r>
        <w:rPr>
          <w:rFonts w:hint="eastAsia" w:ascii="仿宋_GB2312" w:hAnsi="仿宋" w:eastAsia="仿宋_GB2312"/>
          <w:bCs/>
          <w:sz w:val="32"/>
          <w:szCs w:val="32"/>
        </w:rPr>
        <w:t>1</w:t>
      </w:r>
      <w:r>
        <w:rPr>
          <w:rFonts w:hint="eastAsia" w:ascii="仿宋_GB2312" w:hAnsi="仿宋" w:eastAsia="仿宋_GB2312"/>
          <w:sz w:val="32"/>
          <w:szCs w:val="32"/>
        </w:rPr>
        <w:t>个，其他事业单位2个。</w:t>
      </w:r>
    </w:p>
    <w:p>
      <w:pPr>
        <w:ind w:firstLine="640" w:firstLineChars="200"/>
        <w:rPr>
          <w:rFonts w:ascii="仿宋_GB2312" w:hAnsi="仿宋" w:eastAsia="仿宋_GB2312"/>
          <w:sz w:val="32"/>
          <w:szCs w:val="32"/>
        </w:rPr>
      </w:pPr>
      <w:r>
        <w:rPr>
          <w:rFonts w:hint="eastAsia" w:ascii="仿宋_GB2312" w:hAnsi="仿宋" w:eastAsia="仿宋_GB2312"/>
          <w:sz w:val="32"/>
          <w:szCs w:val="32"/>
        </w:rPr>
        <w:t>纳入中共广元市利州区委组织部2018年度部门决算编制范围的二级预算单位0个</w:t>
      </w:r>
      <w:bookmarkStart w:id="22" w:name="_Toc15396602"/>
      <w:bookmarkStart w:id="23" w:name="_Toc15377204"/>
      <w:r>
        <w:rPr>
          <w:rFonts w:hint="eastAsia" w:ascii="仿宋_GB2312" w:hAnsi="仿宋" w:eastAsia="仿宋_GB2312"/>
          <w:sz w:val="32"/>
          <w:szCs w:val="32"/>
        </w:rPr>
        <w:t>。</w:t>
      </w:r>
    </w:p>
    <w:p>
      <w:pPr>
        <w:pStyle w:val="5"/>
        <w:adjustRightInd w:val="0"/>
        <w:snapToGrid w:val="0"/>
        <w:spacing w:before="162" w:line="600" w:lineRule="exact"/>
        <w:jc w:val="center"/>
        <w:rPr>
          <w:rStyle w:val="25"/>
          <w:rFonts w:ascii="方正小标宋简体" w:hAnsi="黑体" w:eastAsia="方正小标宋简体"/>
          <w:sz w:val="32"/>
          <w:szCs w:val="32"/>
        </w:rPr>
      </w:pPr>
      <w:r>
        <w:rPr>
          <w:rFonts w:hint="eastAsia" w:ascii="方正小标宋简体" w:hAnsi="黑体" w:eastAsia="方正小标宋简体"/>
          <w:color w:val="000000"/>
          <w:sz w:val="32"/>
          <w:szCs w:val="32"/>
        </w:rPr>
        <w:t xml:space="preserve">第二部分 </w:t>
      </w:r>
      <w:r>
        <w:rPr>
          <w:rStyle w:val="25"/>
          <w:rFonts w:hint="eastAsia" w:ascii="方正小标宋简体" w:hAnsi="黑体" w:eastAsia="方正小标宋简体"/>
          <w:sz w:val="32"/>
          <w:szCs w:val="32"/>
        </w:rPr>
        <w:t>2018年度部门决算情况说明</w:t>
      </w:r>
      <w:bookmarkEnd w:id="22"/>
      <w:bookmarkEnd w:id="23"/>
    </w:p>
    <w:p>
      <w:pPr>
        <w:pStyle w:val="5"/>
        <w:adjustRightInd w:val="0"/>
        <w:snapToGrid w:val="0"/>
        <w:spacing w:before="162" w:line="600" w:lineRule="exact"/>
        <w:jc w:val="center"/>
        <w:rPr>
          <w:rStyle w:val="25"/>
          <w:rFonts w:ascii="方正小标宋简体" w:hAnsi="黑体" w:eastAsia="方正小标宋简体"/>
          <w:sz w:val="32"/>
          <w:szCs w:val="32"/>
        </w:rPr>
      </w:pPr>
    </w:p>
    <w:p>
      <w:pPr>
        <w:spacing w:line="600" w:lineRule="exact"/>
        <w:ind w:firstLine="640" w:firstLineChars="20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一、收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2018年度本单位收入总计609.37万元，其中当年财政拨款收入合计608.86万元，年初结转和结余0.51万元。</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2018年度本单位支出总计609.37万元，其中当年支出合计574.95万元，年末结转和结余34.42万元。</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2018年收入支出总计与2017年相比增加123.54万元，增长25.43%。增长的主要原因一是2018年工资调标、正常晋升等人员工资福利保险费用增加；二是增加引进人才安家补助费19.2万元；三是增加四川省优秀共产党员张贵平同志抚恤金30.57万元；四是2018“两新”组织党建指导员工作经费30.3万元纳入日常公用经费。</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sz w:val="32"/>
          <w:szCs w:val="32"/>
        </w:rPr>
        <w:drawing>
          <wp:anchor distT="0" distB="0" distL="114300" distR="114300" simplePos="0" relativeHeight="251658240" behindDoc="0" locked="0" layoutInCell="1" allowOverlap="1">
            <wp:simplePos x="0" y="0"/>
            <wp:positionH relativeFrom="column">
              <wp:posOffset>477520</wp:posOffset>
            </wp:positionH>
            <wp:positionV relativeFrom="paragraph">
              <wp:posOffset>-26035</wp:posOffset>
            </wp:positionV>
            <wp:extent cx="4733925" cy="2724150"/>
            <wp:effectExtent l="0" t="0" r="9525" b="1905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600" w:lineRule="exact"/>
        <w:rPr>
          <w:rFonts w:ascii="仿宋_GB2312" w:hAnsi="仿宋" w:eastAsia="仿宋_GB2312"/>
          <w:color w:val="000000" w:themeColor="text1"/>
          <w:sz w:val="32"/>
          <w:szCs w:val="32"/>
          <w14:textFill>
            <w14:solidFill>
              <w14:schemeClr w14:val="tx1"/>
            </w14:solidFill>
          </w14:textFill>
        </w:rPr>
      </w:pPr>
    </w:p>
    <w:p>
      <w:pPr>
        <w:spacing w:line="60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（图1：收、支决算总计变动情况图）</w:t>
      </w:r>
    </w:p>
    <w:p>
      <w:pPr>
        <w:pStyle w:val="24"/>
        <w:numPr>
          <w:ilvl w:val="0"/>
          <w:numId w:val="3"/>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2018年本年收入合计608.86万元，其中：一般公共预算财政拨款收入608.86万元，占100%；政府性基金预算财政拨款收入0万元，占0%；国有资本经营预算财政拨款收入0万元，占0%；事业收入0万元，占0%；经营收入0万元，占0%；附属单位上缴收入0万元，占0%；其他收入0万元，占0%。</w:t>
      </w:r>
    </w:p>
    <w:p>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59264" behindDoc="0" locked="0" layoutInCell="1" allowOverlap="1">
            <wp:simplePos x="0" y="0"/>
            <wp:positionH relativeFrom="column">
              <wp:posOffset>477520</wp:posOffset>
            </wp:positionH>
            <wp:positionV relativeFrom="paragraph">
              <wp:posOffset>34925</wp:posOffset>
            </wp:positionV>
            <wp:extent cx="5105400" cy="2590800"/>
            <wp:effectExtent l="0" t="0" r="19050"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_GB2312" w:hAnsi="仿宋" w:eastAsia="仿宋_GB2312"/>
          <w:color w:val="000000"/>
          <w:sz w:val="32"/>
          <w:szCs w:val="32"/>
        </w:rPr>
      </w:pPr>
    </w:p>
    <w:p>
      <w:pPr>
        <w:spacing w:line="600" w:lineRule="exact"/>
        <w:ind w:firstLine="640" w:firstLineChars="200"/>
        <w:outlineLvl w:val="1"/>
        <w:rPr>
          <w:rFonts w:ascii="仿宋_GB2312" w:hAnsi="仿宋" w:eastAsia="仿宋_GB2312"/>
          <w:color w:val="000000"/>
          <w:sz w:val="32"/>
          <w:szCs w:val="32"/>
        </w:rPr>
      </w:pPr>
    </w:p>
    <w:p>
      <w:pPr>
        <w:spacing w:line="600" w:lineRule="exact"/>
        <w:ind w:firstLine="640" w:firstLineChars="200"/>
        <w:outlineLvl w:val="1"/>
        <w:rPr>
          <w:rFonts w:ascii="仿宋_GB2312" w:hAnsi="仿宋" w:eastAsia="仿宋_GB2312"/>
          <w:color w:val="000000"/>
          <w:sz w:val="32"/>
          <w:szCs w:val="32"/>
        </w:rPr>
      </w:pPr>
    </w:p>
    <w:p>
      <w:pPr>
        <w:spacing w:line="600" w:lineRule="exact"/>
        <w:outlineLvl w:val="1"/>
        <w:rPr>
          <w:rFonts w:ascii="仿宋_GB2312" w:hAnsi="仿宋" w:eastAsia="仿宋_GB2312"/>
          <w:color w:val="000000"/>
          <w:sz w:val="32"/>
          <w:szCs w:val="32"/>
        </w:rPr>
      </w:pPr>
    </w:p>
    <w:p>
      <w:pPr>
        <w:spacing w:line="600" w:lineRule="exact"/>
        <w:outlineLvl w:val="1"/>
        <w:rPr>
          <w:rFonts w:ascii="仿宋_GB2312" w:hAnsi="仿宋" w:eastAsia="仿宋_GB2312"/>
          <w:color w:val="000000"/>
          <w:sz w:val="32"/>
          <w:szCs w:val="32"/>
        </w:rPr>
      </w:pPr>
    </w:p>
    <w:p>
      <w:pPr>
        <w:spacing w:line="600" w:lineRule="exact"/>
        <w:outlineLvl w:val="1"/>
        <w:rPr>
          <w:rFonts w:ascii="仿宋_GB2312" w:hAnsi="仿宋" w:eastAsia="仿宋_GB2312"/>
          <w:color w:val="000000"/>
          <w:sz w:val="32"/>
          <w:szCs w:val="32"/>
        </w:rPr>
      </w:pPr>
    </w:p>
    <w:p>
      <w:pPr>
        <w:spacing w:line="600" w:lineRule="exact"/>
        <w:ind w:firstLine="640" w:firstLineChars="200"/>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（图2：收入决算结构图）</w:t>
      </w:r>
    </w:p>
    <w:p>
      <w:pPr>
        <w:pStyle w:val="24"/>
        <w:numPr>
          <w:ilvl w:val="0"/>
          <w:numId w:val="3"/>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2018年本年支出合计574.95万元，其中：基本支出510.02万元，占88.71%；项目支出64.93万元，占11.29%；上缴上级支出0万元，占0%；经营支出0万元，占0%；对附属单位补助支出0万元，占0%。</w:t>
      </w: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0288" behindDoc="0" locked="0" layoutInCell="1" allowOverlap="1">
            <wp:simplePos x="0" y="0"/>
            <wp:positionH relativeFrom="column">
              <wp:posOffset>315595</wp:posOffset>
            </wp:positionH>
            <wp:positionV relativeFrom="paragraph">
              <wp:posOffset>-184150</wp:posOffset>
            </wp:positionV>
            <wp:extent cx="4676775" cy="2514600"/>
            <wp:effectExtent l="0" t="0" r="9525"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jc w:val="center"/>
        <w:rPr>
          <w:rFonts w:ascii="仿宋_GB2312" w:hAnsi="仿宋" w:eastAsia="仿宋_GB2312"/>
          <w:color w:val="000000"/>
          <w:sz w:val="32"/>
          <w:szCs w:val="32"/>
          <w:shd w:val="pct10" w:color="auto" w:fill="FFFFFF"/>
        </w:rPr>
      </w:pPr>
    </w:p>
    <w:p>
      <w:pPr>
        <w:spacing w:line="600" w:lineRule="exact"/>
        <w:ind w:firstLine="480" w:firstLineChars="150"/>
        <w:rPr>
          <w:rFonts w:ascii="仿宋_GB2312" w:hAnsi="仿宋" w:eastAsia="仿宋_GB2312"/>
          <w:color w:val="000000" w:themeColor="text1"/>
          <w:sz w:val="32"/>
          <w:szCs w:val="32"/>
          <w14:textFill>
            <w14:solidFill>
              <w14:schemeClr w14:val="tx1"/>
            </w14:solidFill>
          </w14:textFill>
        </w:rPr>
      </w:pPr>
    </w:p>
    <w:p>
      <w:pPr>
        <w:spacing w:line="600" w:lineRule="exact"/>
        <w:ind w:firstLine="480" w:firstLineChars="150"/>
        <w:rPr>
          <w:rFonts w:ascii="仿宋_GB2312" w:hAnsi="仿宋" w:eastAsia="仿宋_GB2312"/>
          <w:color w:val="000000" w:themeColor="text1"/>
          <w:sz w:val="32"/>
          <w:szCs w:val="32"/>
          <w14:textFill>
            <w14:solidFill>
              <w14:schemeClr w14:val="tx1"/>
            </w14:solidFill>
          </w14:textFill>
        </w:rPr>
      </w:pPr>
    </w:p>
    <w:p>
      <w:pPr>
        <w:spacing w:line="600" w:lineRule="exact"/>
        <w:jc w:val="cente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（图3：支出决算结构图）</w:t>
      </w:r>
    </w:p>
    <w:p>
      <w:pPr>
        <w:spacing w:line="600" w:lineRule="exact"/>
        <w:ind w:firstLine="640" w:firstLineChars="200"/>
        <w:outlineLvl w:val="1"/>
        <w:rPr>
          <w:rFonts w:ascii="黑体" w:hAnsi="黑体" w:eastAsia="黑体" w:cstheme="majorBidi"/>
          <w:bCs/>
          <w:sz w:val="32"/>
          <w:szCs w:val="32"/>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2018年财政拨款收、支总计609.37万元。与2017年相比，财政拨款收、支总计各增加123.54万元，增长25.43%。主要变动原因是一是2018年工资调标、正常晋升等人员工资福利保险费用增加；二是引进人才安家补助费19.2万元；三是增加四川省优秀共产党员张贵平同志抚恤金30.57万元；四是2018“两新”组织党建指导员工作经费30.3万元纳入日常公用经费。</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1312" behindDoc="0" locked="0" layoutInCell="1" allowOverlap="1">
            <wp:simplePos x="0" y="0"/>
            <wp:positionH relativeFrom="column">
              <wp:posOffset>515620</wp:posOffset>
            </wp:positionH>
            <wp:positionV relativeFrom="paragraph">
              <wp:posOffset>92075</wp:posOffset>
            </wp:positionV>
            <wp:extent cx="4686300" cy="2695575"/>
            <wp:effectExtent l="0" t="0" r="19050" b="952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（图4：财政拨款收、支决算总计变动情况）</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_GB2312" w:hAnsi="仿宋" w:eastAsia="仿宋_GB2312"/>
          <w:b/>
          <w:color w:val="000000"/>
          <w:sz w:val="32"/>
          <w:szCs w:val="32"/>
        </w:rPr>
      </w:pPr>
      <w:bookmarkStart w:id="34" w:name="_Toc15377210"/>
      <w:r>
        <w:rPr>
          <w:rFonts w:hint="eastAsia" w:ascii="仿宋_GB2312" w:hAnsi="仿宋" w:eastAsia="仿宋_GB2312"/>
          <w:b/>
          <w:color w:val="000000"/>
          <w:sz w:val="32"/>
          <w:szCs w:val="32"/>
        </w:rPr>
        <w:t>（一）一般公共预算财政拨款支出决算总体情况</w:t>
      </w:r>
      <w:bookmarkEnd w:id="34"/>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2018年一般公共预算财政拨款支出574.95万元，占本年支出合计的100%。与2017年相比，一般公共预算财政拨款增加89.63万元，增长18.47%。主要变动原因是一是人员工资福利保险等费用增加；二是公用经费增加。</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2336" behindDoc="0" locked="0" layoutInCell="1" allowOverlap="1">
            <wp:simplePos x="0" y="0"/>
            <wp:positionH relativeFrom="column">
              <wp:posOffset>420370</wp:posOffset>
            </wp:positionH>
            <wp:positionV relativeFrom="paragraph">
              <wp:posOffset>73025</wp:posOffset>
            </wp:positionV>
            <wp:extent cx="4800600" cy="2628900"/>
            <wp:effectExtent l="0" t="0" r="19050" b="1905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（图5：一般公共预算财政拨款支出决算变动情况）</w:t>
      </w:r>
    </w:p>
    <w:p>
      <w:pPr>
        <w:spacing w:line="600" w:lineRule="exact"/>
        <w:ind w:firstLine="642" w:firstLineChars="200"/>
        <w:outlineLvl w:val="2"/>
        <w:rPr>
          <w:rFonts w:ascii="仿宋_GB2312" w:hAnsi="仿宋" w:eastAsia="仿宋_GB2312"/>
          <w:b/>
          <w:color w:val="000000"/>
          <w:sz w:val="32"/>
          <w:szCs w:val="32"/>
        </w:rPr>
      </w:pPr>
      <w:bookmarkStart w:id="35" w:name="_Toc15377211"/>
      <w:r>
        <w:rPr>
          <w:rFonts w:hint="eastAsia" w:ascii="仿宋_GB2312" w:hAnsi="仿宋" w:eastAsia="仿宋_GB2312"/>
          <w:b/>
          <w:color w:val="000000"/>
          <w:sz w:val="32"/>
          <w:szCs w:val="32"/>
        </w:rPr>
        <w:t>（二）一般公共预算财政拨款支出决算结构情况</w:t>
      </w:r>
      <w:bookmarkEnd w:id="35"/>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2018年一般公共预算财政拨款支出574.95万元，主要用于以下方面:一般公共服务（201）支出476.19万元，占82.82%；社会保障和就业（208）支出48.46万元，占8.43%；医疗卫生与计划生育（210）支出16.96万元，占2.95%；农林水（213）支出8.75万元，占1.52%；住房保障（221）支出24.59万元，占4.28%。</w:t>
      </w:r>
    </w:p>
    <w:p>
      <w:pPr>
        <w:spacing w:line="600" w:lineRule="exact"/>
        <w:ind w:firstLine="640"/>
        <w:rPr>
          <w:rFonts w:ascii="仿宋_GB2312" w:hAnsi="仿宋" w:eastAsia="仿宋_GB2312"/>
          <w:color w:val="FF0000"/>
          <w:sz w:val="32"/>
          <w:szCs w:val="32"/>
        </w:rPr>
      </w:pPr>
      <w:r>
        <w:rPr>
          <w:rFonts w:hint="eastAsia" w:ascii="仿宋_GB2312" w:hAnsi="仿宋" w:eastAsia="仿宋_GB2312"/>
          <w:color w:val="FF0000"/>
          <w:sz w:val="32"/>
          <w:szCs w:val="32"/>
        </w:rPr>
        <w:drawing>
          <wp:anchor distT="0" distB="0" distL="114300" distR="114300" simplePos="0" relativeHeight="251663360" behindDoc="0" locked="0" layoutInCell="1" allowOverlap="1">
            <wp:simplePos x="0" y="0"/>
            <wp:positionH relativeFrom="column">
              <wp:posOffset>239395</wp:posOffset>
            </wp:positionH>
            <wp:positionV relativeFrom="paragraph">
              <wp:posOffset>34925</wp:posOffset>
            </wp:positionV>
            <wp:extent cx="5105400" cy="2647950"/>
            <wp:effectExtent l="0" t="0" r="19050" b="1905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_GB2312" w:hAnsi="仿宋" w:eastAsia="仿宋_GB2312"/>
          <w:color w:val="FF0000"/>
          <w:sz w:val="32"/>
          <w:szCs w:val="32"/>
        </w:rPr>
      </w:pPr>
    </w:p>
    <w:p>
      <w:pPr>
        <w:spacing w:line="600" w:lineRule="exact"/>
        <w:ind w:firstLine="640"/>
        <w:rPr>
          <w:rFonts w:ascii="仿宋_GB2312" w:hAnsi="仿宋" w:eastAsia="仿宋_GB2312"/>
          <w:color w:val="FF0000"/>
          <w:sz w:val="32"/>
          <w:szCs w:val="32"/>
        </w:rPr>
      </w:pPr>
    </w:p>
    <w:p>
      <w:pPr>
        <w:spacing w:line="600" w:lineRule="exact"/>
        <w:ind w:firstLine="640"/>
        <w:rPr>
          <w:rFonts w:ascii="仿宋_GB2312" w:hAnsi="仿宋" w:eastAsia="仿宋_GB2312"/>
          <w:color w:val="FF0000"/>
          <w:sz w:val="32"/>
          <w:szCs w:val="32"/>
        </w:rPr>
      </w:pPr>
    </w:p>
    <w:p>
      <w:pPr>
        <w:spacing w:line="600" w:lineRule="exact"/>
        <w:ind w:firstLine="640"/>
        <w:rPr>
          <w:rFonts w:ascii="仿宋_GB2312" w:hAnsi="仿宋" w:eastAsia="仿宋_GB2312"/>
          <w:color w:val="FF0000"/>
          <w:sz w:val="32"/>
          <w:szCs w:val="32"/>
        </w:rPr>
      </w:pPr>
    </w:p>
    <w:p>
      <w:pPr>
        <w:spacing w:line="600" w:lineRule="exact"/>
        <w:ind w:firstLine="640"/>
        <w:rPr>
          <w:rFonts w:ascii="仿宋_GB2312" w:hAnsi="仿宋" w:eastAsia="仿宋_GB2312"/>
          <w:color w:val="FF0000"/>
          <w:sz w:val="32"/>
          <w:szCs w:val="32"/>
        </w:rPr>
      </w:pPr>
    </w:p>
    <w:p>
      <w:pPr>
        <w:spacing w:line="600" w:lineRule="exact"/>
        <w:rPr>
          <w:rFonts w:ascii="仿宋_GB2312" w:hAnsi="仿宋" w:eastAsia="仿宋_GB2312"/>
          <w:color w:val="FF0000"/>
          <w:sz w:val="32"/>
          <w:szCs w:val="32"/>
        </w:rPr>
      </w:pP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（图6：一般公共预算财政拨款支出决算结构）</w:t>
      </w:r>
    </w:p>
    <w:p>
      <w:pPr>
        <w:spacing w:line="600" w:lineRule="exact"/>
        <w:ind w:firstLine="642" w:firstLineChars="200"/>
        <w:outlineLvl w:val="2"/>
        <w:rPr>
          <w:rFonts w:ascii="仿宋_GB2312" w:hAnsi="仿宋" w:eastAsia="仿宋_GB2312"/>
          <w:b/>
          <w:color w:val="000000"/>
          <w:sz w:val="32"/>
          <w:szCs w:val="32"/>
        </w:rPr>
      </w:pPr>
      <w:bookmarkStart w:id="36" w:name="_Toc15377212"/>
      <w:r>
        <w:rPr>
          <w:rFonts w:hint="eastAsia" w:ascii="仿宋_GB2312" w:hAnsi="仿宋" w:eastAsia="仿宋_GB2312"/>
          <w:b/>
          <w:color w:val="000000"/>
          <w:sz w:val="32"/>
          <w:szCs w:val="32"/>
        </w:rPr>
        <w:t>（三）一般公共预算财政拨款支出决算具体情况</w:t>
      </w:r>
      <w:bookmarkEnd w:id="36"/>
    </w:p>
    <w:p>
      <w:pPr>
        <w:spacing w:line="600" w:lineRule="exact"/>
        <w:ind w:firstLine="642" w:firstLineChars="200"/>
        <w:outlineLvl w:val="2"/>
        <w:rPr>
          <w:rFonts w:ascii="仿宋_GB2312" w:hAnsi="仿宋" w:eastAsia="仿宋_GB2312"/>
          <w:color w:val="FF0000"/>
          <w:sz w:val="32"/>
          <w:szCs w:val="32"/>
        </w:rPr>
      </w:pPr>
      <w:bookmarkStart w:id="37" w:name="_Toc15377213"/>
      <w:bookmarkStart w:id="38" w:name="_Toc15377444"/>
      <w:bookmarkStart w:id="39" w:name="_Toc15378460"/>
      <w:r>
        <w:rPr>
          <w:rFonts w:hint="eastAsia" w:ascii="仿宋_GB2312" w:hAnsi="仿宋" w:eastAsia="仿宋_GB2312"/>
          <w:b/>
          <w:color w:val="000000" w:themeColor="text1"/>
          <w:sz w:val="32"/>
          <w:szCs w:val="32"/>
          <w14:textFill>
            <w14:solidFill>
              <w14:schemeClr w14:val="tx1"/>
            </w14:solidFill>
          </w14:textFill>
        </w:rPr>
        <w:t>2018年一般公共预算支出决算数为574.95</w:t>
      </w:r>
      <w:r>
        <w:rPr>
          <w:rFonts w:hint="eastAsia" w:ascii="仿宋_GB2312" w:hAnsi="仿宋" w:eastAsia="仿宋_GB2312"/>
          <w:color w:val="000000" w:themeColor="text1"/>
          <w:sz w:val="32"/>
          <w:szCs w:val="32"/>
          <w14:textFill>
            <w14:solidFill>
              <w14:schemeClr w14:val="tx1"/>
            </w14:solidFill>
          </w14:textFill>
        </w:rPr>
        <w:t>，</w:t>
      </w:r>
      <w:r>
        <w:rPr>
          <w:rStyle w:val="15"/>
          <w:rFonts w:hint="eastAsia" w:ascii="仿宋_GB2312" w:hAnsi="仿宋" w:eastAsia="仿宋_GB2312"/>
          <w:bCs/>
          <w:color w:val="000000" w:themeColor="text1"/>
          <w:sz w:val="32"/>
          <w:szCs w:val="32"/>
          <w14:textFill>
            <w14:solidFill>
              <w14:schemeClr w14:val="tx1"/>
            </w14:solidFill>
          </w14:textFill>
        </w:rPr>
        <w:t>完成</w:t>
      </w:r>
      <w:r>
        <w:rPr>
          <w:rStyle w:val="15"/>
          <w:rFonts w:hint="eastAsia" w:ascii="仿宋_GB2312" w:hAnsi="仿宋" w:eastAsia="仿宋_GB2312"/>
          <w:bCs/>
          <w:color w:val="000000"/>
          <w:sz w:val="32"/>
          <w:szCs w:val="32"/>
        </w:rPr>
        <w:t>预算94.43%。</w:t>
      </w:r>
      <w:bookmarkEnd w:id="37"/>
      <w:bookmarkEnd w:id="38"/>
      <w:bookmarkEnd w:id="39"/>
      <w:r>
        <w:rPr>
          <w:rStyle w:val="15"/>
          <w:rFonts w:hint="eastAsia" w:ascii="仿宋_GB2312" w:hAnsi="仿宋" w:eastAsia="仿宋_GB2312"/>
          <w:bCs/>
          <w:color w:val="000000"/>
          <w:sz w:val="32"/>
          <w:szCs w:val="32"/>
        </w:rPr>
        <w:t>其中：</w:t>
      </w:r>
    </w:p>
    <w:p>
      <w:pPr>
        <w:spacing w:line="600" w:lineRule="exact"/>
        <w:ind w:firstLine="629" w:firstLineChars="196"/>
        <w:rPr>
          <w:rStyle w:val="15"/>
          <w:rFonts w:ascii="仿宋_GB2312" w:hAnsi="仿宋" w:eastAsia="仿宋_GB2312"/>
          <w:b w:val="0"/>
          <w:bCs/>
          <w:sz w:val="32"/>
          <w:szCs w:val="32"/>
        </w:rPr>
      </w:pPr>
      <w:r>
        <w:rPr>
          <w:rStyle w:val="15"/>
          <w:rFonts w:hint="eastAsia" w:ascii="仿宋_GB2312" w:hAnsi="仿宋" w:eastAsia="仿宋_GB2312"/>
          <w:bCs/>
          <w:sz w:val="32"/>
          <w:szCs w:val="32"/>
        </w:rPr>
        <w:t>1.一般公共服务支出（201）政府办公厅（室）及相关机构事务（03）其他政府办公厅（室）及相关机构事务（99）:</w:t>
      </w:r>
      <w:r>
        <w:rPr>
          <w:rStyle w:val="15"/>
          <w:rFonts w:hint="eastAsia" w:ascii="仿宋_GB2312" w:hAnsi="仿宋" w:eastAsia="仿宋_GB2312"/>
          <w:b w:val="0"/>
          <w:bCs/>
          <w:sz w:val="32"/>
          <w:szCs w:val="32"/>
        </w:rPr>
        <w:t xml:space="preserve"> 支出决算为30.57万元，完成预算100%。决算数等于预算数的原因是该笔支出为张贵平同志抚恤金，已全额支付给张贵平同志遗属。</w:t>
      </w:r>
    </w:p>
    <w:p>
      <w:pPr>
        <w:spacing w:line="600" w:lineRule="exact"/>
        <w:ind w:firstLine="629" w:firstLineChars="196"/>
        <w:rPr>
          <w:rStyle w:val="15"/>
          <w:rFonts w:ascii="仿宋_GB2312" w:hAnsi="仿宋" w:eastAsia="仿宋_GB2312"/>
          <w:b w:val="0"/>
          <w:bCs/>
          <w:sz w:val="32"/>
          <w:szCs w:val="32"/>
        </w:rPr>
      </w:pPr>
      <w:r>
        <w:rPr>
          <w:rStyle w:val="15"/>
          <w:rFonts w:hint="eastAsia" w:ascii="仿宋_GB2312" w:hAnsi="仿宋" w:eastAsia="仿宋_GB2312"/>
          <w:bCs/>
          <w:sz w:val="32"/>
          <w:szCs w:val="32"/>
        </w:rPr>
        <w:t>2.一般公共服务支出（201）组织事务（32）行政运行（01）:</w:t>
      </w:r>
      <w:r>
        <w:rPr>
          <w:rStyle w:val="15"/>
          <w:rFonts w:hint="eastAsia" w:ascii="仿宋_GB2312" w:hAnsi="仿宋" w:eastAsia="仿宋_GB2312"/>
          <w:b w:val="0"/>
          <w:bCs/>
          <w:sz w:val="32"/>
          <w:szCs w:val="32"/>
        </w:rPr>
        <w:t xml:space="preserve"> 支出决算为420.01万元，完成预算92.43%，决算数小于预算数的主要原因一是2018年度“两新”组织党建指导员工作经费未发放完；二是脱贫攻坚目标奖未发放。</w:t>
      </w:r>
    </w:p>
    <w:p>
      <w:pPr>
        <w:spacing w:line="600" w:lineRule="exact"/>
        <w:ind w:firstLine="627" w:firstLineChars="196"/>
        <w:rPr>
          <w:rStyle w:val="15"/>
          <w:rFonts w:ascii="仿宋_GB2312" w:hAnsi="仿宋" w:eastAsia="仿宋_GB2312"/>
          <w:sz w:val="32"/>
          <w:szCs w:val="32"/>
        </w:rPr>
      </w:pPr>
      <w:r>
        <w:rPr>
          <w:rStyle w:val="15"/>
          <w:rFonts w:hint="eastAsia" w:ascii="仿宋_GB2312" w:hAnsi="仿宋" w:eastAsia="仿宋_GB2312"/>
          <w:b w:val="0"/>
          <w:bCs/>
          <w:sz w:val="32"/>
          <w:szCs w:val="32"/>
        </w:rPr>
        <w:t>3.一般公共服务支出（201）组织事务（32）</w:t>
      </w:r>
      <w:r>
        <w:rPr>
          <w:rStyle w:val="15"/>
          <w:rFonts w:hint="eastAsia" w:ascii="仿宋_GB2312" w:hAnsi="仿宋" w:eastAsia="仿宋_GB2312"/>
          <w:bCs/>
          <w:sz w:val="32"/>
          <w:szCs w:val="32"/>
        </w:rPr>
        <w:t>一般行政管理事务（02）:</w:t>
      </w:r>
      <w:r>
        <w:rPr>
          <w:rStyle w:val="15"/>
          <w:rFonts w:hint="eastAsia" w:ascii="仿宋_GB2312" w:hAnsi="仿宋" w:eastAsia="仿宋_GB2312"/>
          <w:b w:val="0"/>
          <w:bCs/>
          <w:sz w:val="32"/>
          <w:szCs w:val="32"/>
        </w:rPr>
        <w:t xml:space="preserve"> 支出决算为256.07万元，完成预算100%。</w:t>
      </w:r>
      <w:r>
        <w:rPr>
          <w:rStyle w:val="15"/>
          <w:rFonts w:ascii="仿宋_GB2312" w:hAnsi="仿宋" w:eastAsia="仿宋_GB2312"/>
          <w:b w:val="0"/>
          <w:bCs/>
          <w:sz w:val="32"/>
          <w:szCs w:val="32"/>
        </w:rPr>
        <w:t xml:space="preserve"> </w:t>
      </w:r>
    </w:p>
    <w:p>
      <w:pPr>
        <w:spacing w:line="600" w:lineRule="exact"/>
        <w:ind w:firstLine="642" w:firstLineChars="200"/>
        <w:rPr>
          <w:rStyle w:val="15"/>
          <w:rFonts w:ascii="仿宋_GB2312" w:hAnsi="仿宋" w:eastAsia="仿宋_GB2312"/>
          <w:b w:val="0"/>
          <w:bCs/>
          <w:sz w:val="32"/>
          <w:szCs w:val="32"/>
        </w:rPr>
      </w:pPr>
      <w:r>
        <w:rPr>
          <w:rStyle w:val="15"/>
          <w:rFonts w:hint="eastAsia" w:ascii="仿宋_GB2312" w:hAnsi="仿宋" w:eastAsia="仿宋_GB2312"/>
          <w:bCs/>
          <w:sz w:val="32"/>
          <w:szCs w:val="32"/>
        </w:rPr>
        <w:t>4.社会保障和就业支出（208）行政事业单位离退休（05）机关事业单位基本养老保险缴费支出（05）：</w:t>
      </w:r>
      <w:r>
        <w:rPr>
          <w:rStyle w:val="15"/>
          <w:rFonts w:hint="eastAsia" w:ascii="仿宋_GB2312" w:hAnsi="仿宋" w:eastAsia="仿宋_GB2312"/>
          <w:b w:val="0"/>
          <w:bCs/>
          <w:sz w:val="32"/>
          <w:szCs w:val="32"/>
        </w:rPr>
        <w:t>支出决算为42.15万元，完成预算100%。</w:t>
      </w:r>
    </w:p>
    <w:p>
      <w:pPr>
        <w:spacing w:line="600" w:lineRule="exact"/>
        <w:ind w:firstLine="640" w:firstLineChars="200"/>
        <w:rPr>
          <w:rFonts w:ascii="仿宋_GB2312" w:hAnsi="仿宋" w:eastAsia="仿宋_GB2312"/>
          <w:b/>
          <w:bCs/>
          <w:sz w:val="32"/>
          <w:szCs w:val="32"/>
        </w:rPr>
      </w:pPr>
      <w:r>
        <w:rPr>
          <w:rStyle w:val="15"/>
          <w:rFonts w:hint="eastAsia" w:ascii="仿宋_GB2312" w:hAnsi="仿宋" w:eastAsia="仿宋_GB2312"/>
          <w:b w:val="0"/>
          <w:bCs/>
          <w:sz w:val="32"/>
          <w:szCs w:val="32"/>
        </w:rPr>
        <w:t>5.</w:t>
      </w:r>
      <w:r>
        <w:rPr>
          <w:rStyle w:val="15"/>
          <w:rFonts w:hint="eastAsia" w:ascii="仿宋_GB2312" w:hAnsi="仿宋" w:eastAsia="仿宋_GB2312"/>
          <w:bCs/>
          <w:sz w:val="32"/>
          <w:szCs w:val="32"/>
        </w:rPr>
        <w:t xml:space="preserve"> 社会保障和就业支出（208）行政事业单位离退休（05）机关事业单位职业年金缴费支出（06）:</w:t>
      </w:r>
      <w:r>
        <w:rPr>
          <w:rStyle w:val="15"/>
          <w:rFonts w:hint="eastAsia" w:ascii="仿宋_GB2312" w:hAnsi="仿宋" w:eastAsia="仿宋_GB2312"/>
          <w:b w:val="0"/>
          <w:bCs/>
          <w:sz w:val="32"/>
          <w:szCs w:val="32"/>
        </w:rPr>
        <w:t xml:space="preserve"> 支出决算为6031万元，完成预算100%。</w:t>
      </w:r>
    </w:p>
    <w:p>
      <w:pPr>
        <w:spacing w:line="600" w:lineRule="exact"/>
        <w:ind w:firstLine="642" w:firstLineChars="200"/>
        <w:rPr>
          <w:rFonts w:ascii="仿宋_GB2312" w:hAnsi="仿宋" w:eastAsia="仿宋_GB2312"/>
          <w:b/>
          <w:sz w:val="32"/>
          <w:szCs w:val="32"/>
        </w:rPr>
      </w:pPr>
      <w:r>
        <w:rPr>
          <w:rStyle w:val="15"/>
          <w:rFonts w:hint="eastAsia" w:ascii="仿宋_GB2312" w:hAnsi="仿宋" w:eastAsia="仿宋_GB2312"/>
          <w:bCs/>
          <w:sz w:val="32"/>
          <w:szCs w:val="32"/>
        </w:rPr>
        <w:t>6.医疗卫生与计划生育支出（210）行政事业单位医疗（11）行政单位医疗（01）:</w:t>
      </w:r>
      <w:r>
        <w:rPr>
          <w:rStyle w:val="15"/>
          <w:rFonts w:hint="eastAsia" w:ascii="仿宋_GB2312" w:hAnsi="仿宋" w:eastAsia="仿宋_GB2312"/>
          <w:b w:val="0"/>
          <w:bCs/>
          <w:sz w:val="32"/>
          <w:szCs w:val="32"/>
        </w:rPr>
        <w:t>支出决算为16.96万元，完成预算100%。</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7.农林水支出（213）扶贫（05）其他扶贫支出（99）</w:t>
      </w:r>
      <w:r>
        <w:rPr>
          <w:rFonts w:hint="eastAsia" w:ascii="仿宋_GB2312" w:hAnsi="仿宋" w:eastAsia="仿宋_GB2312"/>
          <w:sz w:val="32"/>
          <w:szCs w:val="32"/>
        </w:rPr>
        <w:t>：支出决算为8.75万元，完成预算100%。</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8.住房保障支出（221）住房改革支出（02）住房公积金（01）</w:t>
      </w:r>
      <w:r>
        <w:rPr>
          <w:rFonts w:hint="eastAsia" w:ascii="仿宋_GB2312" w:hAnsi="仿宋" w:eastAsia="仿宋_GB2312"/>
          <w:sz w:val="32"/>
          <w:szCs w:val="32"/>
        </w:rPr>
        <w:t>：支出决算为24.59万元，完成预算100%。</w:t>
      </w:r>
    </w:p>
    <w:p>
      <w:pPr>
        <w:tabs>
          <w:tab w:val="right" w:pos="8306"/>
        </w:tabs>
        <w:spacing w:line="600" w:lineRule="exact"/>
        <w:ind w:firstLine="640"/>
        <w:outlineLvl w:val="1"/>
        <w:rPr>
          <w:rStyle w:val="26"/>
          <w:rFonts w:ascii="黑体" w:hAnsi="黑体" w:eastAsia="黑体"/>
        </w:rPr>
      </w:pPr>
      <w:bookmarkStart w:id="40" w:name="_Toc15396608"/>
      <w:bookmarkStart w:id="41" w:name="_Toc15377214"/>
      <w:r>
        <w:rPr>
          <w:rFonts w:hint="eastAsia" w:ascii="黑体" w:hAnsi="黑体" w:eastAsia="黑体"/>
          <w:color w:val="000000"/>
          <w:sz w:val="32"/>
          <w:szCs w:val="32"/>
        </w:rPr>
        <w:t>六</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hint="eastAsia" w:ascii="黑体" w:hAnsi="黑体" w:eastAsia="黑体"/>
          <w:b w:val="0"/>
        </w:rPr>
        <w:tab/>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2018年一般公共预算财政拨款基本支出510.02万元，其中：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人员经费440.51万元，主要包括：基本工资、津贴补贴、奖金、绩效工资、机关事业单位基本养老保险缴费、职业年金缴费、其他社会保障缴费、其他工资福利支出、抚恤金、生活补助、奖励金、住房公积金等。</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公用经费69.51万元，主要包括：办公费、印刷费、手续费、水费、电费、邮电费、差旅费、因公出国（境）费用、维修（护）费、会议费、培训费、公务接待费、劳务费、工会经费、福利费、公务用车运行维护费、其他交通费、办公设备购置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hAns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_GB2312" w:hAnsi="仿宋" w:eastAsia="仿宋_GB2312"/>
          <w:b/>
          <w:color w:val="000000"/>
          <w:sz w:val="32"/>
          <w:szCs w:val="32"/>
        </w:rPr>
      </w:pPr>
      <w:bookmarkStart w:id="44" w:name="_Toc15377216"/>
      <w:r>
        <w:rPr>
          <w:rFonts w:hint="eastAsia" w:ascii="仿宋_GB2312" w:hAnsi="仿宋" w:eastAsia="仿宋_GB2312"/>
          <w:b/>
          <w:color w:val="000000"/>
          <w:sz w:val="32"/>
          <w:szCs w:val="32"/>
        </w:rPr>
        <w:t>（一）“三公”经费财政拨款支出决算总体情况说明</w:t>
      </w:r>
      <w:bookmarkEnd w:id="44"/>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2018年“三公”经费财政拨款支出决算为10.91万元，完成预算96%，决算数小于预算数的主要原因是公务用车运行维护费略有降低。</w:t>
      </w:r>
    </w:p>
    <w:p>
      <w:pPr>
        <w:spacing w:line="600" w:lineRule="exact"/>
        <w:ind w:firstLine="640"/>
        <w:outlineLvl w:val="2"/>
        <w:rPr>
          <w:rFonts w:ascii="仿宋_GB2312" w:hAnsi="仿宋" w:eastAsia="仿宋_GB2312"/>
          <w:b/>
          <w:color w:val="000000"/>
          <w:sz w:val="32"/>
          <w:szCs w:val="32"/>
        </w:rPr>
      </w:pPr>
      <w:bookmarkStart w:id="45" w:name="_Toc15377217"/>
      <w:r>
        <w:rPr>
          <w:rFonts w:hint="eastAsia" w:ascii="仿宋_GB2312" w:hAnsi="仿宋" w:eastAsia="仿宋_GB2312"/>
          <w:b/>
          <w:color w:val="000000"/>
          <w:sz w:val="32"/>
          <w:szCs w:val="32"/>
        </w:rPr>
        <w:t>（二）“三公”经费财政拨款支出决算具体情况说明</w:t>
      </w:r>
      <w:bookmarkEnd w:id="45"/>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2018年“三公”经费财政拨款支出决算中，因公出国（境）费支出决算1.83万元，占17%；公务用车购置及运行维护费支出决算4.68万元，占43%；公务接待费支出决算4.39万元，占40%。具体情况如下：</w:t>
      </w: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4384" behindDoc="0" locked="0" layoutInCell="1" allowOverlap="1">
            <wp:simplePos x="0" y="0"/>
            <wp:positionH relativeFrom="column">
              <wp:posOffset>182245</wp:posOffset>
            </wp:positionH>
            <wp:positionV relativeFrom="paragraph">
              <wp:posOffset>139700</wp:posOffset>
            </wp:positionV>
            <wp:extent cx="5486400" cy="3200400"/>
            <wp:effectExtent l="38100" t="0" r="19050" b="1905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（图8：“三公”经费财政拨款支出结构）</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1.83万元，</w:t>
      </w:r>
      <w:r>
        <w:rPr>
          <w:rStyle w:val="15"/>
          <w:rFonts w:hint="eastAsia" w:ascii="仿宋_GB2312" w:hAnsi="仿宋" w:eastAsia="仿宋_GB2312"/>
          <w:b w:val="0"/>
          <w:bCs/>
          <w:color w:val="000000"/>
          <w:sz w:val="32"/>
          <w:szCs w:val="32"/>
        </w:rPr>
        <w:t>完成预算99%。</w:t>
      </w:r>
      <w:r>
        <w:rPr>
          <w:rFonts w:hint="eastAsia" w:ascii="仿宋_GB2312" w:eastAsia="仿宋_GB2312"/>
          <w:color w:val="000000"/>
          <w:sz w:val="32"/>
          <w:szCs w:val="32"/>
        </w:rPr>
        <w:t>全年安排因公出国（境）团组1次，出国（境）1人。因公出国（境）支出决算比2017年增加1.83万元，增长100%。主要原因是2017年无因公出国（境）费用。</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因公出国（境）开支内容：2018年6月中共广元市利州区委常委、组织部部长张宗虎同志随广元市利州区农学会到台湾考察农业工作的交通、住宿、伙食、公杂费等。</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4.68万元,</w:t>
      </w:r>
      <w:r>
        <w:rPr>
          <w:rStyle w:val="15"/>
          <w:rFonts w:hint="eastAsia" w:ascii="仿宋_GB2312" w:hAnsi="仿宋" w:eastAsia="仿宋_GB2312"/>
          <w:b w:val="0"/>
          <w:bCs/>
          <w:color w:val="000000"/>
          <w:sz w:val="32"/>
          <w:szCs w:val="32"/>
        </w:rPr>
        <w:t>完成预算92%。</w:t>
      </w:r>
      <w:r>
        <w:rPr>
          <w:rFonts w:hint="eastAsia" w:ascii="仿宋_GB2312" w:eastAsia="仿宋_GB2312"/>
          <w:color w:val="000000"/>
          <w:sz w:val="32"/>
          <w:szCs w:val="32"/>
        </w:rPr>
        <w:t>公务用车购置及运行维护费支出决算比2017年减少1.2万元，下降20%。主要原因是公务用车燃油、过路过桥费用减少。</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0万元。全年按规定更新购置公务用车0辆，其中：轿车0辆、金额0万元，越野车0辆、金额0万元，载客汽车0辆、金额0万元。截至2018年12月底，单位共有公务用车1辆，其中：轿车1辆、越野车0辆、载客汽车0辆。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4.68万元。主要用于老干部开展活动所需的公务用车燃料费、维修费、过路过桥费、保险费等支出。</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4.39万元，</w:t>
      </w:r>
      <w:r>
        <w:rPr>
          <w:rStyle w:val="15"/>
          <w:rFonts w:hint="eastAsia" w:ascii="仿宋_GB2312" w:hAnsi="仿宋" w:eastAsia="仿宋_GB2312"/>
          <w:b w:val="0"/>
          <w:bCs/>
          <w:color w:val="000000"/>
          <w:sz w:val="32"/>
          <w:szCs w:val="32"/>
        </w:rPr>
        <w:t>完成预算99%。</w:t>
      </w:r>
      <w:r>
        <w:rPr>
          <w:rFonts w:hint="eastAsia" w:ascii="仿宋_GB2312" w:eastAsia="仿宋_GB2312"/>
          <w:color w:val="000000"/>
          <w:sz w:val="32"/>
          <w:szCs w:val="32"/>
        </w:rPr>
        <w:t>公务接待费支出决算与2017年持平。主要用于执行公务、开展业务活动开支的用餐费、住宿费。国内公务接待30批次，420人次（不包括陪同人员），共计支出4.39万元。主要用于接待省委组织部抓党建促脱贫攻坚等工作督导组、省市其他来访考察工作团（组）以及离退休老干部等用餐费、住宿费。</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b/>
          <w:color w:val="000000"/>
          <w:sz w:val="32"/>
          <w:szCs w:val="32"/>
        </w:rPr>
        <w:t>外事接待支出</w:t>
      </w:r>
      <w:r>
        <w:rPr>
          <w:rFonts w:hint="eastAsia" w:ascii="仿宋_GB2312" w:hAnsi="仿宋" w:eastAsia="仿宋_GB2312"/>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pPr>
        <w:spacing w:line="600" w:lineRule="exact"/>
        <w:ind w:firstLine="640"/>
        <w:rPr>
          <w:rFonts w:ascii="仿宋_GB2312" w:eastAsia="仿宋_GB2312"/>
          <w:color w:val="000000"/>
          <w:sz w:val="32"/>
          <w:szCs w:val="32"/>
        </w:rPr>
      </w:pPr>
      <w:r>
        <w:rPr>
          <w:rFonts w:hint="eastAsia" w:ascii="仿宋_GB2312" w:hAnsi="仿宋" w:eastAsia="仿宋_GB2312"/>
          <w:b/>
          <w:color w:val="000000"/>
          <w:sz w:val="32"/>
          <w:szCs w:val="32"/>
        </w:rPr>
        <w:t>其他国内公务接待支出</w:t>
      </w:r>
      <w:r>
        <w:rPr>
          <w:rFonts w:hint="eastAsia" w:ascii="仿宋_GB2312" w:hAnsi="仿宋" w:eastAsia="仿宋_GB2312"/>
          <w:color w:val="000000"/>
          <w:sz w:val="32"/>
          <w:szCs w:val="32"/>
        </w:rPr>
        <w:t>0</w:t>
      </w:r>
      <w:r>
        <w:rPr>
          <w:rFonts w:hint="eastAsia" w:ascii="仿宋_GB2312" w:eastAsia="仿宋_GB2312"/>
          <w:color w:val="000000"/>
          <w:sz w:val="32"/>
          <w:szCs w:val="32"/>
        </w:rPr>
        <w:t>万元。</w:t>
      </w:r>
      <w:bookmarkStart w:id="46" w:name="_Toc15377218"/>
      <w:bookmarkStart w:id="47" w:name="_Toc15396610"/>
    </w:p>
    <w:p>
      <w:pPr>
        <w:spacing w:line="600" w:lineRule="exact"/>
        <w:ind w:firstLine="640"/>
        <w:outlineLvl w:val="1"/>
        <w:rPr>
          <w:rStyle w:val="26"/>
          <w:rFonts w:ascii="黑体" w:hAnsi="黑体" w:eastAsia="黑体"/>
        </w:rPr>
      </w:pPr>
      <w:r>
        <w:rPr>
          <w:rFonts w:hint="eastAsia" w:ascii="黑体" w:hAns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2018年政府性基金预算拨款支出0万元。</w:t>
      </w:r>
    </w:p>
    <w:p>
      <w:pPr>
        <w:numPr>
          <w:ilvl w:val="0"/>
          <w:numId w:val="4"/>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2018年国有资本经营预算拨款支出0万元。</w:t>
      </w:r>
    </w:p>
    <w:p>
      <w:pPr>
        <w:pStyle w:val="24"/>
        <w:numPr>
          <w:ilvl w:val="0"/>
          <w:numId w:val="5"/>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6"/>
        </w:numPr>
        <w:spacing w:line="580" w:lineRule="exact"/>
        <w:ind w:firstLine="642" w:firstLineChars="200"/>
        <w:rPr>
          <w:rFonts w:ascii="仿宋_GB2312" w:hAnsi="仿宋" w:eastAsia="仿宋_GB2312" w:cs="楷体_GB2312"/>
          <w:b/>
          <w:bCs/>
          <w:sz w:val="32"/>
          <w:szCs w:val="32"/>
        </w:rPr>
      </w:pPr>
      <w:r>
        <w:rPr>
          <w:rFonts w:hint="eastAsia" w:ascii="仿宋_GB2312" w:hAnsi="仿宋" w:eastAsia="仿宋_GB2312"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基层组织建设项目开展了预算事前绩效评估，对2个项目编制了绩效目标。预算执行过程中，对2个项目开展绩效监控，年终执行完毕后，对2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绩效管理要求，本部门对2018年整体支出开展了绩效自评，自评得分98分。存在的问题：一是绩效指标设置还不够具体和不合理，导致绩效监控效果不佳。二是在绩效管理工作中创新不够，方法和制度上都还有待进一步加强。下一步改进措施：一是严格预算编制，根据目标任务设置科学合理的绩效考评指标，做到细化精确，使综合绩效评价达到最佳的效果。二是严格落实专项经费使用管理规定，做到专款专用。三是不断改进工作方法，提高可持续发展力。</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 w:eastAsia="仿宋_GB2312" w:cs="楷体_GB2312"/>
          <w:b/>
          <w:bCs/>
          <w:sz w:val="32"/>
          <w:szCs w:val="32"/>
        </w:rPr>
        <w:t>项目绩效目标完成情况。</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本部门在2018年度部门决算中反映“基层组织建设”和“公务用车运行维护”2个项目绩效目标实际完成情况。</w:t>
      </w:r>
    </w:p>
    <w:p>
      <w:pPr>
        <w:overflowPunct w:val="0"/>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1、基层组织建设项目全年预算数20万元，执行数为20万元，完成预算的100%。2018年基层组织建设工作</w:t>
      </w:r>
      <w:r>
        <w:rPr>
          <w:rFonts w:hint="eastAsia" w:ascii="仿宋_GB2312" w:eastAsia="仿宋_GB2312"/>
          <w:sz w:val="32"/>
          <w:szCs w:val="32"/>
        </w:rPr>
        <w:t>一是紧扣“六个基本”底线管理内容，深入开展“逐村体检、整乡提升”行动，全覆盖分析研判村级党组织运行，建成白朝月坝等一批党建引领乡村振兴示范点。结合</w:t>
      </w:r>
      <w:r>
        <w:rPr>
          <w:rFonts w:hint="eastAsia" w:ascii="仿宋_GB2312" w:eastAsia="仿宋_GB2312"/>
          <w:sz w:val="32"/>
          <w:szCs w:val="32"/>
          <w:lang w:eastAsia="zh-CN"/>
        </w:rPr>
        <w:t>扫黑除恶专项斗争</w:t>
      </w:r>
      <w:r>
        <w:rPr>
          <w:rFonts w:hint="eastAsia" w:ascii="仿宋_GB2312" w:eastAsia="仿宋_GB2312"/>
          <w:sz w:val="32"/>
          <w:szCs w:val="32"/>
        </w:rPr>
        <w:t>，高质量整顿43个软弱涣散基层党组织。二是持续深化城市基层党建融合发展，积极探索“1+3+N”小区党建模式，全年新建小区党支部85个，打造福康花园等党建示范点5个。三是深化机关党建“务实亲民”品牌拓展，推行区直机关“党员积分制管理”，提升了党员教育管理服务监督的常态化、制度化和精准化水平。四是加快推进新兴领域基层组织建设，落实结对帮带、党建指导员季度查核等机制，成立8个行业综合党组织，同步划转181个“两新”组织，培育“四好”“四强”党组织20个，打造居然之家、区产业融合转型升级服务中心党建示范点。创新推行“4332”产业园区党建工作法，高标准打造大石工业园区党群服务中心，实现了党建资源跨行业、跨领域大融合。五是抓实抓好党员发展和教育管理。存在的主要问题</w:t>
      </w:r>
      <w:r>
        <w:rPr>
          <w:rFonts w:hint="eastAsia" w:ascii="仿宋_GB2312" w:eastAsia="仿宋_GB2312"/>
          <w:color w:val="000000"/>
          <w:sz w:val="32"/>
          <w:szCs w:val="32"/>
        </w:rPr>
        <w:t>一是基层党建工作发展不均衡，城乡党建融合不够，在新兴领域还存在组织设置不优、党建覆盖不全、基本制度落实不好、功能发挥不充分的问题。二是抓点示范、整体建设力度还不够大，虽已建成一批党建示范点，但还未形成整体效应。</w:t>
      </w:r>
      <w:r>
        <w:rPr>
          <w:rFonts w:hint="eastAsia" w:ascii="仿宋_GB2312" w:hAnsi="仿宋_GB2312" w:eastAsia="仿宋_GB2312" w:cs="仿宋_GB2312"/>
          <w:sz w:val="32"/>
          <w:szCs w:val="32"/>
        </w:rPr>
        <w:t>下一步将我们</w:t>
      </w:r>
      <w:r>
        <w:rPr>
          <w:rFonts w:hint="eastAsia" w:ascii="仿宋_GB2312" w:eastAsia="仿宋_GB2312"/>
          <w:color w:val="000000"/>
          <w:sz w:val="32"/>
          <w:szCs w:val="32"/>
        </w:rPr>
        <w:t>抓实抓牢组织体系建设，全域整体提升基层党建质量，持续创建“全市基层党建底线管理示范区”，坚持底线管理、高标要求，抓好基本建设，突出关键重点，统筹推进农村、城市、机关、国企、学校医院、“两新”等各领域基层组织建设，全面推广党员联户机制、专职村支书队伍建设、城市小区党建、街道社区治理体制改革等工作，全面提升各领域党的建设质量。坚持抓党建促脱贫攻坚、促乡村振兴、促社会治理、促改革发展，促进基层党组织作用发挥，增强人民群众获得感、幸福感、安全感。</w:t>
      </w:r>
    </w:p>
    <w:p>
      <w:p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用车运行维护项目绩效目标完成情况综述。项目全年预算数5.1万元，执行数为4.68万元，完成预算的92%。全年严格按照规定用途使用公务用车，严格落实公务用车使用登记制度，除老干部开展活动和应急用车外，无违规车现象。切实加强日常维护管理，严格控制车辆燃油费、维修费等运行费用，有效降低了使用和维修保养成本。全年运行维护费严格控制在预算范围内。</w:t>
      </w:r>
    </w:p>
    <w:p>
      <w:pPr>
        <w:pStyle w:val="24"/>
        <w:numPr>
          <w:ilvl w:val="0"/>
          <w:numId w:val="7"/>
        </w:numPr>
        <w:spacing w:line="580" w:lineRule="exact"/>
        <w:ind w:firstLineChars="0"/>
        <w:rPr>
          <w:rFonts w:ascii="仿宋_GB2312" w:hAnsi="仿宋" w:eastAsia="仿宋_GB2312" w:cs="仿宋_GB2312"/>
          <w:sz w:val="32"/>
          <w:szCs w:val="32"/>
        </w:rPr>
      </w:pPr>
      <w:r>
        <w:rPr>
          <w:rFonts w:hint="eastAsia" w:ascii="仿宋_GB2312" w:hAnsi="仿宋" w:eastAsia="仿宋_GB2312" w:cs="楷体_GB2312"/>
          <w:b/>
          <w:bCs/>
          <w:sz w:val="32"/>
          <w:szCs w:val="32"/>
        </w:rPr>
        <w:t>绩效评价结果。</w:t>
      </w:r>
    </w:p>
    <w:p>
      <w:pPr>
        <w:spacing w:line="580" w:lineRule="exact"/>
        <w:ind w:firstLine="800" w:firstLineChars="250"/>
        <w:rPr>
          <w:rFonts w:ascii="仿宋_GB2312" w:eastAsia="仿宋_GB2312"/>
          <w:sz w:val="32"/>
          <w:szCs w:val="32"/>
        </w:rPr>
      </w:pPr>
      <w:r>
        <w:rPr>
          <w:rFonts w:hint="eastAsia" w:ascii="仿宋_GB2312" w:eastAsia="仿宋_GB2312"/>
          <w:sz w:val="32"/>
          <w:szCs w:val="32"/>
        </w:rPr>
        <w:t>1、部门预算管理。2018年部门整体支出资金绩效评价总体良好，主要体现在：预算编制及时，认真执行各项财经纪律，财务管理内控制度健全，资金使用规范，无乱发津补贴、奖金现象。</w:t>
      </w:r>
    </w:p>
    <w:p>
      <w:pPr>
        <w:spacing w:line="580" w:lineRule="exact"/>
        <w:ind w:firstLine="800" w:firstLineChars="250"/>
        <w:rPr>
          <w:rFonts w:ascii="仿宋_GB2312" w:eastAsia="仿宋_GB2312"/>
          <w:sz w:val="32"/>
          <w:szCs w:val="32"/>
        </w:rPr>
      </w:pPr>
      <w:r>
        <w:rPr>
          <w:rFonts w:hint="eastAsia" w:ascii="仿宋_GB2312" w:eastAsia="仿宋_GB2312"/>
          <w:sz w:val="32"/>
          <w:szCs w:val="32"/>
        </w:rPr>
        <w:t>2、专项预算管理。本单位专项资金按照文件规定申请申报；所提交的文件、材料符合相关要求，事前经过了内部控制领导小组审核，分管财务领导审批，并达到预期效果。同时，严格按照上级部门及本级财政专项工作资金的相关规定办法进行开支，做到专款专用，无挪用、占用、套取的等现象发生。</w:t>
      </w:r>
    </w:p>
    <w:p>
      <w:pPr>
        <w:spacing w:line="580" w:lineRule="exact"/>
        <w:ind w:firstLine="800" w:firstLineChars="250"/>
        <w:rPr>
          <w:rFonts w:ascii="仿宋_GB2312" w:eastAsia="仿宋_GB2312"/>
          <w:sz w:val="32"/>
          <w:szCs w:val="32"/>
        </w:rPr>
      </w:pPr>
      <w:r>
        <w:rPr>
          <w:rFonts w:hint="eastAsia" w:ascii="仿宋_GB2312" w:eastAsia="仿宋_GB2312"/>
          <w:sz w:val="32"/>
          <w:szCs w:val="32"/>
        </w:rPr>
        <w:t>3、结果应用情况。根据自评结果，2018年度部门整体预算绩效质量好，既保障了本单位职工正常办公和生活秩序，工资薪金正常发放，又顺利完成各项工作任务。同时严肃预算管理，保障各项工作顺利开展，严格履行法定职责，圆满完成了区委、区政府部署的工作任务，准确评价了各项指标的完成情况，群众满意度高。</w:t>
      </w:r>
    </w:p>
    <w:p>
      <w:pPr>
        <w:spacing w:line="580" w:lineRule="exact"/>
        <w:ind w:firstLine="800" w:firstLineChars="250"/>
        <w:rPr>
          <w:rFonts w:ascii="仿宋_GB2312" w:eastAsia="仿宋_GB2312"/>
          <w:sz w:val="32"/>
          <w:szCs w:val="32"/>
        </w:rPr>
      </w:pPr>
      <w:r>
        <w:rPr>
          <w:rFonts w:hint="eastAsia" w:ascii="仿宋_GB2312" w:eastAsia="仿宋_GB2312"/>
          <w:sz w:val="32"/>
          <w:szCs w:val="32"/>
        </w:rPr>
        <w:t>4、评价结论及建议。2018年度，本单位在部门绩效目标制定、目标完成、预算编制准确、支出控制、预算动态调整、执行进度、预算完成都严格按照各项制度和规定按时保质完成，无任何违规记录。及时、准确、高效地完成了预算编制；预算执行情况良好，支出管理规范，资金管理制度较为完善，会计核算和账务处理规范，会计资料完整。存在主要问题一是在资金使用计划上有待进一步加强,要进一步细化预算编制,编制范围尽可能全面，不漏项。二是进一步提高预算编制的科学性、合理性、严谨性和可控性。下一步改进措施一是加强预算编制的前瞻性，进一步优化预算编制，避免项目支出与基本支出划分不准或预算支出与实际执行出现较大偏差的现象；二是在预算执行中确需调剂预算的，按规定程序报经批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本部门按要求对2018年部门整体支出绩效评价情况开展自评，《中共广元市利州区委组织部2018年部门整体支出绩效评价情况表》见附件。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本部门自行组织对基层组织建设项目、公务用车运行维护项目开展了绩效评价，《项目支出2018年绩效评价情况表》见附件。</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_GB2312" w:hAnsi="仿宋" w:eastAsia="仿宋_GB2312"/>
          <w:color w:val="000000"/>
          <w:sz w:val="32"/>
          <w:szCs w:val="32"/>
        </w:rPr>
      </w:pPr>
      <w:bookmarkStart w:id="52" w:name="_Toc15377222"/>
      <w:r>
        <w:rPr>
          <w:rFonts w:hint="eastAsia" w:ascii="仿宋_GB2312" w:hAnsi="仿宋" w:eastAsia="仿宋_GB2312"/>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2018年，中共广元市利州区委组织部机关运行经费支出69.51万元，比2017年增加20.62万元，增长42%。增加的</w:t>
      </w:r>
      <w:r>
        <w:rPr>
          <w:rFonts w:hint="eastAsia" w:ascii="仿宋_GB2312" w:eastAsia="仿宋_GB2312"/>
          <w:color w:val="000000" w:themeColor="text1"/>
          <w:sz w:val="32"/>
          <w:szCs w:val="32"/>
          <w14:textFill>
            <w14:solidFill>
              <w14:schemeClr w14:val="tx1"/>
            </w14:solidFill>
          </w14:textFill>
        </w:rPr>
        <w:t>主要原因是2018年增加了重点工作调研经费和两新组织党建指导员工作经费。</w:t>
      </w:r>
    </w:p>
    <w:p>
      <w:pPr>
        <w:spacing w:line="600"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（数据来源财决CS05表）</w:t>
      </w:r>
    </w:p>
    <w:p>
      <w:pPr>
        <w:autoSpaceDE w:val="0"/>
        <w:autoSpaceDN w:val="0"/>
        <w:adjustRightInd w:val="0"/>
        <w:spacing w:line="600" w:lineRule="exact"/>
        <w:ind w:firstLine="642" w:firstLineChars="200"/>
        <w:jc w:val="left"/>
        <w:outlineLvl w:val="2"/>
        <w:rPr>
          <w:rFonts w:ascii="仿宋_GB2312" w:hAnsi="仿宋" w:eastAsia="仿宋_GB2312"/>
          <w:b/>
          <w:color w:val="000000"/>
          <w:sz w:val="32"/>
          <w:szCs w:val="32"/>
        </w:rPr>
      </w:pPr>
      <w:bookmarkStart w:id="53" w:name="_Toc15377223"/>
      <w:r>
        <w:rPr>
          <w:rFonts w:hint="eastAsia" w:ascii="仿宋_GB2312" w:hAnsi="仿宋" w:eastAsia="仿宋_GB2312"/>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2018年，中共广元市利州区委组织部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ascii="仿宋_GB2312" w:hAnsi="仿宋" w:eastAsia="仿宋_GB2312"/>
          <w:b/>
          <w:color w:val="000000"/>
          <w:sz w:val="32"/>
          <w:szCs w:val="32"/>
        </w:rPr>
      </w:pPr>
      <w:r>
        <w:rPr>
          <w:rFonts w:hint="eastAsia" w:ascii="仿宋_GB2312" w:hAnsi="仿宋" w:eastAsia="仿宋_GB2312"/>
          <w:b/>
          <w:color w:val="000000"/>
          <w:sz w:val="32"/>
          <w:szCs w:val="32"/>
        </w:rPr>
        <w:t>（数据来源财决CS06表）</w:t>
      </w:r>
    </w:p>
    <w:p>
      <w:pPr>
        <w:autoSpaceDE w:val="0"/>
        <w:autoSpaceDN w:val="0"/>
        <w:adjustRightInd w:val="0"/>
        <w:spacing w:line="600" w:lineRule="exact"/>
        <w:ind w:firstLine="642" w:firstLineChars="200"/>
        <w:jc w:val="left"/>
        <w:outlineLvl w:val="2"/>
        <w:rPr>
          <w:rFonts w:ascii="仿宋_GB2312" w:hAnsi="仿宋" w:eastAsia="仿宋_GB2312"/>
          <w:b/>
          <w:color w:val="000000"/>
          <w:sz w:val="32"/>
          <w:szCs w:val="32"/>
        </w:rPr>
      </w:pPr>
      <w:bookmarkStart w:id="54" w:name="_Toc15377224"/>
      <w:r>
        <w:rPr>
          <w:rFonts w:hint="eastAsia" w:ascii="仿宋_GB2312" w:hAnsi="仿宋" w:eastAsia="仿宋_GB2312"/>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截至2018年12月31日，中共广元市利州区委组织部共有车辆1辆，其中：部级领导干部用车0辆、一般公务用车0辆、一般执法执勤用车0辆、特种专业技术用车0、其他用车1辆，</w:t>
      </w:r>
      <w:r>
        <w:rPr>
          <w:rFonts w:hint="eastAsia" w:ascii="仿宋_GB2312" w:eastAsia="仿宋_GB2312"/>
          <w:color w:val="000000" w:themeColor="text1"/>
          <w:sz w:val="32"/>
          <w:szCs w:val="32"/>
          <w14:textFill>
            <w14:solidFill>
              <w14:schemeClr w14:val="tx1"/>
            </w14:solidFill>
          </w14:textFill>
        </w:rPr>
        <w:t>其他用车主要是用于离退休老干保用车。单价50万元以上通用设备0台（套），单价100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0" w:firstLineChars="200"/>
        <w:jc w:val="left"/>
        <w:rPr>
          <w:rFonts w:ascii="仿宋_GB2312" w:eastAsia="仿宋_GB2312"/>
          <w:color w:val="000000"/>
          <w:sz w:val="32"/>
          <w:szCs w:val="32"/>
        </w:rPr>
      </w:pPr>
    </w:p>
    <w:p>
      <w:pPr>
        <w:widowControl/>
        <w:jc w:val="center"/>
        <w:rPr>
          <w:rStyle w:val="25"/>
          <w:rFonts w:ascii="黑体" w:hAnsi="黑体" w:eastAsia="黑体"/>
          <w:b w:val="0"/>
          <w:sz w:val="32"/>
          <w:szCs w:val="32"/>
        </w:rPr>
      </w:pPr>
      <w:bookmarkStart w:id="55" w:name="_Toc15396613"/>
      <w:bookmarkStart w:id="56" w:name="_Toc15377225"/>
      <w:r>
        <w:rPr>
          <w:rFonts w:hint="eastAsia" w:ascii="黑体" w:hAnsi="黑体" w:eastAsia="黑体"/>
          <w:b/>
          <w:color w:val="000000"/>
          <w:sz w:val="32"/>
          <w:szCs w:val="32"/>
        </w:rPr>
        <w:t>第三部分  名</w:t>
      </w:r>
      <w:r>
        <w:rPr>
          <w:rStyle w:val="25"/>
          <w:rFonts w:hint="eastAsia" w:ascii="黑体" w:hAnsi="黑体" w:eastAsia="黑体"/>
          <w:b w:val="0"/>
          <w:sz w:val="32"/>
          <w:szCs w:val="32"/>
        </w:rPr>
        <w:t>词解释</w:t>
      </w:r>
      <w:bookmarkEnd w:id="55"/>
      <w:bookmarkEnd w:id="56"/>
    </w:p>
    <w:p>
      <w:pPr>
        <w:spacing w:line="600" w:lineRule="exact"/>
        <w:jc w:val="left"/>
        <w:rPr>
          <w:rFonts w:ascii="仿宋_GB2312" w:eastAsia="仿宋_GB2312"/>
          <w:b/>
          <w:color w:val="000000"/>
          <w:sz w:val="32"/>
          <w:szCs w:val="32"/>
        </w:rPr>
      </w:pP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4.其他收入：指单位取得的除上述收入以外的各项收入。</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spacing w:line="600" w:lineRule="exact"/>
        <w:ind w:firstLine="629" w:firstLineChars="196"/>
        <w:rPr>
          <w:rStyle w:val="15"/>
          <w:rFonts w:ascii="仿宋_GB2312" w:hAnsi="仿宋" w:eastAsia="仿宋_GB2312"/>
          <w:b w:val="0"/>
          <w:bCs/>
          <w:sz w:val="32"/>
          <w:szCs w:val="32"/>
        </w:rPr>
      </w:pPr>
      <w:r>
        <w:rPr>
          <w:rStyle w:val="15"/>
          <w:rFonts w:hint="eastAsia" w:ascii="仿宋_GB2312" w:hAnsi="仿宋" w:eastAsia="仿宋_GB2312"/>
          <w:bCs/>
          <w:sz w:val="32"/>
          <w:szCs w:val="32"/>
        </w:rPr>
        <w:t>9、其他政府办公厅（室）及相关机构事务（2010399）:指反映除政府办公厅（室）及相关机构行政运行、一般行政管理、机关服务、专项服务、专项业务活动、政务公开审批、法制建设、信访事务、参事事务、事业运行以外的其他政府办公厅（室）及相关机构事务支出。</w:t>
      </w:r>
    </w:p>
    <w:p>
      <w:pPr>
        <w:spacing w:line="600" w:lineRule="exact"/>
        <w:ind w:firstLine="629" w:firstLineChars="196"/>
        <w:rPr>
          <w:rStyle w:val="15"/>
          <w:rFonts w:ascii="仿宋_GB2312" w:hAnsi="仿宋" w:eastAsia="仿宋_GB2312"/>
          <w:b w:val="0"/>
          <w:bCs/>
          <w:sz w:val="32"/>
          <w:szCs w:val="32"/>
        </w:rPr>
      </w:pPr>
      <w:r>
        <w:rPr>
          <w:rStyle w:val="15"/>
          <w:rFonts w:hint="eastAsia" w:ascii="仿宋_GB2312" w:hAnsi="仿宋" w:eastAsia="仿宋_GB2312"/>
          <w:bCs/>
          <w:sz w:val="32"/>
          <w:szCs w:val="32"/>
        </w:rPr>
        <w:t xml:space="preserve"> 10、行政运行（2013201）:</w:t>
      </w:r>
      <w:r>
        <w:rPr>
          <w:rStyle w:val="15"/>
          <w:rFonts w:hint="eastAsia" w:ascii="仿宋_GB2312" w:hAnsi="仿宋" w:eastAsia="仿宋_GB2312"/>
          <w:b w:val="0"/>
          <w:bCs/>
          <w:sz w:val="32"/>
          <w:szCs w:val="32"/>
        </w:rPr>
        <w:t xml:space="preserve"> 指组织事务支出中反映行政单位（包括实行公务员管理的事业单位）的基本支出。</w:t>
      </w:r>
    </w:p>
    <w:p>
      <w:pPr>
        <w:spacing w:line="600" w:lineRule="exact"/>
        <w:ind w:firstLine="627" w:firstLineChars="196"/>
        <w:rPr>
          <w:rStyle w:val="15"/>
          <w:rFonts w:ascii="仿宋_GB2312" w:hAnsi="仿宋" w:eastAsia="仿宋_GB2312"/>
          <w:sz w:val="32"/>
          <w:szCs w:val="32"/>
        </w:rPr>
      </w:pPr>
      <w:r>
        <w:rPr>
          <w:rStyle w:val="15"/>
          <w:rFonts w:hint="eastAsia" w:ascii="仿宋_GB2312" w:hAnsi="仿宋" w:eastAsia="仿宋_GB2312"/>
          <w:b w:val="0"/>
          <w:bCs/>
          <w:sz w:val="32"/>
          <w:szCs w:val="32"/>
        </w:rPr>
        <w:t>11、</w:t>
      </w:r>
      <w:r>
        <w:rPr>
          <w:rStyle w:val="15"/>
          <w:rFonts w:hint="eastAsia" w:ascii="仿宋_GB2312" w:hAnsi="仿宋" w:eastAsia="仿宋_GB2312"/>
          <w:bCs/>
          <w:sz w:val="32"/>
          <w:szCs w:val="32"/>
        </w:rPr>
        <w:t>行政管理事务（2013202）:</w:t>
      </w:r>
      <w:r>
        <w:rPr>
          <w:rStyle w:val="15"/>
          <w:rFonts w:hint="eastAsia" w:ascii="仿宋_GB2312" w:hAnsi="仿宋" w:eastAsia="仿宋_GB2312"/>
          <w:b w:val="0"/>
          <w:bCs/>
          <w:sz w:val="32"/>
          <w:szCs w:val="32"/>
        </w:rPr>
        <w:t xml:space="preserve"> 指组织事务支出中反映行政单位（包括实行公务员法管理的事业单位）未单独设置项级科目的其他项目支出。</w:t>
      </w:r>
    </w:p>
    <w:p>
      <w:pPr>
        <w:spacing w:line="600" w:lineRule="exact"/>
        <w:ind w:firstLine="642" w:firstLineChars="200"/>
        <w:rPr>
          <w:rStyle w:val="15"/>
          <w:rFonts w:ascii="仿宋_GB2312" w:hAnsi="仿宋" w:eastAsia="仿宋_GB2312"/>
          <w:b w:val="0"/>
          <w:bCs/>
          <w:sz w:val="32"/>
          <w:szCs w:val="32"/>
        </w:rPr>
      </w:pPr>
      <w:r>
        <w:rPr>
          <w:rStyle w:val="15"/>
          <w:rFonts w:hint="eastAsia" w:ascii="仿宋_GB2312" w:hAnsi="仿宋" w:eastAsia="仿宋_GB2312"/>
          <w:bCs/>
          <w:sz w:val="32"/>
          <w:szCs w:val="32"/>
        </w:rPr>
        <w:t>12、机关事业单位基本养老保险缴费支出（2080505）：</w:t>
      </w:r>
      <w:r>
        <w:rPr>
          <w:rStyle w:val="15"/>
          <w:rFonts w:hint="eastAsia" w:ascii="仿宋_GB2312" w:hAnsi="仿宋" w:eastAsia="仿宋_GB2312"/>
          <w:b w:val="0"/>
          <w:bCs/>
          <w:sz w:val="32"/>
          <w:szCs w:val="32"/>
        </w:rPr>
        <w:t>指社会保障和就业支出中反映机关事业单位实施养老保险制度由单位缴纳的基本养老保险费支出。</w:t>
      </w:r>
    </w:p>
    <w:p>
      <w:pPr>
        <w:spacing w:line="600" w:lineRule="exact"/>
        <w:ind w:firstLine="640" w:firstLineChars="200"/>
        <w:rPr>
          <w:rFonts w:ascii="仿宋_GB2312" w:hAnsi="仿宋" w:eastAsia="仿宋_GB2312"/>
          <w:b/>
          <w:bCs/>
          <w:sz w:val="32"/>
          <w:szCs w:val="32"/>
        </w:rPr>
      </w:pPr>
      <w:r>
        <w:rPr>
          <w:rStyle w:val="15"/>
          <w:rFonts w:hint="eastAsia" w:ascii="仿宋_GB2312" w:hAnsi="仿宋" w:eastAsia="仿宋_GB2312"/>
          <w:b w:val="0"/>
          <w:bCs/>
          <w:sz w:val="32"/>
          <w:szCs w:val="32"/>
        </w:rPr>
        <w:t>13、</w:t>
      </w:r>
      <w:r>
        <w:rPr>
          <w:rStyle w:val="15"/>
          <w:rFonts w:hint="eastAsia" w:ascii="仿宋_GB2312" w:hAnsi="仿宋" w:eastAsia="仿宋_GB2312"/>
          <w:bCs/>
          <w:sz w:val="32"/>
          <w:szCs w:val="32"/>
        </w:rPr>
        <w:t>机关事业单位职业年金缴费支出（2080506）:指标社会保障和就业支出中反映机关事业单位实施养老保险制度由单位实际缴纳的职业年金支出。</w:t>
      </w:r>
      <w:r>
        <w:rPr>
          <w:rStyle w:val="15"/>
          <w:rFonts w:hint="eastAsia" w:ascii="仿宋_GB2312" w:hAnsi="仿宋" w:eastAsia="仿宋_GB2312"/>
          <w:b w:val="0"/>
          <w:bCs/>
          <w:sz w:val="32"/>
          <w:szCs w:val="32"/>
        </w:rPr>
        <w:t xml:space="preserve"> </w:t>
      </w:r>
    </w:p>
    <w:p>
      <w:pPr>
        <w:spacing w:line="600" w:lineRule="exact"/>
        <w:ind w:firstLine="642" w:firstLineChars="200"/>
        <w:rPr>
          <w:rFonts w:ascii="仿宋_GB2312" w:hAnsi="仿宋" w:eastAsia="仿宋_GB2312"/>
          <w:b/>
          <w:sz w:val="32"/>
          <w:szCs w:val="32"/>
        </w:rPr>
      </w:pPr>
      <w:r>
        <w:rPr>
          <w:rStyle w:val="15"/>
          <w:rFonts w:hint="eastAsia" w:ascii="仿宋_GB2312" w:hAnsi="仿宋" w:eastAsia="仿宋_GB2312"/>
          <w:bCs/>
          <w:sz w:val="32"/>
          <w:szCs w:val="32"/>
        </w:rPr>
        <w:t>14、行政单位医疗（2101101）:</w:t>
      </w:r>
      <w:r>
        <w:rPr>
          <w:rStyle w:val="15"/>
          <w:rFonts w:hint="eastAsia" w:ascii="仿宋_GB2312" w:hAnsi="仿宋" w:eastAsia="仿宋_GB2312"/>
          <w:b w:val="0"/>
          <w:bCs/>
          <w:sz w:val="32"/>
          <w:szCs w:val="32"/>
        </w:rPr>
        <w:t>指医疗卫生与计划生育支出中反映财政部门集中安排的行政单位基本医疗保险缴费经费，未参加医疗保险的行政单位的公费医疗经费，按国规定享受离休人员、红军老战士待遇人员的医疗经费。</w:t>
      </w:r>
      <w:r>
        <w:rPr>
          <w:rFonts w:ascii="仿宋_GB2312" w:hAnsi="仿宋" w:eastAsia="仿宋_GB2312"/>
          <w:b/>
          <w:sz w:val="32"/>
          <w:szCs w:val="32"/>
        </w:rPr>
        <w:t xml:space="preserve"> </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15、其他扶贫支出（2130599）</w:t>
      </w:r>
      <w:r>
        <w:rPr>
          <w:rFonts w:hint="eastAsia" w:ascii="仿宋_GB2312" w:hAnsi="仿宋" w:eastAsia="仿宋_GB2312"/>
          <w:sz w:val="32"/>
          <w:szCs w:val="32"/>
        </w:rPr>
        <w:t>：</w:t>
      </w:r>
      <w:r>
        <w:rPr>
          <w:rFonts w:ascii="仿宋_GB2312" w:hAnsi="仿宋" w:eastAsia="仿宋_GB2312"/>
          <w:sz w:val="32"/>
          <w:szCs w:val="32"/>
        </w:rPr>
        <w:t xml:space="preserve"> </w:t>
      </w:r>
      <w:r>
        <w:rPr>
          <w:rFonts w:hint="eastAsia" w:ascii="仿宋_GB2312" w:hAnsi="仿宋" w:eastAsia="仿宋_GB2312"/>
          <w:sz w:val="32"/>
          <w:szCs w:val="32"/>
        </w:rPr>
        <w:t>指农林水支出其他用于扶贫方面的支出。</w:t>
      </w:r>
    </w:p>
    <w:p>
      <w:pPr>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16、住房公积金（2210201）</w:t>
      </w:r>
      <w:r>
        <w:rPr>
          <w:rFonts w:hint="eastAsia" w:ascii="仿宋_GB2312" w:hAnsi="仿宋" w:eastAsia="仿宋_GB2312"/>
          <w:sz w:val="32"/>
          <w:szCs w:val="32"/>
        </w:rPr>
        <w:t>：指住房保险支出中反映行政事业单位按人力资源和社会保障部、财政局规定的基本工资和津贴补贴以及规定比例为职工缴纳的住房公积金。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sz w:val="32"/>
          <w:szCs w:val="32"/>
        </w:rPr>
        <w:t>17、基本支出：指为保障机构正常运转、完成日常工</w:t>
      </w:r>
      <w:r>
        <w:rPr>
          <w:rFonts w:hint="eastAsia" w:ascii="仿宋_GB2312" w:eastAsia="仿宋_GB2312"/>
          <w:color w:val="000000"/>
          <w:sz w:val="32"/>
          <w:szCs w:val="32"/>
        </w:rPr>
        <w:t>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18、项目支出：指在基本支出之外为完成特定行政任务和事业发展目标所发生的支出。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19、经营支出：指事业单位在专业业务活动及其辅助活动之外开展非独立核算经营活动发生的支出。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方正小标宋简体" w:hAnsi="黑体" w:eastAsia="方正小标宋简体"/>
          <w:b w:val="0"/>
          <w:sz w:val="32"/>
          <w:szCs w:val="32"/>
        </w:rPr>
      </w:pPr>
      <w:bookmarkStart w:id="57" w:name="_Toc15377226"/>
      <w:r>
        <w:rPr>
          <w:rFonts w:hint="eastAsia" w:ascii="仿宋_GB2312" w:eastAsia="仿宋_GB2312"/>
          <w:b/>
          <w:color w:val="000000"/>
          <w:sz w:val="32"/>
          <w:szCs w:val="32"/>
        </w:rPr>
        <w:br w:type="page"/>
      </w:r>
      <w:bookmarkStart w:id="58" w:name="_Toc15396614"/>
      <w:r>
        <w:rPr>
          <w:rFonts w:hint="eastAsia" w:ascii="方正小标宋简体" w:hAnsi="黑体" w:eastAsia="方正小标宋简体"/>
          <w:b/>
          <w:color w:val="000000"/>
          <w:sz w:val="32"/>
          <w:szCs w:val="32"/>
        </w:rPr>
        <w:t>第</w:t>
      </w:r>
      <w:r>
        <w:rPr>
          <w:rStyle w:val="25"/>
          <w:rFonts w:hint="eastAsia" w:ascii="方正小标宋简体" w:hAnsi="黑体" w:eastAsia="方正小标宋简体"/>
          <w:b w:val="0"/>
          <w:sz w:val="32"/>
          <w:szCs w:val="32"/>
        </w:rPr>
        <w:t>四部分 附件</w:t>
      </w:r>
      <w:bookmarkEnd w:id="58"/>
      <w:bookmarkStart w:id="59" w:name="_Toc15396615"/>
    </w:p>
    <w:p>
      <w:pPr>
        <w:spacing w:line="600" w:lineRule="exact"/>
        <w:jc w:val="left"/>
        <w:outlineLvl w:val="0"/>
        <w:rPr>
          <w:rStyle w:val="25"/>
          <w:rFonts w:ascii="仿宋_GB2312" w:hAnsi="仿宋" w:eastAsia="仿宋_GB2312"/>
          <w:sz w:val="32"/>
          <w:szCs w:val="32"/>
        </w:rPr>
      </w:pPr>
      <w:r>
        <w:rPr>
          <w:rStyle w:val="25"/>
          <w:rFonts w:hint="eastAsia" w:ascii="仿宋_GB2312" w:hAnsi="仿宋" w:eastAsia="仿宋_GB2312"/>
          <w:sz w:val="32"/>
          <w:szCs w:val="32"/>
        </w:rPr>
        <w:t>附件1</w:t>
      </w:r>
      <w:bookmarkEnd w:id="59"/>
      <w:r>
        <w:rPr>
          <w:rStyle w:val="25"/>
          <w:rFonts w:hint="eastAsia" w:ascii="仿宋_GB2312" w:hAnsi="仿宋" w:eastAsia="仿宋_GB2312"/>
          <w:sz w:val="32"/>
          <w:szCs w:val="32"/>
        </w:rPr>
        <w:t>：</w:t>
      </w:r>
    </w:p>
    <w:p>
      <w:pPr>
        <w:spacing w:line="600" w:lineRule="exact"/>
        <w:jc w:val="center"/>
        <w:outlineLvl w:val="0"/>
        <w:rPr>
          <w:rFonts w:ascii="方正小标宋简体" w:hAnsi="黑体" w:eastAsia="方正小标宋简体"/>
          <w:bCs/>
          <w:kern w:val="44"/>
          <w:sz w:val="32"/>
          <w:szCs w:val="32"/>
        </w:rPr>
      </w:pPr>
      <w:r>
        <w:rPr>
          <w:rFonts w:hint="eastAsia" w:ascii="黑体" w:hAnsi="黑体" w:eastAsia="黑体"/>
          <w:color w:val="000000"/>
          <w:sz w:val="32"/>
          <w:szCs w:val="32"/>
        </w:rPr>
        <w:t>2018年部门整体支出绩效评价情况表</w:t>
      </w:r>
    </w:p>
    <w:tbl>
      <w:tblPr>
        <w:tblStyle w:val="13"/>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664"/>
        <w:gridCol w:w="3987"/>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36"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一级指标</w:t>
            </w:r>
          </w:p>
        </w:tc>
        <w:tc>
          <w:tcPr>
            <w:tcW w:w="2664" w:type="dxa"/>
            <w:tcBorders>
              <w:bottom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二级指标</w:t>
            </w:r>
          </w:p>
        </w:tc>
        <w:tc>
          <w:tcPr>
            <w:tcW w:w="3987" w:type="dxa"/>
            <w:tcBorders>
              <w:bottom w:val="single" w:color="auto" w:sz="4"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三级指标</w:t>
            </w:r>
          </w:p>
        </w:tc>
        <w:tc>
          <w:tcPr>
            <w:tcW w:w="730"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36" w:type="dxa"/>
            <w:vMerge w:val="restart"/>
            <w:vAlign w:val="center"/>
          </w:tcPr>
          <w:p>
            <w:pPr>
              <w:widowControl/>
              <w:rPr>
                <w:rFonts w:ascii="宋体" w:hAnsi="宋体" w:cs="宋体"/>
                <w:color w:val="000000"/>
                <w:kern w:val="0"/>
                <w:sz w:val="22"/>
                <w:szCs w:val="21"/>
              </w:rPr>
            </w:pPr>
            <w:r>
              <w:rPr>
                <w:rFonts w:hint="eastAsia" w:ascii="宋体" w:hAnsi="宋体" w:cs="宋体"/>
                <w:color w:val="000000"/>
                <w:kern w:val="0"/>
                <w:sz w:val="22"/>
                <w:szCs w:val="21"/>
              </w:rPr>
              <w:t>门决策</w:t>
            </w:r>
          </w:p>
          <w:p>
            <w:pPr>
              <w:widowControl/>
              <w:rPr>
                <w:rFonts w:ascii="宋体" w:hAnsi="宋体" w:cs="宋体"/>
                <w:color w:val="000000"/>
                <w:kern w:val="0"/>
                <w:sz w:val="22"/>
                <w:szCs w:val="21"/>
              </w:rPr>
            </w:pPr>
            <w:r>
              <w:rPr>
                <w:rFonts w:hint="eastAsia" w:ascii="宋体" w:hAnsi="宋体" w:cs="宋体"/>
                <w:color w:val="000000"/>
                <w:kern w:val="0"/>
                <w:sz w:val="22"/>
                <w:szCs w:val="21"/>
              </w:rPr>
              <w:t>（25分）</w:t>
            </w:r>
          </w:p>
        </w:tc>
        <w:tc>
          <w:tcPr>
            <w:tcW w:w="2664" w:type="dxa"/>
            <w:vMerge w:val="restart"/>
            <w:tcBorders>
              <w:bottom w:val="nil"/>
            </w:tcBorders>
            <w:vAlign w:val="center"/>
          </w:tcPr>
          <w:p>
            <w:pPr>
              <w:widowControl/>
              <w:rPr>
                <w:rFonts w:ascii="宋体" w:hAnsi="宋体" w:cs="宋体"/>
                <w:color w:val="000000"/>
                <w:kern w:val="0"/>
                <w:sz w:val="22"/>
                <w:szCs w:val="21"/>
              </w:rPr>
            </w:pPr>
            <w:r>
              <w:rPr>
                <w:rFonts w:hint="eastAsia" w:ascii="宋体" w:hAnsi="宋体" w:cs="宋体"/>
                <w:color w:val="000000"/>
                <w:kern w:val="0"/>
                <w:sz w:val="22"/>
                <w:szCs w:val="21"/>
              </w:rPr>
              <w:t>目标任务（15分）</w:t>
            </w:r>
          </w:p>
        </w:tc>
        <w:tc>
          <w:tcPr>
            <w:tcW w:w="3987" w:type="dxa"/>
            <w:tcBorders>
              <w:bottom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相关性（5分）</w:t>
            </w:r>
          </w:p>
        </w:tc>
        <w:tc>
          <w:tcPr>
            <w:tcW w:w="730" w:type="dxa"/>
          </w:tcPr>
          <w:p>
            <w:pPr>
              <w:widowControl/>
              <w:jc w:val="left"/>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36" w:type="dxa"/>
            <w:vMerge w:val="continue"/>
            <w:vAlign w:val="center"/>
          </w:tcPr>
          <w:p>
            <w:pPr>
              <w:widowControl/>
              <w:rPr>
                <w:rFonts w:ascii="宋体" w:hAnsi="宋体" w:cs="宋体"/>
                <w:color w:val="000000"/>
                <w:kern w:val="0"/>
                <w:sz w:val="22"/>
                <w:szCs w:val="21"/>
              </w:rPr>
            </w:pPr>
          </w:p>
        </w:tc>
        <w:tc>
          <w:tcPr>
            <w:tcW w:w="2664" w:type="dxa"/>
            <w:vMerge w:val="continue"/>
            <w:tcBorders>
              <w:top w:val="nil"/>
              <w:bottom w:val="nil"/>
            </w:tcBorders>
            <w:vAlign w:val="center"/>
          </w:tcPr>
          <w:p>
            <w:pPr>
              <w:widowControl/>
              <w:rPr>
                <w:rFonts w:ascii="宋体" w:hAnsi="宋体" w:cs="宋体"/>
                <w:color w:val="000000"/>
                <w:kern w:val="0"/>
                <w:sz w:val="22"/>
                <w:szCs w:val="21"/>
              </w:rPr>
            </w:pPr>
          </w:p>
        </w:tc>
        <w:tc>
          <w:tcPr>
            <w:tcW w:w="3987" w:type="dxa"/>
            <w:tcBorders>
              <w:top w:val="single" w:color="auto" w:sz="4" w:space="0"/>
              <w:bottom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明确性（5分）</w:t>
            </w:r>
          </w:p>
        </w:tc>
        <w:tc>
          <w:tcPr>
            <w:tcW w:w="730" w:type="dxa"/>
          </w:tcPr>
          <w:p>
            <w:pPr>
              <w:widowControl/>
              <w:jc w:val="left"/>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436" w:type="dxa"/>
            <w:vMerge w:val="continue"/>
            <w:vAlign w:val="center"/>
          </w:tcPr>
          <w:p>
            <w:pPr>
              <w:widowControl/>
              <w:rPr>
                <w:rFonts w:ascii="宋体" w:hAnsi="宋体" w:cs="宋体"/>
                <w:color w:val="000000"/>
                <w:kern w:val="0"/>
                <w:sz w:val="22"/>
                <w:szCs w:val="21"/>
              </w:rPr>
            </w:pPr>
          </w:p>
        </w:tc>
        <w:tc>
          <w:tcPr>
            <w:tcW w:w="2664" w:type="dxa"/>
            <w:vMerge w:val="continue"/>
            <w:tcBorders>
              <w:top w:val="nil"/>
            </w:tcBorders>
            <w:vAlign w:val="center"/>
          </w:tcPr>
          <w:p>
            <w:pPr>
              <w:widowControl/>
              <w:rPr>
                <w:rFonts w:ascii="宋体" w:hAnsi="宋体" w:cs="宋体"/>
                <w:color w:val="000000"/>
                <w:kern w:val="0"/>
                <w:sz w:val="22"/>
                <w:szCs w:val="21"/>
              </w:rPr>
            </w:pPr>
          </w:p>
        </w:tc>
        <w:tc>
          <w:tcPr>
            <w:tcW w:w="3987" w:type="dxa"/>
            <w:tcBorders>
              <w:top w:val="single" w:color="auto" w:sz="4" w:space="0"/>
            </w:tcBorders>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合理性（5分）</w:t>
            </w:r>
          </w:p>
        </w:tc>
        <w:tc>
          <w:tcPr>
            <w:tcW w:w="730" w:type="dxa"/>
          </w:tcPr>
          <w:p>
            <w:pPr>
              <w:widowControl/>
              <w:jc w:val="left"/>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436" w:type="dxa"/>
            <w:vMerge w:val="continue"/>
            <w:vAlign w:val="center"/>
          </w:tcPr>
          <w:p>
            <w:pPr>
              <w:widowControl/>
              <w:jc w:val="center"/>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预算编制（10分）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测算依据（5分）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目标管理（5分）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436" w:type="dxa"/>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综合管理</w:t>
            </w:r>
          </w:p>
          <w:p>
            <w:pPr>
              <w:widowControl/>
              <w:jc w:val="center"/>
              <w:rPr>
                <w:rFonts w:ascii="宋体" w:hAnsi="宋体" w:cs="宋体"/>
                <w:color w:val="000000"/>
                <w:kern w:val="0"/>
                <w:sz w:val="22"/>
                <w:szCs w:val="21"/>
              </w:rPr>
            </w:pPr>
            <w:r>
              <w:rPr>
                <w:rFonts w:hint="eastAsia" w:ascii="宋体" w:hAnsi="宋体" w:cs="宋体"/>
                <w:color w:val="000000"/>
                <w:kern w:val="0"/>
                <w:sz w:val="22"/>
                <w:szCs w:val="21"/>
              </w:rPr>
              <w:t>（30分）</w:t>
            </w: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专项资金分配时限（2分）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本级财力专项预算分配时限（1分）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上级专款分配合规率（1分）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36" w:type="dxa"/>
            <w:vMerge w:val="continue"/>
            <w:vAlign w:val="center"/>
          </w:tcPr>
          <w:p>
            <w:pPr>
              <w:jc w:val="center"/>
              <w:rPr>
                <w:rFonts w:ascii="宋体" w:hAnsi="宋体" w:cs="宋体"/>
                <w:color w:val="000000"/>
                <w:kern w:val="0"/>
                <w:sz w:val="22"/>
                <w:szCs w:val="21"/>
              </w:rPr>
            </w:pPr>
          </w:p>
        </w:tc>
        <w:tc>
          <w:tcPr>
            <w:tcW w:w="2664"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中期评估（2分）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执行中期评估（2分）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绩效监控（5分）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预算执行进度监控（2分）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绩效目标动态监控（3分）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资产管理（6分）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资产管理信息化情况（2分）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行政事业单位资产报告情况（2分）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436" w:type="dxa"/>
            <w:vMerge w:val="continue"/>
            <w:vAlign w:val="center"/>
          </w:tcPr>
          <w:p>
            <w:pPr>
              <w:jc w:val="center"/>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资产管理与预算管理相结合（2分）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36" w:type="dxa"/>
            <w:vMerge w:val="continue"/>
            <w:vAlign w:val="center"/>
          </w:tcPr>
          <w:p>
            <w:pPr>
              <w:widowControl/>
              <w:jc w:val="center"/>
              <w:rPr>
                <w:rFonts w:ascii="宋体" w:hAnsi="宋体" w:cs="宋体"/>
                <w:color w:val="000000"/>
                <w:kern w:val="0"/>
                <w:sz w:val="22"/>
                <w:szCs w:val="21"/>
              </w:rPr>
            </w:pPr>
          </w:p>
        </w:tc>
        <w:tc>
          <w:tcPr>
            <w:tcW w:w="2664"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内控制度管理（4分）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内部控制度健全完整（4分）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信息公开（6分）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预算公开（2分）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决算公开（2分）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绩效信息公开（2分）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绩效评价（5分）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绩效评价开展（2分）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评价结果应用（3分）</w:t>
            </w:r>
          </w:p>
        </w:tc>
        <w:tc>
          <w:tcPr>
            <w:tcW w:w="730" w:type="dxa"/>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36" w:type="dxa"/>
            <w:vMerge w:val="restart"/>
            <w:vAlign w:val="center"/>
          </w:tcPr>
          <w:p>
            <w:pPr>
              <w:widowControl/>
              <w:jc w:val="center"/>
              <w:rPr>
                <w:rFonts w:ascii="宋体" w:hAnsi="宋体" w:cs="宋体"/>
                <w:color w:val="000000"/>
                <w:kern w:val="0"/>
                <w:sz w:val="22"/>
                <w:szCs w:val="21"/>
              </w:rPr>
            </w:pPr>
            <w:r>
              <w:rPr>
                <w:rFonts w:hint="eastAsia" w:ascii="宋体" w:hAnsi="宋体" w:cs="宋体"/>
                <w:color w:val="000000"/>
                <w:kern w:val="0"/>
                <w:sz w:val="22"/>
                <w:szCs w:val="21"/>
              </w:rPr>
              <w:t>部门绩效情况（45分）</w:t>
            </w:r>
          </w:p>
          <w:p>
            <w:pPr>
              <w:widowControl/>
              <w:jc w:val="center"/>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p>
          <w:p>
            <w:pPr>
              <w:rPr>
                <w:sz w:val="22"/>
              </w:rPr>
            </w:pPr>
            <w:r>
              <w:rPr>
                <w:rFonts w:hint="eastAsia"/>
                <w:sz w:val="22"/>
              </w:rPr>
              <w:t>履职成效（25分）</w:t>
            </w:r>
          </w:p>
          <w:p>
            <w:pPr>
              <w:widowControl/>
              <w:spacing w:line="320" w:lineRule="exact"/>
              <w:jc w:val="left"/>
              <w:rPr>
                <w:rFonts w:ascii="宋体" w:hAnsi="宋体" w:cs="宋体"/>
                <w:color w:val="000000"/>
                <w:kern w:val="0"/>
                <w:sz w:val="22"/>
                <w:szCs w:val="21"/>
              </w:rPr>
            </w:pPr>
          </w:p>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基层组织建设（5分）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党员干部队伍建设（5分）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党建促脱贫攻坚及乡村振兴（5分）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人才工作（5分）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老干部工作（5分）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restart"/>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可持续发展能力（10分）</w:t>
            </w: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重点工作完成情况（4分）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创新工作（3分）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人才培养（3分）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restart"/>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满意度（10分）</w:t>
            </w:r>
          </w:p>
        </w:tc>
        <w:tc>
          <w:tcPr>
            <w:tcW w:w="398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协作部门满意度（3分）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36" w:type="dxa"/>
            <w:vMerge w:val="continue"/>
            <w:vAlign w:val="center"/>
          </w:tcPr>
          <w:p>
            <w:pPr>
              <w:jc w:val="left"/>
              <w:rPr>
                <w:rFonts w:ascii="宋体" w:hAnsi="宋体" w:cs="宋体"/>
                <w:color w:val="000000"/>
                <w:kern w:val="0"/>
                <w:sz w:val="22"/>
                <w:szCs w:val="21"/>
              </w:rPr>
            </w:pPr>
          </w:p>
        </w:tc>
        <w:tc>
          <w:tcPr>
            <w:tcW w:w="2664" w:type="dxa"/>
            <w:vMerge w:val="continue"/>
            <w:vAlign w:val="center"/>
          </w:tcPr>
          <w:p>
            <w:pPr>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管理对象满意度（3分）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436" w:type="dxa"/>
            <w:vMerge w:val="continue"/>
            <w:vAlign w:val="center"/>
          </w:tcPr>
          <w:p>
            <w:pPr>
              <w:widowControl/>
              <w:jc w:val="left"/>
              <w:rPr>
                <w:rFonts w:ascii="宋体" w:hAnsi="宋体" w:cs="宋体"/>
                <w:color w:val="000000"/>
                <w:kern w:val="0"/>
                <w:sz w:val="22"/>
                <w:szCs w:val="21"/>
              </w:rPr>
            </w:pPr>
          </w:p>
        </w:tc>
        <w:tc>
          <w:tcPr>
            <w:tcW w:w="2664" w:type="dxa"/>
            <w:vMerge w:val="continue"/>
            <w:vAlign w:val="center"/>
          </w:tcPr>
          <w:p>
            <w:pPr>
              <w:widowControl/>
              <w:spacing w:line="320" w:lineRule="exact"/>
              <w:jc w:val="left"/>
              <w:rPr>
                <w:rFonts w:ascii="宋体" w:hAnsi="宋体" w:cs="宋体"/>
                <w:color w:val="000000"/>
                <w:kern w:val="0"/>
                <w:sz w:val="22"/>
                <w:szCs w:val="21"/>
              </w:rPr>
            </w:pPr>
          </w:p>
        </w:tc>
        <w:tc>
          <w:tcPr>
            <w:tcW w:w="3987" w:type="dxa"/>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社会公众满意度（4分）</w:t>
            </w:r>
          </w:p>
        </w:tc>
        <w:tc>
          <w:tcPr>
            <w:tcW w:w="730" w:type="dxa"/>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bl>
    <w:tbl>
      <w:tblPr>
        <w:tblStyle w:val="13"/>
        <w:tblpPr w:leftFromText="180" w:rightFromText="180" w:vertAnchor="text" w:horzAnchor="page" w:tblpXSpec="center" w:tblpY="423"/>
        <w:tblOverlap w:val="never"/>
        <w:tblW w:w="9394" w:type="dxa"/>
        <w:tblInd w:w="0" w:type="dxa"/>
        <w:tblLayout w:type="fixed"/>
        <w:tblCellMar>
          <w:top w:w="0" w:type="dxa"/>
          <w:left w:w="0" w:type="dxa"/>
          <w:bottom w:w="0" w:type="dxa"/>
          <w:right w:w="0" w:type="dxa"/>
        </w:tblCellMar>
      </w:tblPr>
      <w:tblGrid>
        <w:gridCol w:w="866"/>
        <w:gridCol w:w="567"/>
        <w:gridCol w:w="567"/>
        <w:gridCol w:w="1084"/>
        <w:gridCol w:w="1402"/>
        <w:gridCol w:w="2983"/>
        <w:gridCol w:w="201"/>
        <w:gridCol w:w="992"/>
        <w:gridCol w:w="732"/>
      </w:tblGrid>
      <w:tr>
        <w:tblPrEx>
          <w:tblCellMar>
            <w:top w:w="0" w:type="dxa"/>
            <w:left w:w="0" w:type="dxa"/>
            <w:bottom w:w="0" w:type="dxa"/>
            <w:right w:w="0" w:type="dxa"/>
          </w:tblCellMar>
        </w:tblPrEx>
        <w:trPr>
          <w:trHeight w:val="685" w:hRule="atLeast"/>
        </w:trPr>
        <w:tc>
          <w:tcPr>
            <w:tcW w:w="9394" w:type="dxa"/>
            <w:gridSpan w:val="9"/>
            <w:tcMar>
              <w:top w:w="15" w:type="dxa"/>
              <w:left w:w="15" w:type="dxa"/>
              <w:bottom w:w="0" w:type="dxa"/>
              <w:right w:w="15" w:type="dxa"/>
            </w:tcMar>
            <w:vAlign w:val="center"/>
          </w:tcPr>
          <w:p>
            <w:pPr>
              <w:widowControl/>
              <w:jc w:val="left"/>
              <w:textAlignment w:val="center"/>
              <w:rPr>
                <w:rFonts w:ascii="宋体" w:hAnsi="宋体" w:cs="宋体"/>
                <w:bCs/>
                <w:color w:val="000000"/>
                <w:kern w:val="0"/>
                <w:sz w:val="32"/>
                <w:szCs w:val="32"/>
                <w:lang w:bidi="ar"/>
              </w:rPr>
            </w:pPr>
            <w:bookmarkStart w:id="60" w:name="_Toc15396618"/>
            <w:r>
              <w:rPr>
                <w:rFonts w:hint="eastAsia" w:ascii="宋体" w:hAnsi="宋体" w:cs="宋体"/>
                <w:bCs/>
                <w:color w:val="000000"/>
                <w:kern w:val="0"/>
                <w:sz w:val="32"/>
                <w:szCs w:val="32"/>
                <w:lang w:bidi="ar"/>
              </w:rPr>
              <w:t>附件2：</w:t>
            </w:r>
          </w:p>
          <w:p>
            <w:pPr>
              <w:widowControl/>
              <w:jc w:val="center"/>
              <w:textAlignment w:val="center"/>
              <w:rPr>
                <w:rFonts w:ascii="仿宋_GB2312" w:hAnsi="宋体" w:eastAsia="仿宋_GB2312" w:cs="宋体"/>
                <w:b/>
                <w:color w:val="000000"/>
                <w:sz w:val="32"/>
                <w:szCs w:val="32"/>
              </w:rPr>
            </w:pPr>
            <w:r>
              <w:rPr>
                <w:rFonts w:hint="eastAsia" w:ascii="宋体" w:hAnsi="宋体" w:cs="宋体"/>
                <w:b/>
                <w:bCs/>
                <w:color w:val="000000"/>
                <w:kern w:val="0"/>
                <w:sz w:val="32"/>
                <w:szCs w:val="32"/>
                <w:lang w:bidi="ar"/>
              </w:rPr>
              <w:t>项目支出绩效目标完成情况表</w:t>
            </w:r>
            <w:r>
              <w:rPr>
                <w:rFonts w:hint="eastAsia" w:ascii="仿宋_GB2312" w:hAnsi="宋体" w:eastAsia="仿宋_GB2312" w:cs="宋体"/>
                <w:b/>
                <w:color w:val="000000"/>
                <w:kern w:val="0"/>
                <w:sz w:val="32"/>
                <w:szCs w:val="32"/>
                <w:lang w:bidi="ar"/>
              </w:rPr>
              <w:br w:type="textWrapping"/>
            </w:r>
            <w:r>
              <w:rPr>
                <w:rFonts w:hint="eastAsia" w:ascii="仿宋_GB2312" w:hAnsi="宋体" w:eastAsia="仿宋_GB2312" w:cs="宋体"/>
                <w:b/>
                <w:color w:val="000000"/>
                <w:kern w:val="0"/>
                <w:sz w:val="32"/>
                <w:szCs w:val="32"/>
                <w:lang w:bidi="ar"/>
              </w:rPr>
              <w:t>(2018 年度)</w:t>
            </w:r>
          </w:p>
        </w:tc>
      </w:tr>
      <w:tr>
        <w:tblPrEx>
          <w:tblCellMar>
            <w:top w:w="0" w:type="dxa"/>
            <w:left w:w="0" w:type="dxa"/>
            <w:bottom w:w="0" w:type="dxa"/>
            <w:right w:w="0" w:type="dxa"/>
          </w:tblCellMar>
        </w:tblPrEx>
        <w:trPr>
          <w:trHeight w:val="183" w:hRule="atLeast"/>
        </w:trPr>
        <w:tc>
          <w:tcPr>
            <w:tcW w:w="30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kern w:val="0"/>
                <w:sz w:val="24"/>
                <w:szCs w:val="32"/>
                <w:lang w:bidi="ar"/>
              </w:rPr>
              <w:t>项目名称</w:t>
            </w:r>
          </w:p>
        </w:tc>
        <w:tc>
          <w:tcPr>
            <w:tcW w:w="631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4"/>
                <w:szCs w:val="32"/>
              </w:rPr>
            </w:pPr>
            <w:r>
              <w:rPr>
                <w:rFonts w:hint="eastAsia" w:ascii="宋体" w:hAnsi="宋体" w:cs="宋体"/>
                <w:b/>
                <w:color w:val="000000"/>
                <w:sz w:val="24"/>
                <w:szCs w:val="32"/>
              </w:rPr>
              <w:t>基层组织建设</w:t>
            </w:r>
          </w:p>
        </w:tc>
      </w:tr>
      <w:tr>
        <w:tblPrEx>
          <w:tblCellMar>
            <w:top w:w="0" w:type="dxa"/>
            <w:left w:w="0" w:type="dxa"/>
            <w:bottom w:w="0" w:type="dxa"/>
            <w:right w:w="0" w:type="dxa"/>
          </w:tblCellMar>
        </w:tblPrEx>
        <w:trPr>
          <w:trHeight w:val="183" w:hRule="atLeast"/>
        </w:trPr>
        <w:tc>
          <w:tcPr>
            <w:tcW w:w="308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kern w:val="0"/>
                <w:sz w:val="24"/>
                <w:szCs w:val="32"/>
                <w:lang w:bidi="ar"/>
              </w:rPr>
              <w:t>预算单位</w:t>
            </w:r>
          </w:p>
        </w:tc>
        <w:tc>
          <w:tcPr>
            <w:tcW w:w="631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sz w:val="24"/>
                <w:szCs w:val="32"/>
              </w:rPr>
              <w:t>中共广元市利州区委组织部</w:t>
            </w:r>
          </w:p>
        </w:tc>
      </w:tr>
      <w:tr>
        <w:tblPrEx>
          <w:tblCellMar>
            <w:top w:w="0" w:type="dxa"/>
            <w:left w:w="0" w:type="dxa"/>
            <w:bottom w:w="0" w:type="dxa"/>
            <w:right w:w="0" w:type="dxa"/>
          </w:tblCellMar>
        </w:tblPrEx>
        <w:trPr>
          <w:trHeight w:val="183"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szCs w:val="32"/>
                <w:lang w:bidi="ar"/>
              </w:rPr>
            </w:pPr>
            <w:r>
              <w:rPr>
                <w:rFonts w:hint="eastAsia" w:ascii="宋体" w:hAnsi="宋体" w:cs="宋体"/>
                <w:color w:val="000000"/>
                <w:kern w:val="0"/>
                <w:sz w:val="24"/>
                <w:szCs w:val="32"/>
                <w:lang w:bidi="ar"/>
              </w:rPr>
              <w:t>预算执行情况</w:t>
            </w:r>
          </w:p>
          <w:p>
            <w:pPr>
              <w:widowControl/>
              <w:jc w:val="center"/>
              <w:textAlignment w:val="center"/>
              <w:rPr>
                <w:rFonts w:ascii="宋体" w:hAnsi="宋体" w:cs="宋体"/>
                <w:color w:val="000000"/>
                <w:sz w:val="24"/>
                <w:szCs w:val="32"/>
              </w:rPr>
            </w:pPr>
            <w:r>
              <w:rPr>
                <w:rFonts w:hint="eastAsia" w:ascii="宋体" w:hAnsi="宋体" w:cs="宋体"/>
                <w:color w:val="000000"/>
                <w:kern w:val="0"/>
                <w:sz w:val="24"/>
                <w:szCs w:val="32"/>
                <w:lang w:bidi="ar"/>
              </w:rPr>
              <w:t>(万元)</w:t>
            </w:r>
          </w:p>
        </w:tc>
        <w:tc>
          <w:tcPr>
            <w:tcW w:w="22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kern w:val="0"/>
                <w:sz w:val="24"/>
                <w:szCs w:val="32"/>
                <w:lang w:bidi="ar"/>
              </w:rPr>
              <w:t>预算数:</w:t>
            </w:r>
          </w:p>
        </w:tc>
        <w:tc>
          <w:tcPr>
            <w:tcW w:w="14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sz w:val="24"/>
                <w:szCs w:val="32"/>
              </w:rPr>
              <w:t>20万元</w:t>
            </w:r>
          </w:p>
        </w:tc>
        <w:tc>
          <w:tcPr>
            <w:tcW w:w="29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kern w:val="0"/>
                <w:sz w:val="24"/>
                <w:szCs w:val="32"/>
                <w:lang w:bidi="ar"/>
              </w:rPr>
              <w:t>执行数:</w:t>
            </w:r>
          </w:p>
        </w:tc>
        <w:tc>
          <w:tcPr>
            <w:tcW w:w="1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sz w:val="24"/>
                <w:szCs w:val="32"/>
              </w:rPr>
              <w:t>20万元</w:t>
            </w:r>
          </w:p>
        </w:tc>
      </w:tr>
      <w:tr>
        <w:tblPrEx>
          <w:tblCellMar>
            <w:top w:w="0" w:type="dxa"/>
            <w:left w:w="0" w:type="dxa"/>
            <w:bottom w:w="0" w:type="dxa"/>
            <w:right w:w="0" w:type="dxa"/>
          </w:tblCellMar>
        </w:tblPrEx>
        <w:trPr>
          <w:trHeight w:val="57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szCs w:val="32"/>
              </w:rPr>
            </w:pPr>
          </w:p>
        </w:tc>
        <w:tc>
          <w:tcPr>
            <w:tcW w:w="22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kern w:val="0"/>
                <w:sz w:val="24"/>
                <w:szCs w:val="32"/>
                <w:lang w:bidi="ar"/>
              </w:rPr>
              <w:t>其中财政拨款:</w:t>
            </w:r>
          </w:p>
        </w:tc>
        <w:tc>
          <w:tcPr>
            <w:tcW w:w="14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sz w:val="24"/>
                <w:szCs w:val="32"/>
              </w:rPr>
              <w:t>20万元</w:t>
            </w:r>
          </w:p>
        </w:tc>
        <w:tc>
          <w:tcPr>
            <w:tcW w:w="29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kern w:val="0"/>
                <w:sz w:val="24"/>
                <w:szCs w:val="32"/>
                <w:lang w:bidi="ar"/>
              </w:rPr>
              <w:t>其中财政拨款:</w:t>
            </w:r>
          </w:p>
        </w:tc>
        <w:tc>
          <w:tcPr>
            <w:tcW w:w="1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sz w:val="24"/>
                <w:szCs w:val="32"/>
              </w:rPr>
              <w:t>20万元</w:t>
            </w:r>
          </w:p>
        </w:tc>
      </w:tr>
      <w:tr>
        <w:tblPrEx>
          <w:tblCellMar>
            <w:top w:w="0" w:type="dxa"/>
            <w:left w:w="0" w:type="dxa"/>
            <w:bottom w:w="0" w:type="dxa"/>
            <w:right w:w="0" w:type="dxa"/>
          </w:tblCellMar>
        </w:tblPrEx>
        <w:trPr>
          <w:trHeight w:val="31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szCs w:val="32"/>
              </w:rPr>
            </w:pPr>
          </w:p>
        </w:tc>
        <w:tc>
          <w:tcPr>
            <w:tcW w:w="221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kern w:val="0"/>
                <w:sz w:val="24"/>
                <w:szCs w:val="32"/>
                <w:lang w:bidi="ar"/>
              </w:rPr>
              <w:t>其它资金:</w:t>
            </w:r>
          </w:p>
        </w:tc>
        <w:tc>
          <w:tcPr>
            <w:tcW w:w="140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kern w:val="0"/>
                <w:sz w:val="24"/>
                <w:szCs w:val="32"/>
                <w:lang w:bidi="ar"/>
              </w:rPr>
              <w:t>0</w:t>
            </w:r>
          </w:p>
        </w:tc>
        <w:tc>
          <w:tcPr>
            <w:tcW w:w="29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szCs w:val="32"/>
              </w:rPr>
            </w:pPr>
            <w:r>
              <w:rPr>
                <w:rFonts w:hint="eastAsia" w:ascii="宋体" w:hAnsi="宋体" w:cs="宋体"/>
                <w:b/>
                <w:color w:val="000000"/>
                <w:kern w:val="0"/>
                <w:sz w:val="24"/>
                <w:szCs w:val="32"/>
                <w:lang w:bidi="ar"/>
              </w:rPr>
              <w:t>其它资金:</w:t>
            </w:r>
          </w:p>
        </w:tc>
        <w:tc>
          <w:tcPr>
            <w:tcW w:w="19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4"/>
                <w:szCs w:val="32"/>
              </w:rPr>
            </w:pPr>
            <w:r>
              <w:rPr>
                <w:rFonts w:hint="eastAsia" w:ascii="宋体" w:hAnsi="宋体" w:cs="宋体"/>
                <w:b/>
                <w:color w:val="000000"/>
                <w:sz w:val="24"/>
                <w:szCs w:val="32"/>
              </w:rPr>
              <w:t>0</w:t>
            </w:r>
          </w:p>
        </w:tc>
      </w:tr>
      <w:tr>
        <w:tblPrEx>
          <w:tblCellMar>
            <w:top w:w="0" w:type="dxa"/>
            <w:left w:w="0" w:type="dxa"/>
            <w:bottom w:w="0" w:type="dxa"/>
            <w:right w:w="0" w:type="dxa"/>
          </w:tblCellMar>
        </w:tblPrEx>
        <w:trPr>
          <w:trHeight w:val="311"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szCs w:val="32"/>
                <w:lang w:bidi="ar"/>
              </w:rPr>
            </w:pPr>
            <w:r>
              <w:rPr>
                <w:rFonts w:hint="eastAsia" w:ascii="宋体" w:hAnsi="宋体" w:cs="宋体"/>
                <w:color w:val="000000"/>
                <w:kern w:val="0"/>
                <w:sz w:val="24"/>
                <w:szCs w:val="32"/>
                <w:lang w:bidi="ar"/>
              </w:rPr>
              <w:t>年度</w:t>
            </w:r>
          </w:p>
          <w:p>
            <w:pPr>
              <w:widowControl/>
              <w:jc w:val="center"/>
              <w:textAlignment w:val="center"/>
              <w:rPr>
                <w:rFonts w:ascii="宋体" w:hAnsi="宋体" w:cs="宋体"/>
                <w:color w:val="000000"/>
                <w:kern w:val="0"/>
                <w:sz w:val="24"/>
                <w:szCs w:val="32"/>
                <w:lang w:bidi="ar"/>
              </w:rPr>
            </w:pPr>
            <w:r>
              <w:rPr>
                <w:rFonts w:hint="eastAsia" w:ascii="宋体" w:hAnsi="宋体" w:cs="宋体"/>
                <w:color w:val="000000"/>
                <w:kern w:val="0"/>
                <w:sz w:val="24"/>
                <w:szCs w:val="32"/>
                <w:lang w:bidi="ar"/>
              </w:rPr>
              <w:t>目标</w:t>
            </w:r>
          </w:p>
          <w:p>
            <w:pPr>
              <w:widowControl/>
              <w:ind w:firstLine="120" w:firstLineChars="50"/>
              <w:textAlignment w:val="center"/>
              <w:rPr>
                <w:rFonts w:ascii="宋体" w:hAnsi="宋体" w:cs="宋体"/>
                <w:color w:val="000000"/>
                <w:kern w:val="0"/>
                <w:sz w:val="24"/>
                <w:szCs w:val="32"/>
                <w:lang w:bidi="ar"/>
              </w:rPr>
            </w:pPr>
            <w:r>
              <w:rPr>
                <w:rFonts w:hint="eastAsia" w:ascii="宋体" w:hAnsi="宋体" w:cs="宋体"/>
                <w:color w:val="000000"/>
                <w:kern w:val="0"/>
                <w:sz w:val="24"/>
                <w:szCs w:val="32"/>
                <w:lang w:bidi="ar"/>
              </w:rPr>
              <w:t>完成</w:t>
            </w:r>
          </w:p>
          <w:p>
            <w:pPr>
              <w:widowControl/>
              <w:ind w:firstLine="120" w:firstLineChars="50"/>
              <w:textAlignment w:val="center"/>
              <w:rPr>
                <w:rFonts w:ascii="宋体" w:hAnsi="宋体" w:cs="宋体"/>
                <w:color w:val="000000"/>
                <w:kern w:val="0"/>
                <w:sz w:val="24"/>
                <w:szCs w:val="32"/>
                <w:lang w:bidi="ar"/>
              </w:rPr>
            </w:pPr>
            <w:r>
              <w:rPr>
                <w:rFonts w:hint="eastAsia" w:ascii="宋体" w:hAnsi="宋体" w:cs="宋体"/>
                <w:color w:val="000000"/>
                <w:kern w:val="0"/>
                <w:sz w:val="24"/>
                <w:szCs w:val="32"/>
                <w:lang w:bidi="ar"/>
              </w:rPr>
              <w:t>情况</w:t>
            </w:r>
          </w:p>
        </w:tc>
        <w:tc>
          <w:tcPr>
            <w:tcW w:w="362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32"/>
              </w:rPr>
            </w:pPr>
            <w:r>
              <w:rPr>
                <w:rFonts w:hint="eastAsia" w:ascii="宋体" w:hAnsi="宋体" w:cs="宋体"/>
                <w:color w:val="000000"/>
                <w:kern w:val="0"/>
                <w:sz w:val="24"/>
                <w:szCs w:val="32"/>
                <w:lang w:bidi="ar"/>
              </w:rPr>
              <w:t>预期目标</w:t>
            </w:r>
          </w:p>
        </w:tc>
        <w:tc>
          <w:tcPr>
            <w:tcW w:w="49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32"/>
              </w:rPr>
            </w:pPr>
            <w:r>
              <w:rPr>
                <w:rFonts w:hint="eastAsia" w:ascii="宋体" w:hAnsi="宋体" w:cs="宋体"/>
                <w:color w:val="000000"/>
                <w:kern w:val="0"/>
                <w:sz w:val="24"/>
                <w:szCs w:val="32"/>
                <w:lang w:bidi="ar"/>
              </w:rPr>
              <w:t>实际完成目标</w:t>
            </w:r>
          </w:p>
        </w:tc>
      </w:tr>
      <w:tr>
        <w:tblPrEx>
          <w:tblCellMar>
            <w:top w:w="0" w:type="dxa"/>
            <w:left w:w="0" w:type="dxa"/>
            <w:bottom w:w="0" w:type="dxa"/>
            <w:right w:w="0" w:type="dxa"/>
          </w:tblCellMar>
        </w:tblPrEx>
        <w:trPr>
          <w:trHeight w:val="328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362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w:t>
            </w:r>
            <w:r>
              <w:rPr>
                <w:rFonts w:ascii="宋体" w:hAnsi="宋体" w:cs="宋体"/>
                <w:color w:val="000000"/>
                <w:kern w:val="0"/>
                <w:sz w:val="22"/>
                <w:szCs w:val="21"/>
              </w:rPr>
              <w:t>以“全市基层党建底线管理示范区”创建</w:t>
            </w:r>
            <w:r>
              <w:rPr>
                <w:rFonts w:hint="eastAsia" w:ascii="宋体" w:hAnsi="宋体" w:cs="宋体"/>
                <w:color w:val="000000"/>
                <w:kern w:val="0"/>
                <w:sz w:val="22"/>
                <w:szCs w:val="21"/>
              </w:rPr>
              <w:t>为</w:t>
            </w:r>
            <w:r>
              <w:rPr>
                <w:rFonts w:ascii="宋体" w:hAnsi="宋体" w:cs="宋体"/>
                <w:color w:val="000000"/>
                <w:kern w:val="0"/>
                <w:sz w:val="22"/>
                <w:szCs w:val="21"/>
              </w:rPr>
              <w:t>目标，强化政治功能和提升组织力，</w:t>
            </w:r>
            <w:r>
              <w:rPr>
                <w:rFonts w:hint="eastAsia" w:ascii="宋体" w:hAnsi="宋体" w:cs="宋体"/>
                <w:color w:val="000000"/>
                <w:kern w:val="0"/>
                <w:sz w:val="22"/>
                <w:szCs w:val="21"/>
              </w:rPr>
              <w:t>构建底线管理“三大体系”，</w:t>
            </w:r>
            <w:r>
              <w:rPr>
                <w:rFonts w:ascii="宋体" w:hAnsi="宋体" w:cs="宋体"/>
                <w:color w:val="000000"/>
                <w:kern w:val="0"/>
                <w:sz w:val="22"/>
                <w:szCs w:val="21"/>
              </w:rPr>
              <w:t>统筹推进各领域基层党建工作，全区基层党建工作质量和影响力全面提升。</w:t>
            </w:r>
          </w:p>
        </w:tc>
        <w:tc>
          <w:tcPr>
            <w:tcW w:w="49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w:t>
            </w:r>
            <w:r>
              <w:rPr>
                <w:rFonts w:ascii="宋体" w:hAnsi="宋体" w:cs="宋体"/>
                <w:color w:val="000000"/>
                <w:kern w:val="0"/>
                <w:sz w:val="22"/>
                <w:szCs w:val="21"/>
              </w:rPr>
              <w:t>紧扣“六个基本”底线管理内容，深入开展“逐村体检、整乡提升”行动</w:t>
            </w:r>
            <w:r>
              <w:rPr>
                <w:rFonts w:hint="eastAsia" w:ascii="宋体" w:hAnsi="宋体" w:cs="宋体"/>
                <w:color w:val="000000"/>
                <w:kern w:val="0"/>
                <w:sz w:val="22"/>
                <w:szCs w:val="21"/>
              </w:rPr>
              <w:t>，</w:t>
            </w:r>
            <w:r>
              <w:rPr>
                <w:rFonts w:ascii="宋体" w:hAnsi="宋体" w:cs="宋体"/>
                <w:color w:val="000000"/>
                <w:kern w:val="0"/>
                <w:sz w:val="22"/>
                <w:szCs w:val="21"/>
              </w:rPr>
              <w:t>持续深化城市基层党建融合发展</w:t>
            </w:r>
            <w:r>
              <w:rPr>
                <w:rFonts w:hint="eastAsia" w:ascii="宋体" w:hAnsi="宋体" w:cs="宋体"/>
                <w:color w:val="000000"/>
                <w:kern w:val="0"/>
                <w:sz w:val="22"/>
                <w:szCs w:val="21"/>
              </w:rPr>
              <w:t>，</w:t>
            </w:r>
            <w:r>
              <w:rPr>
                <w:rFonts w:ascii="宋体" w:hAnsi="宋体" w:cs="宋体"/>
                <w:color w:val="000000"/>
                <w:kern w:val="0"/>
                <w:sz w:val="22"/>
                <w:szCs w:val="21"/>
              </w:rPr>
              <w:t>深化机关党建“务实亲民”品牌拓展</w:t>
            </w:r>
            <w:r>
              <w:rPr>
                <w:rFonts w:hint="eastAsia" w:ascii="宋体" w:hAnsi="宋体" w:cs="宋体"/>
                <w:color w:val="000000"/>
                <w:kern w:val="0"/>
                <w:sz w:val="22"/>
                <w:szCs w:val="21"/>
              </w:rPr>
              <w:t>，</w:t>
            </w:r>
            <w:r>
              <w:rPr>
                <w:rFonts w:ascii="宋体" w:hAnsi="宋体" w:cs="宋体"/>
                <w:color w:val="000000"/>
                <w:kern w:val="0"/>
                <w:sz w:val="22"/>
                <w:szCs w:val="21"/>
              </w:rPr>
              <w:t>加快推进新兴领域基层组织建设</w:t>
            </w:r>
            <w:r>
              <w:rPr>
                <w:rFonts w:hint="eastAsia" w:ascii="宋体" w:hAnsi="宋体" w:cs="宋体"/>
                <w:color w:val="000000"/>
                <w:kern w:val="0"/>
                <w:sz w:val="22"/>
                <w:szCs w:val="21"/>
              </w:rPr>
              <w:t>，</w:t>
            </w:r>
            <w:r>
              <w:rPr>
                <w:rFonts w:ascii="宋体" w:hAnsi="宋体" w:cs="宋体"/>
                <w:color w:val="000000"/>
                <w:kern w:val="0"/>
                <w:sz w:val="22"/>
                <w:szCs w:val="21"/>
              </w:rPr>
              <w:t>抓实抓好党员发展和教育管理</w:t>
            </w:r>
            <w:r>
              <w:rPr>
                <w:rFonts w:hint="eastAsia" w:ascii="宋体" w:hAnsi="宋体" w:cs="宋体"/>
                <w:color w:val="000000"/>
                <w:kern w:val="0"/>
                <w:sz w:val="22"/>
                <w:szCs w:val="21"/>
              </w:rPr>
              <w:t>。</w:t>
            </w:r>
            <w:r>
              <w:rPr>
                <w:rFonts w:ascii="宋体" w:hAnsi="宋体" w:cs="宋体"/>
                <w:color w:val="000000"/>
                <w:kern w:val="0"/>
                <w:sz w:val="22"/>
                <w:szCs w:val="21"/>
              </w:rPr>
              <w:t>紧扣区委中心大局谋划推进全区党的建设和组织工作，在一些难点问题上实现了新突破，在一些重点领域取得了新进展，多项工作得到中组部、省委组织部、市委组织部和区委的肯定，为推动新时代全面建设综合实力一流的现代化市辖区再上新台阶提供了坚强的组织保障。</w:t>
            </w:r>
          </w:p>
        </w:tc>
      </w:tr>
      <w:tr>
        <w:tblPrEx>
          <w:tblCellMar>
            <w:top w:w="0" w:type="dxa"/>
            <w:left w:w="0" w:type="dxa"/>
            <w:bottom w:w="0" w:type="dxa"/>
            <w:right w:w="0" w:type="dxa"/>
          </w:tblCellMar>
        </w:tblPrEx>
        <w:trPr>
          <w:trHeight w:val="614" w:hRule="atLeast"/>
        </w:trPr>
        <w:tc>
          <w:tcPr>
            <w:tcW w:w="866" w:type="dxa"/>
            <w:vMerge w:val="restart"/>
            <w:tcBorders>
              <w:top w:val="single" w:color="000000" w:sz="4" w:space="0"/>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绩</w:t>
            </w:r>
          </w:p>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效</w:t>
            </w:r>
          </w:p>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指</w:t>
            </w:r>
          </w:p>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标</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一级</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指标</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二级指标</w:t>
            </w: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三级指标</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指标值</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得分</w:t>
            </w:r>
          </w:p>
        </w:tc>
      </w:tr>
      <w:tr>
        <w:tblPrEx>
          <w:tblCellMar>
            <w:top w:w="0" w:type="dxa"/>
            <w:left w:w="0" w:type="dxa"/>
            <w:bottom w:w="0" w:type="dxa"/>
            <w:right w:w="0" w:type="dxa"/>
          </w:tblCellMar>
        </w:tblPrEx>
        <w:trPr>
          <w:trHeight w:val="396"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项目完成指标</w:t>
            </w:r>
          </w:p>
        </w:tc>
        <w:tc>
          <w:tcPr>
            <w:tcW w:w="567" w:type="dxa"/>
            <w:vMerge w:val="restart"/>
            <w:tcBorders>
              <w:top w:val="single" w:color="000000" w:sz="4" w:space="0"/>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数量指标</w:t>
            </w: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指标1：召开全区组织工作会议1次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trHeight w:val="544"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指标2：按照要求召开1次全区七一庆祝大会。</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trHeight w:val="767"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指标3：召开乡镇（街道）党（工）委书记、部分区级行业系统党委（工委）现场述职大会1次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trHeight w:val="1082"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指标4：打造机关党建示范点3个，召开机关党建工作现场推进会1次，召开部门党组（党委）书记和机关党委（党总支、党支部）书记述职会各1次。</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trHeight w:val="767"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指标5：配合市委组织部统筹分期分批选派大学生村官10人参加示范培训，全覆盖参加区内培训</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trHeight w:val="317"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指标6：严把党员入口关，全年发展党员240名</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trHeight w:val="394"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restart"/>
            <w:tcBorders>
              <w:top w:val="single" w:color="000000" w:sz="4" w:space="0"/>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质量指标</w:t>
            </w: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指标1：</w:t>
            </w:r>
            <w:r>
              <w:rPr>
                <w:rFonts w:ascii="宋体" w:hAnsi="宋体" w:cs="宋体"/>
                <w:color w:val="000000"/>
                <w:kern w:val="0"/>
                <w:sz w:val="22"/>
                <w:szCs w:val="21"/>
              </w:rPr>
              <w:t xml:space="preserve"> </w:t>
            </w:r>
            <w:r>
              <w:rPr>
                <w:rFonts w:hint="eastAsia" w:ascii="宋体" w:hAnsi="宋体" w:cs="宋体"/>
                <w:color w:val="000000"/>
                <w:kern w:val="0"/>
                <w:sz w:val="22"/>
                <w:szCs w:val="21"/>
              </w:rPr>
              <w:t>抓实抓好党员教育和教育管理。</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trHeight w:val="542"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指标2：靠实各乡镇（街道）党（工）、区级部门党委（工委）书记抓党建主体责任</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trHeight w:val="767"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指标3：提高全区机关党建工作整体水平，充分发挥机关党组织和党员干部在服务全区中心工作的作用。</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trHeight w:val="363"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指标4：会议组织策划好，开展有序。</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trHeight w:val="255"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restart"/>
            <w:tcBorders>
              <w:top w:val="single" w:color="000000" w:sz="4" w:space="0"/>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时效指标</w:t>
            </w: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指标1：3月份召开全区组织工作会议，会议时间1天。</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CellMar>
            <w:top w:w="0" w:type="dxa"/>
            <w:left w:w="0" w:type="dxa"/>
            <w:bottom w:w="0" w:type="dxa"/>
            <w:right w:w="0" w:type="dxa"/>
          </w:tblCellMar>
        </w:tblPrEx>
        <w:trPr>
          <w:trHeight w:val="331"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指标2：七一前夕召开全区七一庆祝大会，时间为半天。</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CellMar>
            <w:top w:w="0" w:type="dxa"/>
            <w:left w:w="0" w:type="dxa"/>
            <w:bottom w:w="0" w:type="dxa"/>
            <w:right w:w="0" w:type="dxa"/>
          </w:tblCellMar>
        </w:tblPrEx>
        <w:trPr>
          <w:trHeight w:val="690"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指标3： 12月下旬开展各乡镇（街道）党（工）委、区级部门党委（工委）书记抓党建述职评议考核工作。</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CellMar>
            <w:top w:w="0" w:type="dxa"/>
            <w:left w:w="0" w:type="dxa"/>
            <w:bottom w:w="0" w:type="dxa"/>
            <w:right w:w="0" w:type="dxa"/>
          </w:tblCellMar>
        </w:tblPrEx>
        <w:trPr>
          <w:trHeight w:val="261"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指标4：5月、11月召开机关党建工作现场推进会。</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3</w:t>
            </w:r>
          </w:p>
        </w:tc>
      </w:tr>
      <w:tr>
        <w:tblPrEx>
          <w:tblCellMar>
            <w:top w:w="0" w:type="dxa"/>
            <w:left w:w="0" w:type="dxa"/>
            <w:bottom w:w="0" w:type="dxa"/>
            <w:right w:w="0" w:type="dxa"/>
          </w:tblCellMar>
        </w:tblPrEx>
        <w:trPr>
          <w:trHeight w:val="620"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社会效益指标</w:t>
            </w:r>
          </w:p>
        </w:tc>
        <w:tc>
          <w:tcPr>
            <w:tcW w:w="567" w:type="dxa"/>
            <w:vMerge w:val="restart"/>
            <w:tcBorders>
              <w:top w:val="single" w:color="000000" w:sz="4" w:space="0"/>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社会效益指标</w:t>
            </w: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指标1：强化党员教育管理，全区党员的党性意识进一步增强，先锋模范作用进一步发挥。</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CellMar>
            <w:top w:w="0" w:type="dxa"/>
            <w:left w:w="0" w:type="dxa"/>
            <w:bottom w:w="0" w:type="dxa"/>
            <w:right w:w="0" w:type="dxa"/>
          </w:tblCellMar>
        </w:tblPrEx>
        <w:trPr>
          <w:trHeight w:val="767"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指标2：机关党组织和党员干部服务社会的能力和水平及干部群众的认可度得到提升。</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CellMar>
            <w:top w:w="0" w:type="dxa"/>
            <w:left w:w="0" w:type="dxa"/>
            <w:bottom w:w="0" w:type="dxa"/>
            <w:right w:w="0" w:type="dxa"/>
          </w:tblCellMar>
        </w:tblPrEx>
        <w:trPr>
          <w:trHeight w:val="571"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指标3：深入开展</w:t>
            </w:r>
            <w:r>
              <w:rPr>
                <w:rFonts w:hint="eastAsia" w:ascii="宋体" w:hAnsi="宋体" w:cs="宋体"/>
                <w:color w:val="000000"/>
                <w:kern w:val="0"/>
                <w:sz w:val="22"/>
                <w:szCs w:val="21"/>
                <w:lang w:eastAsia="zh-CN"/>
              </w:rPr>
              <w:t>扫黑除恶专项斗争</w:t>
            </w:r>
            <w:r>
              <w:rPr>
                <w:rFonts w:hint="eastAsia" w:ascii="宋体" w:hAnsi="宋体" w:cs="宋体"/>
                <w:color w:val="000000"/>
                <w:kern w:val="0"/>
                <w:sz w:val="22"/>
                <w:szCs w:val="21"/>
              </w:rPr>
              <w:t>，软弱涣散基层党组织得到有效整顿。</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CellMar>
            <w:top w:w="0" w:type="dxa"/>
            <w:left w:w="0" w:type="dxa"/>
            <w:bottom w:w="0" w:type="dxa"/>
            <w:right w:w="0" w:type="dxa"/>
          </w:tblCellMar>
        </w:tblPrEx>
        <w:trPr>
          <w:trHeight w:val="767" w:hRule="atLeast"/>
        </w:trPr>
        <w:tc>
          <w:tcPr>
            <w:tcW w:w="866" w:type="dxa"/>
            <w:vMerge w:val="continue"/>
            <w:tcBorders>
              <w:left w:val="single" w:color="000000" w:sz="4" w:space="0"/>
              <w:right w:val="single" w:color="000000" w:sz="4" w:space="0"/>
            </w:tcBorders>
            <w:vAlign w:val="center"/>
          </w:tcPr>
          <w:p>
            <w:pPr>
              <w:widowControl/>
              <w:spacing w:line="320" w:lineRule="exact"/>
              <w:jc w:val="left"/>
              <w:rPr>
                <w:rFonts w:ascii="宋体" w:hAnsi="宋体" w:cs="宋体"/>
                <w:color w:val="000000"/>
                <w:kern w:val="0"/>
                <w:sz w:val="22"/>
                <w:szCs w:val="21"/>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567"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指标4：推动形成严抓严管、敢抓敢管、常抓长管良好态势，全面从严治党深入人心。</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CellMar>
            <w:top w:w="0" w:type="dxa"/>
            <w:left w:w="0" w:type="dxa"/>
            <w:bottom w:w="0" w:type="dxa"/>
            <w:right w:w="0" w:type="dxa"/>
          </w:tblCellMar>
        </w:tblPrEx>
        <w:trPr>
          <w:trHeight w:val="251" w:hRule="atLeast"/>
        </w:trPr>
        <w:tc>
          <w:tcPr>
            <w:tcW w:w="866" w:type="dxa"/>
            <w:vMerge w:val="continue"/>
            <w:tcBorders>
              <w:left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cs="宋体"/>
                <w:kern w:val="0"/>
                <w:sz w:val="24"/>
              </w:rPr>
            </w:pPr>
          </w:p>
        </w:tc>
        <w:tc>
          <w:tcPr>
            <w:tcW w:w="567"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可持续影响指标</w:t>
            </w: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指标1：丰富党员教育管理内容，社会影响力稳步提升。</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CellMar>
            <w:top w:w="0" w:type="dxa"/>
            <w:left w:w="0" w:type="dxa"/>
            <w:bottom w:w="0" w:type="dxa"/>
            <w:right w:w="0" w:type="dxa"/>
          </w:tblCellMar>
        </w:tblPrEx>
        <w:trPr>
          <w:trHeight w:val="327" w:hRule="atLeast"/>
        </w:trPr>
        <w:tc>
          <w:tcPr>
            <w:tcW w:w="866" w:type="dxa"/>
            <w:vMerge w:val="continue"/>
            <w:tcBorders>
              <w:left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cs="宋体"/>
                <w:kern w:val="0"/>
                <w:sz w:val="24"/>
              </w:rPr>
            </w:pPr>
          </w:p>
        </w:tc>
        <w:tc>
          <w:tcPr>
            <w:tcW w:w="567" w:type="dxa"/>
            <w:vMerge w:val="continue"/>
            <w:tcBorders>
              <w:left w:val="single" w:color="000000" w:sz="4" w:space="0"/>
              <w:right w:val="single" w:color="000000" w:sz="4" w:space="0"/>
            </w:tcBorders>
            <w:vAlign w:val="center"/>
          </w:tcPr>
          <w:p>
            <w:pPr>
              <w:widowControl/>
              <w:jc w:val="center"/>
              <w:rPr>
                <w:rFonts w:ascii="宋体" w:hAnsi="宋体" w:cs="宋体"/>
                <w:kern w:val="0"/>
                <w:sz w:val="24"/>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指标2：持续巩固利州良好政治生态</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CellMar>
            <w:top w:w="0" w:type="dxa"/>
            <w:left w:w="0" w:type="dxa"/>
            <w:bottom w:w="0" w:type="dxa"/>
            <w:right w:w="0" w:type="dxa"/>
          </w:tblCellMar>
        </w:tblPrEx>
        <w:trPr>
          <w:trHeight w:val="700" w:hRule="atLeast"/>
        </w:trPr>
        <w:tc>
          <w:tcPr>
            <w:tcW w:w="866" w:type="dxa"/>
            <w:vMerge w:val="continue"/>
            <w:tcBorders>
              <w:left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cs="宋体"/>
                <w:kern w:val="0"/>
                <w:sz w:val="24"/>
              </w:rPr>
            </w:pPr>
          </w:p>
        </w:tc>
        <w:tc>
          <w:tcPr>
            <w:tcW w:w="567" w:type="dxa"/>
            <w:vMerge w:val="continue"/>
            <w:tcBorders>
              <w:left w:val="single" w:color="000000" w:sz="4" w:space="0"/>
              <w:right w:val="single" w:color="000000" w:sz="4" w:space="0"/>
            </w:tcBorders>
            <w:vAlign w:val="center"/>
          </w:tcPr>
          <w:p>
            <w:pPr>
              <w:widowControl/>
              <w:jc w:val="center"/>
              <w:rPr>
                <w:rFonts w:ascii="宋体" w:hAnsi="宋体" w:cs="宋体"/>
                <w:kern w:val="0"/>
                <w:sz w:val="24"/>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指标3：党建工作薄弱问题有效整改，建立健全以上率下、狠抓党建责任落实工作体系。</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CellMar>
            <w:top w:w="0" w:type="dxa"/>
            <w:left w:w="0" w:type="dxa"/>
            <w:bottom w:w="0" w:type="dxa"/>
            <w:right w:w="0" w:type="dxa"/>
          </w:tblCellMar>
        </w:tblPrEx>
        <w:trPr>
          <w:trHeight w:val="527" w:hRule="atLeast"/>
        </w:trPr>
        <w:tc>
          <w:tcPr>
            <w:tcW w:w="866" w:type="dxa"/>
            <w:vMerge w:val="continue"/>
            <w:tcBorders>
              <w:left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5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cs="宋体"/>
                <w:kern w:val="0"/>
                <w:sz w:val="24"/>
              </w:rPr>
            </w:pPr>
          </w:p>
        </w:tc>
        <w:tc>
          <w:tcPr>
            <w:tcW w:w="56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指标4：机关党建基层基础工作进一步夯实，机关党员干部的能力素质明显增强。</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4</w:t>
            </w:r>
          </w:p>
        </w:tc>
      </w:tr>
      <w:tr>
        <w:tblPrEx>
          <w:tblCellMar>
            <w:top w:w="0" w:type="dxa"/>
            <w:left w:w="0" w:type="dxa"/>
            <w:bottom w:w="0" w:type="dxa"/>
            <w:right w:w="0" w:type="dxa"/>
          </w:tblCellMar>
        </w:tblPrEx>
        <w:trPr>
          <w:trHeight w:val="415" w:hRule="atLeast"/>
        </w:trPr>
        <w:tc>
          <w:tcPr>
            <w:tcW w:w="866" w:type="dxa"/>
            <w:vMerge w:val="continue"/>
            <w:tcBorders>
              <w:left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5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567"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指标1：协作部门满意度100%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CellMar>
            <w:top w:w="0" w:type="dxa"/>
            <w:left w:w="0" w:type="dxa"/>
            <w:bottom w:w="0" w:type="dxa"/>
            <w:right w:w="0" w:type="dxa"/>
          </w:tblCellMar>
        </w:tblPrEx>
        <w:trPr>
          <w:trHeight w:val="394" w:hRule="atLeast"/>
        </w:trPr>
        <w:tc>
          <w:tcPr>
            <w:tcW w:w="866" w:type="dxa"/>
            <w:vMerge w:val="continue"/>
            <w:tcBorders>
              <w:left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567"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cs="宋体"/>
                <w:kern w:val="0"/>
                <w:sz w:val="24"/>
              </w:rPr>
            </w:pPr>
          </w:p>
        </w:tc>
        <w:tc>
          <w:tcPr>
            <w:tcW w:w="567" w:type="dxa"/>
            <w:vMerge w:val="continue"/>
            <w:tcBorders>
              <w:left w:val="single" w:color="000000" w:sz="4" w:space="0"/>
              <w:right w:val="single" w:color="000000" w:sz="4" w:space="0"/>
            </w:tcBorders>
            <w:vAlign w:val="center"/>
          </w:tcPr>
          <w:p>
            <w:pPr>
              <w:widowControl/>
              <w:jc w:val="center"/>
              <w:rPr>
                <w:rFonts w:ascii="宋体" w:hAnsi="宋体" w:cs="宋体"/>
                <w:kern w:val="0"/>
                <w:sz w:val="24"/>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指标2：基层党员干部满意度95%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r>
        <w:tblPrEx>
          <w:tblCellMar>
            <w:top w:w="0" w:type="dxa"/>
            <w:left w:w="0" w:type="dxa"/>
            <w:bottom w:w="0" w:type="dxa"/>
            <w:right w:w="0" w:type="dxa"/>
          </w:tblCellMar>
        </w:tblPrEx>
        <w:trPr>
          <w:trHeight w:val="323" w:hRule="atLeast"/>
        </w:trPr>
        <w:tc>
          <w:tcPr>
            <w:tcW w:w="866" w:type="dxa"/>
            <w:vMerge w:val="continue"/>
            <w:tcBorders>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5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cs="宋体"/>
                <w:kern w:val="0"/>
                <w:sz w:val="24"/>
              </w:rPr>
            </w:pPr>
          </w:p>
        </w:tc>
        <w:tc>
          <w:tcPr>
            <w:tcW w:w="56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567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left"/>
              <w:rPr>
                <w:rFonts w:ascii="宋体" w:hAnsi="宋体" w:cs="宋体"/>
                <w:color w:val="000000"/>
                <w:kern w:val="0"/>
                <w:sz w:val="22"/>
                <w:szCs w:val="21"/>
              </w:rPr>
            </w:pPr>
            <w:r>
              <w:rPr>
                <w:rFonts w:hint="eastAsia" w:ascii="宋体" w:hAnsi="宋体" w:cs="宋体"/>
                <w:color w:val="000000"/>
                <w:kern w:val="0"/>
                <w:sz w:val="22"/>
                <w:szCs w:val="21"/>
              </w:rPr>
              <w:t xml:space="preserve"> 指标3：社会公众满意度95%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w:t>
            </w:r>
          </w:p>
        </w:tc>
      </w:tr>
    </w:tbl>
    <w:p/>
    <w:p>
      <w:r>
        <w:br w:type="page"/>
      </w:r>
    </w:p>
    <w:tbl>
      <w:tblPr>
        <w:tblStyle w:val="13"/>
        <w:tblW w:w="15529" w:type="dxa"/>
        <w:tblInd w:w="108" w:type="dxa"/>
        <w:tblLayout w:type="fixed"/>
        <w:tblCellMar>
          <w:top w:w="0" w:type="dxa"/>
          <w:left w:w="108" w:type="dxa"/>
          <w:bottom w:w="0" w:type="dxa"/>
          <w:right w:w="108" w:type="dxa"/>
        </w:tblCellMar>
      </w:tblPr>
      <w:tblGrid>
        <w:gridCol w:w="9621"/>
        <w:gridCol w:w="436"/>
        <w:gridCol w:w="656"/>
        <w:gridCol w:w="876"/>
        <w:gridCol w:w="1080"/>
        <w:gridCol w:w="1080"/>
        <w:gridCol w:w="1780"/>
      </w:tblGrid>
      <w:tr>
        <w:tblPrEx>
          <w:tblCellMar>
            <w:top w:w="0" w:type="dxa"/>
            <w:left w:w="108" w:type="dxa"/>
            <w:bottom w:w="0" w:type="dxa"/>
            <w:right w:w="108" w:type="dxa"/>
          </w:tblCellMar>
        </w:tblPrEx>
        <w:trPr>
          <w:trHeight w:val="9498" w:hRule="atLeast"/>
        </w:trPr>
        <w:tc>
          <w:tcPr>
            <w:tcW w:w="9621" w:type="dxa"/>
            <w:tcBorders>
              <w:top w:val="nil"/>
              <w:left w:val="nil"/>
              <w:bottom w:val="nil"/>
              <w:right w:val="nil"/>
            </w:tcBorders>
            <w:shd w:val="clear" w:color="auto" w:fill="auto"/>
            <w:vAlign w:val="center"/>
          </w:tcPr>
          <w:tbl>
            <w:tblPr>
              <w:tblStyle w:val="13"/>
              <w:tblpPr w:leftFromText="180" w:rightFromText="180" w:vertAnchor="text" w:horzAnchor="page" w:tblpXSpec="center" w:tblpY="423"/>
              <w:tblOverlap w:val="never"/>
              <w:tblW w:w="10358" w:type="dxa"/>
              <w:tblInd w:w="0" w:type="dxa"/>
              <w:tblLayout w:type="fixed"/>
              <w:tblCellMar>
                <w:top w:w="0" w:type="dxa"/>
                <w:left w:w="0" w:type="dxa"/>
                <w:bottom w:w="0" w:type="dxa"/>
                <w:right w:w="0" w:type="dxa"/>
              </w:tblCellMar>
            </w:tblPr>
            <w:tblGrid>
              <w:gridCol w:w="1134"/>
              <w:gridCol w:w="1193"/>
              <w:gridCol w:w="853"/>
              <w:gridCol w:w="1923"/>
              <w:gridCol w:w="2171"/>
              <w:gridCol w:w="404"/>
              <w:gridCol w:w="614"/>
              <w:gridCol w:w="639"/>
              <w:gridCol w:w="1427"/>
            </w:tblGrid>
            <w:tr>
              <w:tblPrEx>
                <w:tblCellMar>
                  <w:top w:w="0" w:type="dxa"/>
                  <w:left w:w="0" w:type="dxa"/>
                  <w:bottom w:w="0" w:type="dxa"/>
                  <w:right w:w="0" w:type="dxa"/>
                </w:tblCellMar>
              </w:tblPrEx>
              <w:trPr>
                <w:gridAfter w:val="1"/>
                <w:wAfter w:w="1427" w:type="dxa"/>
                <w:trHeight w:val="362" w:hRule="atLeast"/>
              </w:trPr>
              <w:tc>
                <w:tcPr>
                  <w:tcW w:w="8931" w:type="dxa"/>
                  <w:gridSpan w:val="8"/>
                  <w:tcBorders>
                    <w:bottom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2"/>
                      <w:szCs w:val="32"/>
                      <w:lang w:bidi="ar"/>
                    </w:rPr>
                  </w:pPr>
                  <w:r>
                    <w:br w:type="page"/>
                  </w:r>
                  <w:r>
                    <w:rPr>
                      <w:rFonts w:hint="eastAsia" w:ascii="宋体" w:hAnsi="宋体" w:cs="宋体"/>
                      <w:b/>
                      <w:bCs/>
                      <w:color w:val="000000"/>
                      <w:kern w:val="0"/>
                      <w:sz w:val="32"/>
                      <w:szCs w:val="32"/>
                      <w:lang w:bidi="ar"/>
                    </w:rPr>
                    <w:t>项目支出绩效目标完成情况表</w:t>
                  </w:r>
                </w:p>
                <w:p>
                  <w:pPr>
                    <w:widowControl/>
                    <w:jc w:val="center"/>
                    <w:textAlignment w:val="center"/>
                    <w:rPr>
                      <w:rFonts w:ascii="仿宋_GB2312" w:hAnsi="宋体" w:eastAsia="仿宋_GB2312" w:cs="宋体"/>
                      <w:b/>
                      <w:color w:val="000000"/>
                      <w:sz w:val="32"/>
                      <w:szCs w:val="32"/>
                    </w:rPr>
                  </w:pPr>
                  <w:r>
                    <w:rPr>
                      <w:rFonts w:hint="eastAsia" w:ascii="仿宋_GB2312" w:hAnsi="宋体" w:eastAsia="仿宋_GB2312" w:cs="宋体"/>
                      <w:b/>
                      <w:color w:val="000000"/>
                      <w:kern w:val="0"/>
                      <w:sz w:val="32"/>
                      <w:szCs w:val="32"/>
                      <w:lang w:bidi="ar"/>
                    </w:rPr>
                    <w:t>(2018 年度)</w:t>
                  </w:r>
                </w:p>
              </w:tc>
            </w:tr>
            <w:tr>
              <w:tblPrEx>
                <w:tblCellMar>
                  <w:top w:w="0" w:type="dxa"/>
                  <w:left w:w="0" w:type="dxa"/>
                  <w:bottom w:w="0" w:type="dxa"/>
                  <w:right w:w="0" w:type="dxa"/>
                </w:tblCellMar>
              </w:tblPrEx>
              <w:trPr>
                <w:gridAfter w:val="1"/>
                <w:wAfter w:w="1427" w:type="dxa"/>
                <w:trHeight w:val="358" w:hRule="atLeast"/>
              </w:trPr>
              <w:tc>
                <w:tcPr>
                  <w:tcW w:w="31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项目名称</w:t>
                  </w:r>
                </w:p>
              </w:tc>
              <w:tc>
                <w:tcPr>
                  <w:tcW w:w="5751"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4"/>
                    </w:rPr>
                  </w:pPr>
                  <w:r>
                    <w:rPr>
                      <w:rFonts w:hint="eastAsia" w:ascii="宋体" w:hAnsi="宋体" w:cs="宋体"/>
                      <w:b/>
                      <w:color w:val="000000"/>
                      <w:sz w:val="24"/>
                    </w:rPr>
                    <w:t>公务用车运行维护</w:t>
                  </w:r>
                </w:p>
              </w:tc>
            </w:tr>
            <w:tr>
              <w:tblPrEx>
                <w:tblCellMar>
                  <w:top w:w="0" w:type="dxa"/>
                  <w:left w:w="0" w:type="dxa"/>
                  <w:bottom w:w="0" w:type="dxa"/>
                  <w:right w:w="0" w:type="dxa"/>
                </w:tblCellMar>
              </w:tblPrEx>
              <w:trPr>
                <w:gridAfter w:val="1"/>
                <w:wAfter w:w="1427" w:type="dxa"/>
                <w:trHeight w:val="97" w:hRule="atLeast"/>
              </w:trPr>
              <w:tc>
                <w:tcPr>
                  <w:tcW w:w="31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预算单位</w:t>
                  </w:r>
                </w:p>
              </w:tc>
              <w:tc>
                <w:tcPr>
                  <w:tcW w:w="5751"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中共广元市利州区委组织部</w:t>
                  </w:r>
                </w:p>
              </w:tc>
            </w:tr>
            <w:tr>
              <w:tblPrEx>
                <w:tblCellMar>
                  <w:top w:w="0" w:type="dxa"/>
                  <w:left w:w="0" w:type="dxa"/>
                  <w:bottom w:w="0" w:type="dxa"/>
                  <w:right w:w="0" w:type="dxa"/>
                </w:tblCellMar>
              </w:tblPrEx>
              <w:trPr>
                <w:gridAfter w:val="1"/>
                <w:wAfter w:w="1427" w:type="dxa"/>
                <w:trHeight w:val="97" w:hRule="atLeast"/>
              </w:trPr>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预算执行情况</w:t>
                  </w:r>
                </w:p>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(万元)</w:t>
                  </w:r>
                </w:p>
              </w:tc>
              <w:tc>
                <w:tcPr>
                  <w:tcW w:w="20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预算数:</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5.1万元</w:t>
                  </w:r>
                </w:p>
              </w:tc>
              <w:tc>
                <w:tcPr>
                  <w:tcW w:w="25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执行数:</w:t>
                  </w:r>
                </w:p>
              </w:tc>
              <w:tc>
                <w:tcPr>
                  <w:tcW w:w="12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4.68万元</w:t>
                  </w:r>
                </w:p>
              </w:tc>
            </w:tr>
            <w:tr>
              <w:tblPrEx>
                <w:tblCellMar>
                  <w:top w:w="0" w:type="dxa"/>
                  <w:left w:w="0" w:type="dxa"/>
                  <w:bottom w:w="0" w:type="dxa"/>
                  <w:right w:w="0" w:type="dxa"/>
                </w:tblCellMar>
              </w:tblPrEx>
              <w:trPr>
                <w:gridAfter w:val="1"/>
                <w:wAfter w:w="1427" w:type="dxa"/>
                <w:trHeight w:val="303"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4"/>
                    </w:rPr>
                  </w:pPr>
                </w:p>
              </w:tc>
              <w:tc>
                <w:tcPr>
                  <w:tcW w:w="20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其中财政拨款:</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5.1万元</w:t>
                  </w:r>
                </w:p>
              </w:tc>
              <w:tc>
                <w:tcPr>
                  <w:tcW w:w="25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其中财政拨款:</w:t>
                  </w:r>
                </w:p>
              </w:tc>
              <w:tc>
                <w:tcPr>
                  <w:tcW w:w="12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sz w:val="24"/>
                    </w:rPr>
                    <w:t>4.68万元</w:t>
                  </w:r>
                </w:p>
              </w:tc>
            </w:tr>
            <w:tr>
              <w:tblPrEx>
                <w:tblCellMar>
                  <w:top w:w="0" w:type="dxa"/>
                  <w:left w:w="0" w:type="dxa"/>
                  <w:bottom w:w="0" w:type="dxa"/>
                  <w:right w:w="0" w:type="dxa"/>
                </w:tblCellMar>
              </w:tblPrEx>
              <w:trPr>
                <w:gridAfter w:val="1"/>
                <w:wAfter w:w="1427" w:type="dxa"/>
                <w:trHeight w:val="175"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4"/>
                    </w:rPr>
                  </w:pPr>
                </w:p>
              </w:tc>
              <w:tc>
                <w:tcPr>
                  <w:tcW w:w="20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其它资金:</w:t>
                  </w:r>
                </w:p>
              </w:tc>
              <w:tc>
                <w:tcPr>
                  <w:tcW w:w="19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0</w:t>
                  </w:r>
                </w:p>
              </w:tc>
              <w:tc>
                <w:tcPr>
                  <w:tcW w:w="25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其它资金:</w:t>
                  </w:r>
                </w:p>
              </w:tc>
              <w:tc>
                <w:tcPr>
                  <w:tcW w:w="12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b/>
                      <w:color w:val="000000"/>
                      <w:sz w:val="24"/>
                    </w:rPr>
                  </w:pPr>
                  <w:r>
                    <w:rPr>
                      <w:rFonts w:hint="eastAsia" w:ascii="宋体" w:hAnsi="宋体" w:cs="宋体"/>
                      <w:b/>
                      <w:color w:val="000000"/>
                      <w:sz w:val="24"/>
                    </w:rPr>
                    <w:t>0</w:t>
                  </w:r>
                </w:p>
              </w:tc>
            </w:tr>
            <w:tr>
              <w:tblPrEx>
                <w:tblCellMar>
                  <w:top w:w="0" w:type="dxa"/>
                  <w:left w:w="0" w:type="dxa"/>
                  <w:bottom w:w="0" w:type="dxa"/>
                  <w:right w:w="0" w:type="dxa"/>
                </w:tblCellMar>
              </w:tblPrEx>
              <w:trPr>
                <w:gridAfter w:val="1"/>
                <w:wAfter w:w="1427" w:type="dxa"/>
                <w:trHeight w:val="97" w:hRule="atLeast"/>
              </w:trPr>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年度</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目标</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完成</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情况</w:t>
                  </w:r>
                </w:p>
              </w:tc>
              <w:tc>
                <w:tcPr>
                  <w:tcW w:w="3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82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gridAfter w:val="1"/>
                <w:wAfter w:w="1427" w:type="dxa"/>
                <w:trHeight w:val="2013"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24"/>
                    </w:rPr>
                  </w:pPr>
                </w:p>
              </w:tc>
              <w:tc>
                <w:tcPr>
                  <w:tcW w:w="396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 xml:space="preserve">   严格按照公务用车运行相关规定，坚持“规范、节约、透明”的原则，切实加强公务用车的使用管理，重点保障老干部工作开展及老干部应急用车，处置老干部突发事件，杜绝违规用车情况发生。</w:t>
                  </w:r>
                </w:p>
              </w:tc>
              <w:tc>
                <w:tcPr>
                  <w:tcW w:w="382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 xml:space="preserve">   严格遵守公务用车各项规定，厉行节约，制定和完善了本单位车辆管理制度，切实加强对公务车辆的监管，严格控制车辆燃油费、维修费等运行费用，全年运行维护费控制在预算范围内。</w:t>
                  </w:r>
                </w:p>
              </w:tc>
            </w:tr>
            <w:tr>
              <w:tblPrEx>
                <w:tblCellMar>
                  <w:top w:w="0" w:type="dxa"/>
                  <w:left w:w="0" w:type="dxa"/>
                  <w:bottom w:w="0" w:type="dxa"/>
                  <w:right w:w="0" w:type="dxa"/>
                </w:tblCellMar>
              </w:tblPrEx>
              <w:trPr>
                <w:trHeight w:val="711" w:hRule="atLeast"/>
              </w:trPr>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一级</w:t>
                  </w:r>
                  <w:r>
                    <w:rPr>
                      <w:rFonts w:hint="eastAsia" w:ascii="宋体" w:hAnsi="宋体" w:cs="宋体"/>
                      <w:color w:val="000000"/>
                      <w:kern w:val="0"/>
                      <w:sz w:val="22"/>
                      <w:szCs w:val="21"/>
                    </w:rPr>
                    <w:br w:type="textWrapping"/>
                  </w:r>
                  <w:r>
                    <w:rPr>
                      <w:rFonts w:hint="eastAsia" w:ascii="宋体" w:hAnsi="宋体" w:cs="宋体"/>
                      <w:color w:val="000000"/>
                      <w:kern w:val="0"/>
                      <w:sz w:val="22"/>
                      <w:szCs w:val="21"/>
                    </w:rPr>
                    <w:t>指标</w:t>
                  </w: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二级指标</w:t>
                  </w:r>
                </w:p>
              </w:tc>
              <w:tc>
                <w:tcPr>
                  <w:tcW w:w="494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三级指标</w:t>
                  </w: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指标值</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得分</w:t>
                  </w:r>
                </w:p>
              </w:tc>
              <w:tc>
                <w:tcPr>
                  <w:tcW w:w="1427" w:type="dxa"/>
                  <w:vAlign w:val="center"/>
                </w:tcPr>
                <w:p>
                  <w:pPr>
                    <w:widowControl/>
                    <w:spacing w:line="320" w:lineRule="exact"/>
                    <w:jc w:val="center"/>
                    <w:rPr>
                      <w:rFonts w:ascii="宋体" w:hAnsi="宋体" w:cs="宋体"/>
                      <w:color w:val="000000"/>
                      <w:kern w:val="0"/>
                      <w:sz w:val="22"/>
                      <w:szCs w:val="21"/>
                    </w:rPr>
                  </w:pPr>
                </w:p>
              </w:tc>
            </w:tr>
            <w:tr>
              <w:tblPrEx>
                <w:tblCellMar>
                  <w:top w:w="0" w:type="dxa"/>
                  <w:left w:w="0" w:type="dxa"/>
                  <w:bottom w:w="0" w:type="dxa"/>
                  <w:right w:w="0" w:type="dxa"/>
                </w:tblCellMar>
              </w:tblPrEx>
              <w:trPr>
                <w:gridAfter w:val="1"/>
                <w:wAfter w:w="1427" w:type="dxa"/>
                <w:trHeight w:val="554" w:hRule="atLeast"/>
              </w:trPr>
              <w:tc>
                <w:tcPr>
                  <w:tcW w:w="1134" w:type="dxa"/>
                  <w:vMerge w:val="restart"/>
                  <w:tcBorders>
                    <w:top w:val="single" w:color="000000" w:sz="4" w:space="0"/>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绩效</w:t>
                  </w:r>
                </w:p>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指标</w:t>
                  </w:r>
                </w:p>
              </w:tc>
              <w:tc>
                <w:tcPr>
                  <w:tcW w:w="1193"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质量指标</w:t>
                  </w:r>
                </w:p>
              </w:tc>
              <w:tc>
                <w:tcPr>
                  <w:tcW w:w="4947"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rPr>
                      <w:rFonts w:ascii="宋体" w:hAnsi="宋体" w:cs="宋体"/>
                      <w:color w:val="000000"/>
                      <w:kern w:val="0"/>
                      <w:sz w:val="22"/>
                      <w:szCs w:val="21"/>
                    </w:rPr>
                  </w:pPr>
                  <w:r>
                    <w:rPr>
                      <w:rFonts w:hint="eastAsia" w:ascii="宋体" w:hAnsi="宋体" w:cs="宋体"/>
                      <w:color w:val="000000"/>
                      <w:kern w:val="0"/>
                      <w:sz w:val="22"/>
                      <w:szCs w:val="21"/>
                    </w:rPr>
                    <w:t>指标1：全力保障老干部工作督促检查指导和参观活动用车</w:t>
                  </w: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15</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15</w:t>
                  </w:r>
                </w:p>
              </w:tc>
            </w:tr>
            <w:tr>
              <w:tblPrEx>
                <w:tblCellMar>
                  <w:top w:w="0" w:type="dxa"/>
                  <w:left w:w="0" w:type="dxa"/>
                  <w:bottom w:w="0" w:type="dxa"/>
                  <w:right w:w="0" w:type="dxa"/>
                </w:tblCellMar>
              </w:tblPrEx>
              <w:trPr>
                <w:gridAfter w:val="1"/>
                <w:wAfter w:w="1427" w:type="dxa"/>
                <w:trHeight w:val="694" w:hRule="atLeast"/>
              </w:trPr>
              <w:tc>
                <w:tcPr>
                  <w:tcW w:w="1134"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193"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4947"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rPr>
                      <w:rFonts w:ascii="宋体" w:hAnsi="宋体" w:cs="宋体"/>
                      <w:color w:val="000000"/>
                      <w:kern w:val="0"/>
                      <w:sz w:val="22"/>
                      <w:szCs w:val="21"/>
                    </w:rPr>
                  </w:pPr>
                  <w:r>
                    <w:rPr>
                      <w:rFonts w:hint="eastAsia" w:ascii="宋体" w:hAnsi="宋体" w:cs="宋体"/>
                      <w:color w:val="000000"/>
                      <w:kern w:val="0"/>
                      <w:sz w:val="22"/>
                      <w:szCs w:val="21"/>
                    </w:rPr>
                    <w:t>指标2：全力保障老干部生病、参加学习接送等用车</w:t>
                  </w: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15</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15</w:t>
                  </w:r>
                </w:p>
              </w:tc>
            </w:tr>
            <w:tr>
              <w:tblPrEx>
                <w:tblCellMar>
                  <w:top w:w="0" w:type="dxa"/>
                  <w:left w:w="0" w:type="dxa"/>
                  <w:bottom w:w="0" w:type="dxa"/>
                  <w:right w:w="0" w:type="dxa"/>
                </w:tblCellMar>
              </w:tblPrEx>
              <w:trPr>
                <w:gridAfter w:val="1"/>
                <w:wAfter w:w="1427" w:type="dxa"/>
                <w:trHeight w:val="624" w:hRule="atLeast"/>
              </w:trPr>
              <w:tc>
                <w:tcPr>
                  <w:tcW w:w="1134"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193"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4947"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rPr>
                      <w:rFonts w:ascii="宋体" w:hAnsi="宋体" w:cs="宋体"/>
                      <w:color w:val="000000"/>
                      <w:kern w:val="0"/>
                      <w:sz w:val="22"/>
                      <w:szCs w:val="21"/>
                    </w:rPr>
                  </w:pPr>
                  <w:r>
                    <w:rPr>
                      <w:rFonts w:hint="eastAsia" w:ascii="宋体" w:hAnsi="宋体" w:cs="宋体"/>
                      <w:color w:val="000000"/>
                      <w:kern w:val="0"/>
                      <w:sz w:val="22"/>
                      <w:szCs w:val="21"/>
                    </w:rPr>
                    <w:t>指标3：全力保障老干部去世、信访等突发事件应急用车。</w:t>
                  </w: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15</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15</w:t>
                  </w:r>
                </w:p>
              </w:tc>
            </w:tr>
            <w:tr>
              <w:tblPrEx>
                <w:tblCellMar>
                  <w:top w:w="0" w:type="dxa"/>
                  <w:left w:w="0" w:type="dxa"/>
                  <w:bottom w:w="0" w:type="dxa"/>
                  <w:right w:w="0" w:type="dxa"/>
                </w:tblCellMar>
              </w:tblPrEx>
              <w:trPr>
                <w:gridAfter w:val="1"/>
                <w:wAfter w:w="1427" w:type="dxa"/>
                <w:trHeight w:val="484" w:hRule="atLeast"/>
              </w:trPr>
              <w:tc>
                <w:tcPr>
                  <w:tcW w:w="1134"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时效指标</w:t>
                  </w:r>
                </w:p>
              </w:tc>
              <w:tc>
                <w:tcPr>
                  <w:tcW w:w="4947"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rPr>
                      <w:rFonts w:ascii="宋体" w:hAnsi="宋体" w:cs="宋体"/>
                      <w:color w:val="000000"/>
                      <w:kern w:val="0"/>
                      <w:sz w:val="22"/>
                      <w:szCs w:val="21"/>
                    </w:rPr>
                  </w:pPr>
                  <w:r>
                    <w:rPr>
                      <w:rFonts w:hint="eastAsia" w:ascii="宋体" w:hAnsi="宋体" w:cs="宋体"/>
                      <w:color w:val="000000"/>
                      <w:kern w:val="0"/>
                      <w:sz w:val="22"/>
                      <w:szCs w:val="21"/>
                    </w:rPr>
                    <w:t>老干部应急用车及时保障，第一时间安排</w:t>
                  </w: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15</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15</w:t>
                  </w:r>
                </w:p>
              </w:tc>
            </w:tr>
            <w:tr>
              <w:tblPrEx>
                <w:tblCellMar>
                  <w:top w:w="0" w:type="dxa"/>
                  <w:left w:w="0" w:type="dxa"/>
                  <w:bottom w:w="0" w:type="dxa"/>
                  <w:right w:w="0" w:type="dxa"/>
                </w:tblCellMar>
              </w:tblPrEx>
              <w:trPr>
                <w:gridAfter w:val="1"/>
                <w:wAfter w:w="1427" w:type="dxa"/>
                <w:trHeight w:val="644" w:hRule="atLeast"/>
              </w:trPr>
              <w:tc>
                <w:tcPr>
                  <w:tcW w:w="1134"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成本指标</w:t>
                  </w:r>
                </w:p>
              </w:tc>
              <w:tc>
                <w:tcPr>
                  <w:tcW w:w="4947"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rPr>
                      <w:rFonts w:ascii="宋体" w:hAnsi="宋体" w:cs="宋体"/>
                      <w:color w:val="000000"/>
                      <w:kern w:val="0"/>
                      <w:sz w:val="22"/>
                      <w:szCs w:val="21"/>
                    </w:rPr>
                  </w:pPr>
                  <w:r>
                    <w:rPr>
                      <w:rFonts w:hint="eastAsia" w:ascii="宋体" w:hAnsi="宋体" w:cs="宋体"/>
                      <w:color w:val="000000"/>
                      <w:kern w:val="0"/>
                      <w:sz w:val="22"/>
                      <w:szCs w:val="21"/>
                    </w:rPr>
                    <w:t>全年公务用车运行加油、维修保养、清洁、过路费用等控制在5万元以内</w:t>
                  </w: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20</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20</w:t>
                  </w:r>
                </w:p>
              </w:tc>
            </w:tr>
            <w:tr>
              <w:tblPrEx>
                <w:tblCellMar>
                  <w:top w:w="0" w:type="dxa"/>
                  <w:left w:w="0" w:type="dxa"/>
                  <w:bottom w:w="0" w:type="dxa"/>
                  <w:right w:w="0" w:type="dxa"/>
                </w:tblCellMar>
              </w:tblPrEx>
              <w:trPr>
                <w:gridAfter w:val="1"/>
                <w:wAfter w:w="1427" w:type="dxa"/>
                <w:trHeight w:val="543" w:hRule="atLeast"/>
              </w:trPr>
              <w:tc>
                <w:tcPr>
                  <w:tcW w:w="1134"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193"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满意度</w:t>
                  </w:r>
                </w:p>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指标</w:t>
                  </w:r>
                </w:p>
              </w:tc>
              <w:tc>
                <w:tcPr>
                  <w:tcW w:w="4947"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rPr>
                      <w:rFonts w:ascii="宋体" w:hAnsi="宋体" w:cs="宋体"/>
                      <w:color w:val="000000"/>
                      <w:kern w:val="0"/>
                      <w:sz w:val="22"/>
                      <w:szCs w:val="21"/>
                    </w:rPr>
                  </w:pPr>
                  <w:r>
                    <w:rPr>
                      <w:rFonts w:hint="eastAsia" w:ascii="宋体" w:hAnsi="宋体" w:cs="宋体"/>
                      <w:color w:val="000000"/>
                      <w:kern w:val="0"/>
                      <w:sz w:val="22"/>
                      <w:szCs w:val="21"/>
                    </w:rPr>
                    <w:t>指标1：服务对象满意度100%</w:t>
                  </w: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10</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10</w:t>
                  </w:r>
                </w:p>
              </w:tc>
            </w:tr>
            <w:tr>
              <w:tblPrEx>
                <w:tblCellMar>
                  <w:top w:w="0" w:type="dxa"/>
                  <w:left w:w="0" w:type="dxa"/>
                  <w:bottom w:w="0" w:type="dxa"/>
                  <w:right w:w="0" w:type="dxa"/>
                </w:tblCellMar>
              </w:tblPrEx>
              <w:trPr>
                <w:gridAfter w:val="1"/>
                <w:wAfter w:w="1427" w:type="dxa"/>
                <w:trHeight w:val="548" w:hRule="atLeast"/>
              </w:trPr>
              <w:tc>
                <w:tcPr>
                  <w:tcW w:w="1134" w:type="dxa"/>
                  <w:vMerge w:val="continue"/>
                  <w:tcBorders>
                    <w:left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193"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4947"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rPr>
                      <w:rFonts w:ascii="宋体" w:hAnsi="宋体" w:cs="宋体"/>
                      <w:color w:val="000000"/>
                      <w:kern w:val="0"/>
                      <w:sz w:val="22"/>
                      <w:szCs w:val="21"/>
                    </w:rPr>
                  </w:pPr>
                  <w:r>
                    <w:rPr>
                      <w:rFonts w:hint="eastAsia" w:ascii="宋体" w:hAnsi="宋体" w:cs="宋体"/>
                      <w:color w:val="000000"/>
                      <w:kern w:val="0"/>
                      <w:sz w:val="22"/>
                      <w:szCs w:val="21"/>
                    </w:rPr>
                    <w:t>指标2：协作部门满意度100%</w:t>
                  </w: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r>
              <w:tblPrEx>
                <w:tblCellMar>
                  <w:top w:w="0" w:type="dxa"/>
                  <w:left w:w="0" w:type="dxa"/>
                  <w:bottom w:w="0" w:type="dxa"/>
                  <w:right w:w="0" w:type="dxa"/>
                </w:tblCellMar>
              </w:tblPrEx>
              <w:trPr>
                <w:gridAfter w:val="1"/>
                <w:wAfter w:w="1427" w:type="dxa"/>
                <w:trHeight w:val="623" w:hRule="atLeast"/>
              </w:trPr>
              <w:tc>
                <w:tcPr>
                  <w:tcW w:w="1134"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p>
              </w:tc>
              <w:tc>
                <w:tcPr>
                  <w:tcW w:w="1193"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p>
              </w:tc>
              <w:tc>
                <w:tcPr>
                  <w:tcW w:w="4947"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rPr>
                      <w:rFonts w:ascii="宋体" w:hAnsi="宋体" w:cs="宋体"/>
                      <w:color w:val="000000"/>
                      <w:kern w:val="0"/>
                      <w:sz w:val="22"/>
                      <w:szCs w:val="21"/>
                    </w:rPr>
                  </w:pPr>
                  <w:r>
                    <w:rPr>
                      <w:rFonts w:hint="eastAsia" w:ascii="宋体" w:hAnsi="宋体" w:cs="宋体"/>
                      <w:color w:val="000000"/>
                      <w:kern w:val="0"/>
                      <w:sz w:val="22"/>
                      <w:szCs w:val="21"/>
                    </w:rPr>
                    <w:t>指标3：社会公众满意度95%</w:t>
                  </w:r>
                </w:p>
              </w:tc>
              <w:tc>
                <w:tcPr>
                  <w:tcW w:w="10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c>
                <w:tcPr>
                  <w:tcW w:w="6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kern w:val="0"/>
                      <w:sz w:val="22"/>
                      <w:szCs w:val="21"/>
                    </w:rPr>
                  </w:pPr>
                  <w:r>
                    <w:rPr>
                      <w:rFonts w:hint="eastAsia" w:ascii="宋体" w:hAnsi="宋体" w:cs="宋体"/>
                      <w:color w:val="000000"/>
                      <w:kern w:val="0"/>
                      <w:sz w:val="22"/>
                      <w:szCs w:val="21"/>
                    </w:rPr>
                    <w:t>5</w:t>
                  </w:r>
                </w:p>
              </w:tc>
            </w:tr>
          </w:tbl>
          <w:p>
            <w:pPr>
              <w:widowControl/>
              <w:spacing w:line="320" w:lineRule="exact"/>
              <w:jc w:val="center"/>
              <w:rPr>
                <w:rFonts w:ascii="宋体" w:hAnsi="宋体"/>
                <w:sz w:val="24"/>
              </w:rPr>
            </w:pPr>
            <w:r>
              <w:rPr>
                <w:rFonts w:hint="eastAsia" w:ascii="宋体" w:hAnsi="宋体" w:cs="宋体"/>
                <w:color w:val="000000"/>
                <w:kern w:val="0"/>
                <w:sz w:val="22"/>
                <w:szCs w:val="21"/>
              </w:rPr>
              <w:br w:type="page"/>
            </w:r>
          </w:p>
        </w:tc>
        <w:tc>
          <w:tcPr>
            <w:tcW w:w="436" w:type="dxa"/>
            <w:tcBorders>
              <w:top w:val="nil"/>
              <w:left w:val="nil"/>
              <w:bottom w:val="nil"/>
              <w:right w:val="nil"/>
            </w:tcBorders>
            <w:shd w:val="clear" w:color="auto" w:fill="auto"/>
            <w:vAlign w:val="center"/>
          </w:tcPr>
          <w:p>
            <w:pPr>
              <w:widowControl/>
              <w:jc w:val="center"/>
              <w:rPr>
                <w:rFonts w:ascii="黑体" w:hAnsi="黑体" w:eastAsia="黑体" w:cs="宋体"/>
                <w:kern w:val="0"/>
                <w:sz w:val="24"/>
              </w:rPr>
            </w:pPr>
          </w:p>
        </w:tc>
        <w:tc>
          <w:tcPr>
            <w:tcW w:w="656" w:type="dxa"/>
            <w:tcBorders>
              <w:top w:val="nil"/>
              <w:left w:val="nil"/>
              <w:bottom w:val="nil"/>
              <w:right w:val="nil"/>
            </w:tcBorders>
            <w:shd w:val="clear" w:color="auto" w:fill="auto"/>
            <w:vAlign w:val="center"/>
          </w:tcPr>
          <w:p>
            <w:pPr>
              <w:widowControl/>
              <w:jc w:val="center"/>
              <w:rPr>
                <w:rFonts w:ascii="黑体" w:hAnsi="黑体" w:eastAsia="黑体" w:cs="宋体"/>
                <w:kern w:val="0"/>
                <w:sz w:val="24"/>
              </w:rPr>
            </w:pPr>
          </w:p>
        </w:tc>
        <w:tc>
          <w:tcPr>
            <w:tcW w:w="876" w:type="dxa"/>
            <w:tcBorders>
              <w:top w:val="nil"/>
              <w:left w:val="nil"/>
              <w:bottom w:val="nil"/>
              <w:right w:val="nil"/>
            </w:tcBorders>
            <w:shd w:val="clear" w:color="auto" w:fill="auto"/>
            <w:vAlign w:val="center"/>
          </w:tcPr>
          <w:p>
            <w:pPr>
              <w:widowControl/>
              <w:jc w:val="center"/>
              <w:rPr>
                <w:rFonts w:ascii="黑体" w:hAnsi="黑体" w:eastAsia="黑体" w:cs="宋体"/>
                <w:kern w:val="0"/>
                <w:sz w:val="24"/>
              </w:rPr>
            </w:pPr>
          </w:p>
        </w:tc>
        <w:tc>
          <w:tcPr>
            <w:tcW w:w="108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c>
          <w:tcPr>
            <w:tcW w:w="178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p>
        </w:tc>
      </w:tr>
    </w:tbl>
    <w:p>
      <w:pPr>
        <w:spacing w:line="600" w:lineRule="exact"/>
        <w:jc w:val="center"/>
        <w:outlineLvl w:val="0"/>
        <w:rPr>
          <w:rStyle w:val="25"/>
          <w:rFonts w:ascii="黑体" w:hAnsi="黑体" w:eastAsia="黑体"/>
          <w:b w:val="0"/>
          <w:sz w:val="32"/>
          <w:szCs w:val="32"/>
        </w:rPr>
      </w:pPr>
      <w:r>
        <w:rPr>
          <w:rFonts w:hint="eastAsia" w:ascii="黑体" w:hAnsi="黑体" w:eastAsia="黑体"/>
          <w:color w:val="000000"/>
          <w:sz w:val="32"/>
          <w:szCs w:val="32"/>
        </w:rPr>
        <w:t>第</w:t>
      </w:r>
      <w:r>
        <w:rPr>
          <w:rStyle w:val="25"/>
          <w:rFonts w:hint="eastAsia" w:ascii="黑体" w:hAnsi="黑体" w:eastAsia="黑体"/>
          <w:b w:val="0"/>
          <w:sz w:val="32"/>
          <w:szCs w:val="32"/>
        </w:rPr>
        <w:t xml:space="preserve">五部分 </w:t>
      </w:r>
      <w:bookmarkEnd w:id="57"/>
      <w:bookmarkEnd w:id="60"/>
      <w:r>
        <w:rPr>
          <w:rStyle w:val="25"/>
          <w:rFonts w:hint="eastAsia" w:ascii="黑体" w:hAnsi="黑体" w:eastAsia="黑体"/>
          <w:b w:val="0"/>
          <w:sz w:val="32"/>
          <w:szCs w:val="32"/>
        </w:rPr>
        <w:t>附表</w:t>
      </w:r>
    </w:p>
    <w:p>
      <w:pPr>
        <w:spacing w:line="600" w:lineRule="exact"/>
        <w:jc w:val="center"/>
        <w:outlineLvl w:val="0"/>
        <w:rPr>
          <w:rStyle w:val="25"/>
          <w:rFonts w:ascii="黑体" w:hAnsi="黑体" w:eastAsia="黑体"/>
          <w:b w:val="0"/>
          <w:sz w:val="32"/>
          <w:szCs w:val="32"/>
        </w:rPr>
      </w:pPr>
    </w:p>
    <w:p>
      <w:pPr>
        <w:pStyle w:val="24"/>
        <w:numPr>
          <w:ilvl w:val="0"/>
          <w:numId w:val="8"/>
        </w:numPr>
        <w:spacing w:line="600" w:lineRule="exact"/>
        <w:ind w:firstLineChars="0"/>
        <w:jc w:val="left"/>
        <w:outlineLvl w:val="0"/>
        <w:rPr>
          <w:rStyle w:val="25"/>
          <w:rFonts w:ascii="仿宋_GB2312" w:eastAsia="仿宋_GB2312" w:hAnsiTheme="minorEastAsia"/>
          <w:b w:val="0"/>
          <w:sz w:val="32"/>
          <w:szCs w:val="32"/>
        </w:rPr>
      </w:pPr>
      <w:r>
        <w:rPr>
          <w:rStyle w:val="25"/>
          <w:rFonts w:hint="eastAsia" w:ascii="仿宋_GB2312" w:eastAsia="仿宋_GB2312" w:hAnsiTheme="minorEastAsia"/>
          <w:b w:val="0"/>
          <w:sz w:val="32"/>
          <w:szCs w:val="32"/>
        </w:rPr>
        <w:t>收入支出决算总表</w:t>
      </w:r>
    </w:p>
    <w:p>
      <w:pPr>
        <w:pStyle w:val="24"/>
        <w:numPr>
          <w:ilvl w:val="0"/>
          <w:numId w:val="8"/>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收入总表</w:t>
      </w:r>
    </w:p>
    <w:p>
      <w:pPr>
        <w:pStyle w:val="24"/>
        <w:numPr>
          <w:ilvl w:val="0"/>
          <w:numId w:val="8"/>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支出总表</w:t>
      </w:r>
    </w:p>
    <w:p>
      <w:pPr>
        <w:pStyle w:val="24"/>
        <w:numPr>
          <w:ilvl w:val="0"/>
          <w:numId w:val="8"/>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财政拨款收入支出决算总表</w:t>
      </w:r>
    </w:p>
    <w:p>
      <w:pPr>
        <w:pStyle w:val="24"/>
        <w:numPr>
          <w:ilvl w:val="0"/>
          <w:numId w:val="8"/>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财政拨款支出决算明细表（政府经济分类科目）</w:t>
      </w:r>
    </w:p>
    <w:p>
      <w:pPr>
        <w:pStyle w:val="24"/>
        <w:numPr>
          <w:ilvl w:val="0"/>
          <w:numId w:val="8"/>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一般公共预算财政拨款支出决算表</w:t>
      </w:r>
    </w:p>
    <w:p>
      <w:pPr>
        <w:pStyle w:val="24"/>
        <w:numPr>
          <w:ilvl w:val="0"/>
          <w:numId w:val="8"/>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一般公共预算财政拨款支出决算明细表</w:t>
      </w:r>
    </w:p>
    <w:p>
      <w:pPr>
        <w:pStyle w:val="24"/>
        <w:numPr>
          <w:ilvl w:val="0"/>
          <w:numId w:val="8"/>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一般公共预算财政拨款基本支出决算表</w:t>
      </w:r>
    </w:p>
    <w:p>
      <w:pPr>
        <w:pStyle w:val="24"/>
        <w:numPr>
          <w:ilvl w:val="0"/>
          <w:numId w:val="8"/>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一般公共预算财政拨款项目支出决算表</w:t>
      </w:r>
    </w:p>
    <w:p>
      <w:pPr>
        <w:pStyle w:val="24"/>
        <w:numPr>
          <w:ilvl w:val="0"/>
          <w:numId w:val="8"/>
        </w:numPr>
        <w:spacing w:line="600" w:lineRule="exact"/>
        <w:ind w:firstLineChars="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一般公共预算财政拨款“三公”经费支出决算表</w:t>
      </w:r>
    </w:p>
    <w:p>
      <w:pPr>
        <w:spacing w:line="600" w:lineRule="exact"/>
        <w:ind w:left="426"/>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十一、政府性基金预算财政拨款收入支出决算表</w:t>
      </w:r>
    </w:p>
    <w:p>
      <w:pPr>
        <w:spacing w:line="600" w:lineRule="exact"/>
        <w:ind w:firstLine="320" w:firstLineChars="10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十二、政府性基金财政拨款“三公”经费支出决算表</w:t>
      </w:r>
    </w:p>
    <w:p>
      <w:pPr>
        <w:spacing w:line="600" w:lineRule="exact"/>
        <w:ind w:firstLine="320" w:firstLineChars="100"/>
        <w:jc w:val="left"/>
        <w:outlineLvl w:val="0"/>
        <w:rPr>
          <w:rFonts w:ascii="仿宋_GB2312" w:eastAsia="仿宋_GB2312" w:hAnsiTheme="minorEastAsia"/>
          <w:bCs/>
          <w:kern w:val="44"/>
          <w:sz w:val="32"/>
          <w:szCs w:val="32"/>
        </w:rPr>
      </w:pPr>
      <w:r>
        <w:rPr>
          <w:rFonts w:hint="eastAsia" w:ascii="仿宋_GB2312" w:eastAsia="仿宋_GB2312" w:hAnsiTheme="minorEastAsia"/>
          <w:bCs/>
          <w:kern w:val="44"/>
          <w:sz w:val="32"/>
          <w:szCs w:val="32"/>
        </w:rPr>
        <w:t>十三、国有资本经营预算支出决算表</w:t>
      </w:r>
    </w:p>
    <w:sectPr>
      <w:headerReference r:id="rId3" w:type="default"/>
      <w:footerReference r:id="rId4" w:type="default"/>
      <w:pgSz w:w="11906" w:h="16838"/>
      <w:pgMar w:top="1985" w:right="1474" w:bottom="1871" w:left="1588" w:header="851" w:footer="992" w:gutter="0"/>
      <w:pgNumType w:start="1"/>
      <w:cols w:space="425" w:num="1"/>
      <w:titlePg/>
      <w:docGrid w:type="lines" w:linePitch="5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仿宋">
    <w:altName w:val="仿宋_GB2312"/>
    <w:panose1 w:val="02010600040101010101"/>
    <w:charset w:val="86"/>
    <w:family w:val="auto"/>
    <w:pitch w:val="default"/>
    <w:sig w:usb0="00000000" w:usb1="00000000" w:usb2="00000010" w:usb3="00000000" w:csb0="0004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0EA04715"/>
    <w:multiLevelType w:val="multilevel"/>
    <w:tmpl w:val="0EA04715"/>
    <w:lvl w:ilvl="0" w:tentative="0">
      <w:start w:val="1"/>
      <w:numFmt w:val="japaneseCounting"/>
      <w:lvlText w:val="%1、"/>
      <w:lvlJc w:val="left"/>
      <w:pPr>
        <w:ind w:left="1146"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F426B7"/>
    <w:multiLevelType w:val="multilevel"/>
    <w:tmpl w:val="17F426B7"/>
    <w:lvl w:ilvl="0" w:tentative="0">
      <w:start w:val="10"/>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25D63373"/>
    <w:multiLevelType w:val="multilevel"/>
    <w:tmpl w:val="25D6337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E46894"/>
    <w:multiLevelType w:val="multilevel"/>
    <w:tmpl w:val="2FE46894"/>
    <w:lvl w:ilvl="0" w:tentative="0">
      <w:start w:val="2"/>
      <w:numFmt w:val="japaneseCounting"/>
      <w:lvlText w:val="%1、"/>
      <w:lvlJc w:val="left"/>
      <w:pPr>
        <w:ind w:left="1360" w:hanging="720"/>
      </w:pPr>
      <w:rPr>
        <w:rFonts w:hint="default" w:cs="Times New Roman"/>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ACF5021"/>
    <w:multiLevelType w:val="multilevel"/>
    <w:tmpl w:val="3ACF5021"/>
    <w:lvl w:ilvl="0" w:tentative="0">
      <w:start w:val="1"/>
      <w:numFmt w:val="japaneseCounting"/>
      <w:lvlText w:val="%1、"/>
      <w:lvlJc w:val="left"/>
      <w:pPr>
        <w:ind w:left="1146" w:hanging="720"/>
      </w:pPr>
      <w:rPr>
        <w:rFonts w:hint="default"/>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4FD44BC0"/>
    <w:multiLevelType w:val="multilevel"/>
    <w:tmpl w:val="4FD44BC0"/>
    <w:lvl w:ilvl="0" w:tentative="0">
      <w:start w:val="3"/>
      <w:numFmt w:val="japaneseCounting"/>
      <w:lvlText w:val="（%1）"/>
      <w:lvlJc w:val="left"/>
      <w:pPr>
        <w:ind w:left="1710" w:hanging="1080"/>
      </w:pPr>
      <w:rPr>
        <w:rFonts w:hint="default" w:cs="楷体_GB2312"/>
        <w:b/>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2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25753"/>
    <w:rsid w:val="000638D2"/>
    <w:rsid w:val="0006487A"/>
    <w:rsid w:val="00065F8F"/>
    <w:rsid w:val="00067A77"/>
    <w:rsid w:val="00075914"/>
    <w:rsid w:val="000768F2"/>
    <w:rsid w:val="0009184B"/>
    <w:rsid w:val="0009593C"/>
    <w:rsid w:val="000B047F"/>
    <w:rsid w:val="000B5923"/>
    <w:rsid w:val="000B5A48"/>
    <w:rsid w:val="000B6FF3"/>
    <w:rsid w:val="000C1D7B"/>
    <w:rsid w:val="000C3467"/>
    <w:rsid w:val="000C3CA6"/>
    <w:rsid w:val="000D1267"/>
    <w:rsid w:val="000D1D50"/>
    <w:rsid w:val="000D44A1"/>
    <w:rsid w:val="000D5782"/>
    <w:rsid w:val="000E6613"/>
    <w:rsid w:val="000E7119"/>
    <w:rsid w:val="000F153F"/>
    <w:rsid w:val="00100B19"/>
    <w:rsid w:val="00114E9B"/>
    <w:rsid w:val="0014729F"/>
    <w:rsid w:val="0015450C"/>
    <w:rsid w:val="00157BAB"/>
    <w:rsid w:val="001654D1"/>
    <w:rsid w:val="0018106D"/>
    <w:rsid w:val="001877A7"/>
    <w:rsid w:val="00191536"/>
    <w:rsid w:val="00196687"/>
    <w:rsid w:val="001C0962"/>
    <w:rsid w:val="001C463F"/>
    <w:rsid w:val="001D7531"/>
    <w:rsid w:val="001E737D"/>
    <w:rsid w:val="001F0592"/>
    <w:rsid w:val="001F4E1D"/>
    <w:rsid w:val="001F7506"/>
    <w:rsid w:val="002006CD"/>
    <w:rsid w:val="00202B36"/>
    <w:rsid w:val="00204B7A"/>
    <w:rsid w:val="0021101A"/>
    <w:rsid w:val="002169B3"/>
    <w:rsid w:val="00220536"/>
    <w:rsid w:val="00235629"/>
    <w:rsid w:val="00257E4D"/>
    <w:rsid w:val="00260C38"/>
    <w:rsid w:val="002616C0"/>
    <w:rsid w:val="002662AA"/>
    <w:rsid w:val="00280496"/>
    <w:rsid w:val="00286DBE"/>
    <w:rsid w:val="00295495"/>
    <w:rsid w:val="002B2613"/>
    <w:rsid w:val="002C3DA2"/>
    <w:rsid w:val="002D2B42"/>
    <w:rsid w:val="002F1818"/>
    <w:rsid w:val="002F2FF2"/>
    <w:rsid w:val="002F567B"/>
    <w:rsid w:val="003051F9"/>
    <w:rsid w:val="003216A9"/>
    <w:rsid w:val="003311CA"/>
    <w:rsid w:val="0037013F"/>
    <w:rsid w:val="00380C92"/>
    <w:rsid w:val="00381536"/>
    <w:rsid w:val="003A484F"/>
    <w:rsid w:val="003B0BE0"/>
    <w:rsid w:val="003B0C1B"/>
    <w:rsid w:val="003B688C"/>
    <w:rsid w:val="003C0291"/>
    <w:rsid w:val="003C39AE"/>
    <w:rsid w:val="003C7B60"/>
    <w:rsid w:val="003D1FB2"/>
    <w:rsid w:val="003D66DA"/>
    <w:rsid w:val="003E0DCE"/>
    <w:rsid w:val="003E1310"/>
    <w:rsid w:val="003E6F55"/>
    <w:rsid w:val="00406254"/>
    <w:rsid w:val="0040677A"/>
    <w:rsid w:val="004223DE"/>
    <w:rsid w:val="004307B3"/>
    <w:rsid w:val="00434489"/>
    <w:rsid w:val="00437085"/>
    <w:rsid w:val="00437FEF"/>
    <w:rsid w:val="00443880"/>
    <w:rsid w:val="004464F4"/>
    <w:rsid w:val="00471401"/>
    <w:rsid w:val="00473F31"/>
    <w:rsid w:val="00481F0F"/>
    <w:rsid w:val="0048263A"/>
    <w:rsid w:val="00487E5D"/>
    <w:rsid w:val="004A711F"/>
    <w:rsid w:val="004B199D"/>
    <w:rsid w:val="004B4690"/>
    <w:rsid w:val="004E0A2D"/>
    <w:rsid w:val="004E206B"/>
    <w:rsid w:val="004E6DF7"/>
    <w:rsid w:val="004F0FBD"/>
    <w:rsid w:val="005030CD"/>
    <w:rsid w:val="00505A47"/>
    <w:rsid w:val="00512C61"/>
    <w:rsid w:val="00512FDA"/>
    <w:rsid w:val="00520DA0"/>
    <w:rsid w:val="00524C25"/>
    <w:rsid w:val="005664BB"/>
    <w:rsid w:val="0057481D"/>
    <w:rsid w:val="0058486E"/>
    <w:rsid w:val="005A0EC3"/>
    <w:rsid w:val="005B5AFD"/>
    <w:rsid w:val="005D1C8B"/>
    <w:rsid w:val="005D5CED"/>
    <w:rsid w:val="005F1A4C"/>
    <w:rsid w:val="00605688"/>
    <w:rsid w:val="006070AF"/>
    <w:rsid w:val="00607E6C"/>
    <w:rsid w:val="006101B1"/>
    <w:rsid w:val="00614E44"/>
    <w:rsid w:val="00622830"/>
    <w:rsid w:val="00630AEF"/>
    <w:rsid w:val="006325F8"/>
    <w:rsid w:val="00633EF8"/>
    <w:rsid w:val="00634C9A"/>
    <w:rsid w:val="006440E4"/>
    <w:rsid w:val="00645899"/>
    <w:rsid w:val="0066343B"/>
    <w:rsid w:val="00664777"/>
    <w:rsid w:val="006748A4"/>
    <w:rsid w:val="00683E73"/>
    <w:rsid w:val="0069062D"/>
    <w:rsid w:val="006A08B5"/>
    <w:rsid w:val="006A3141"/>
    <w:rsid w:val="006A3F44"/>
    <w:rsid w:val="006A5E34"/>
    <w:rsid w:val="006B2422"/>
    <w:rsid w:val="006B2B9A"/>
    <w:rsid w:val="006B5C4E"/>
    <w:rsid w:val="006C1937"/>
    <w:rsid w:val="006C48F7"/>
    <w:rsid w:val="006D0011"/>
    <w:rsid w:val="006E043A"/>
    <w:rsid w:val="006E5C22"/>
    <w:rsid w:val="006F020C"/>
    <w:rsid w:val="00712578"/>
    <w:rsid w:val="007127B7"/>
    <w:rsid w:val="007226CC"/>
    <w:rsid w:val="00724B05"/>
    <w:rsid w:val="00732745"/>
    <w:rsid w:val="007416B6"/>
    <w:rsid w:val="007460CF"/>
    <w:rsid w:val="00746F48"/>
    <w:rsid w:val="0075404D"/>
    <w:rsid w:val="0076182A"/>
    <w:rsid w:val="00767B7E"/>
    <w:rsid w:val="007717B8"/>
    <w:rsid w:val="00774A68"/>
    <w:rsid w:val="007770C3"/>
    <w:rsid w:val="00780351"/>
    <w:rsid w:val="00784D24"/>
    <w:rsid w:val="00785FBA"/>
    <w:rsid w:val="00786E4A"/>
    <w:rsid w:val="007875EB"/>
    <w:rsid w:val="0079426B"/>
    <w:rsid w:val="007A6937"/>
    <w:rsid w:val="007B11AD"/>
    <w:rsid w:val="007C5623"/>
    <w:rsid w:val="007D312A"/>
    <w:rsid w:val="007D3F19"/>
    <w:rsid w:val="007D74AD"/>
    <w:rsid w:val="007E23B0"/>
    <w:rsid w:val="007F1991"/>
    <w:rsid w:val="007F2C2F"/>
    <w:rsid w:val="007F55FC"/>
    <w:rsid w:val="007F5665"/>
    <w:rsid w:val="00800112"/>
    <w:rsid w:val="0080482D"/>
    <w:rsid w:val="008253BB"/>
    <w:rsid w:val="00834398"/>
    <w:rsid w:val="0083706E"/>
    <w:rsid w:val="008423A5"/>
    <w:rsid w:val="00850625"/>
    <w:rsid w:val="00850E1E"/>
    <w:rsid w:val="00853718"/>
    <w:rsid w:val="00855221"/>
    <w:rsid w:val="00856B7B"/>
    <w:rsid w:val="008577C8"/>
    <w:rsid w:val="00860645"/>
    <w:rsid w:val="00871F71"/>
    <w:rsid w:val="00885AF4"/>
    <w:rsid w:val="008939CD"/>
    <w:rsid w:val="0089726C"/>
    <w:rsid w:val="008B768C"/>
    <w:rsid w:val="008C4DB1"/>
    <w:rsid w:val="008C4EAF"/>
    <w:rsid w:val="008C5176"/>
    <w:rsid w:val="008C7FD0"/>
    <w:rsid w:val="008D32B4"/>
    <w:rsid w:val="008E1DE7"/>
    <w:rsid w:val="008E707C"/>
    <w:rsid w:val="00900B08"/>
    <w:rsid w:val="00902155"/>
    <w:rsid w:val="00902FA3"/>
    <w:rsid w:val="00923564"/>
    <w:rsid w:val="0092392E"/>
    <w:rsid w:val="009315F9"/>
    <w:rsid w:val="00946945"/>
    <w:rsid w:val="0095080D"/>
    <w:rsid w:val="00951248"/>
    <w:rsid w:val="0095152F"/>
    <w:rsid w:val="00954C49"/>
    <w:rsid w:val="009701D0"/>
    <w:rsid w:val="0097099F"/>
    <w:rsid w:val="00971997"/>
    <w:rsid w:val="00971FFC"/>
    <w:rsid w:val="0098660A"/>
    <w:rsid w:val="00987C1E"/>
    <w:rsid w:val="009931C3"/>
    <w:rsid w:val="009B2C43"/>
    <w:rsid w:val="009B4EAE"/>
    <w:rsid w:val="009B7573"/>
    <w:rsid w:val="009C22F4"/>
    <w:rsid w:val="009C2E98"/>
    <w:rsid w:val="009D3447"/>
    <w:rsid w:val="009D4711"/>
    <w:rsid w:val="009F1185"/>
    <w:rsid w:val="009F18CD"/>
    <w:rsid w:val="009F2A13"/>
    <w:rsid w:val="00A00219"/>
    <w:rsid w:val="00A04EB0"/>
    <w:rsid w:val="00A13CC1"/>
    <w:rsid w:val="00A16847"/>
    <w:rsid w:val="00A211C6"/>
    <w:rsid w:val="00A237D8"/>
    <w:rsid w:val="00A24028"/>
    <w:rsid w:val="00A268C4"/>
    <w:rsid w:val="00A307CD"/>
    <w:rsid w:val="00A40A00"/>
    <w:rsid w:val="00A4142F"/>
    <w:rsid w:val="00A56DF2"/>
    <w:rsid w:val="00A67AB5"/>
    <w:rsid w:val="00A74F7A"/>
    <w:rsid w:val="00A91760"/>
    <w:rsid w:val="00A93B00"/>
    <w:rsid w:val="00A93C21"/>
    <w:rsid w:val="00AB6C82"/>
    <w:rsid w:val="00AC3C6A"/>
    <w:rsid w:val="00AD5620"/>
    <w:rsid w:val="00AD7C1B"/>
    <w:rsid w:val="00AE16BA"/>
    <w:rsid w:val="00AE1EBE"/>
    <w:rsid w:val="00B03C9D"/>
    <w:rsid w:val="00B04DDF"/>
    <w:rsid w:val="00B060AE"/>
    <w:rsid w:val="00B10517"/>
    <w:rsid w:val="00B14E76"/>
    <w:rsid w:val="00B161B8"/>
    <w:rsid w:val="00B2048C"/>
    <w:rsid w:val="00B310B9"/>
    <w:rsid w:val="00B35F3F"/>
    <w:rsid w:val="00B36CBB"/>
    <w:rsid w:val="00B40C87"/>
    <w:rsid w:val="00B425E0"/>
    <w:rsid w:val="00B440AA"/>
    <w:rsid w:val="00B44B70"/>
    <w:rsid w:val="00B53C56"/>
    <w:rsid w:val="00B77EA6"/>
    <w:rsid w:val="00B81598"/>
    <w:rsid w:val="00B8397B"/>
    <w:rsid w:val="00B841F1"/>
    <w:rsid w:val="00B944D6"/>
    <w:rsid w:val="00BB4DF0"/>
    <w:rsid w:val="00BC289F"/>
    <w:rsid w:val="00BC5361"/>
    <w:rsid w:val="00BC5460"/>
    <w:rsid w:val="00BC678F"/>
    <w:rsid w:val="00BC6B50"/>
    <w:rsid w:val="00BD0E25"/>
    <w:rsid w:val="00BD46E7"/>
    <w:rsid w:val="00BE2DFF"/>
    <w:rsid w:val="00BE5A2E"/>
    <w:rsid w:val="00BF5BD6"/>
    <w:rsid w:val="00C03E31"/>
    <w:rsid w:val="00C05CC1"/>
    <w:rsid w:val="00C147F6"/>
    <w:rsid w:val="00C33E72"/>
    <w:rsid w:val="00C354B2"/>
    <w:rsid w:val="00C35554"/>
    <w:rsid w:val="00C42709"/>
    <w:rsid w:val="00C533CC"/>
    <w:rsid w:val="00C5751C"/>
    <w:rsid w:val="00C610E0"/>
    <w:rsid w:val="00C61BFC"/>
    <w:rsid w:val="00C62B85"/>
    <w:rsid w:val="00C65438"/>
    <w:rsid w:val="00C67EBF"/>
    <w:rsid w:val="00C70196"/>
    <w:rsid w:val="00C91CBB"/>
    <w:rsid w:val="00CC09B6"/>
    <w:rsid w:val="00CC3044"/>
    <w:rsid w:val="00CC666F"/>
    <w:rsid w:val="00CD1E3F"/>
    <w:rsid w:val="00CE44F6"/>
    <w:rsid w:val="00CE49DA"/>
    <w:rsid w:val="00CE7B61"/>
    <w:rsid w:val="00CF1B92"/>
    <w:rsid w:val="00D00095"/>
    <w:rsid w:val="00D02375"/>
    <w:rsid w:val="00D20620"/>
    <w:rsid w:val="00D22246"/>
    <w:rsid w:val="00D26091"/>
    <w:rsid w:val="00D34E7C"/>
    <w:rsid w:val="00D35489"/>
    <w:rsid w:val="00D47708"/>
    <w:rsid w:val="00D51276"/>
    <w:rsid w:val="00D7035F"/>
    <w:rsid w:val="00D70FA6"/>
    <w:rsid w:val="00D957CA"/>
    <w:rsid w:val="00DA393A"/>
    <w:rsid w:val="00DA65AC"/>
    <w:rsid w:val="00DB1913"/>
    <w:rsid w:val="00DC410D"/>
    <w:rsid w:val="00DC68CA"/>
    <w:rsid w:val="00DC7CBA"/>
    <w:rsid w:val="00DD73B7"/>
    <w:rsid w:val="00DD7683"/>
    <w:rsid w:val="00DF28BC"/>
    <w:rsid w:val="00DF34B9"/>
    <w:rsid w:val="00E01053"/>
    <w:rsid w:val="00E07ACF"/>
    <w:rsid w:val="00E24B96"/>
    <w:rsid w:val="00E331A1"/>
    <w:rsid w:val="00E33202"/>
    <w:rsid w:val="00E336A9"/>
    <w:rsid w:val="00E3417A"/>
    <w:rsid w:val="00E50624"/>
    <w:rsid w:val="00E52BF6"/>
    <w:rsid w:val="00E568DF"/>
    <w:rsid w:val="00E64269"/>
    <w:rsid w:val="00E82267"/>
    <w:rsid w:val="00E91996"/>
    <w:rsid w:val="00EA010F"/>
    <w:rsid w:val="00ED1B63"/>
    <w:rsid w:val="00ED3C1F"/>
    <w:rsid w:val="00ED4085"/>
    <w:rsid w:val="00ED420E"/>
    <w:rsid w:val="00EE2F57"/>
    <w:rsid w:val="00EE4177"/>
    <w:rsid w:val="00EF4C34"/>
    <w:rsid w:val="00EF77C6"/>
    <w:rsid w:val="00F05438"/>
    <w:rsid w:val="00F1361C"/>
    <w:rsid w:val="00F160C7"/>
    <w:rsid w:val="00F20D99"/>
    <w:rsid w:val="00F21E3C"/>
    <w:rsid w:val="00F36D8F"/>
    <w:rsid w:val="00F417B1"/>
    <w:rsid w:val="00F602DF"/>
    <w:rsid w:val="00F81FD9"/>
    <w:rsid w:val="00F841AA"/>
    <w:rsid w:val="00FA217D"/>
    <w:rsid w:val="00FA23E8"/>
    <w:rsid w:val="00FB43FD"/>
    <w:rsid w:val="00FD3CC1"/>
    <w:rsid w:val="00FE28A2"/>
    <w:rsid w:val="00FF1E02"/>
    <w:rsid w:val="00FF30B4"/>
    <w:rsid w:val="00FF7A6A"/>
    <w:rsid w:val="10C055FF"/>
    <w:rsid w:val="16BB723D"/>
    <w:rsid w:val="240371BF"/>
    <w:rsid w:val="25FD7354"/>
    <w:rsid w:val="29FD04D3"/>
    <w:rsid w:val="319F7F4E"/>
    <w:rsid w:val="4B256019"/>
    <w:rsid w:val="7EB082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2017</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485.83</c:v>
                </c:pt>
                <c:pt idx="1">
                  <c:v>485.83</c:v>
                </c:pt>
              </c:numCache>
            </c:numRef>
          </c:val>
        </c:ser>
        <c:ser>
          <c:idx val="1"/>
          <c:order val="1"/>
          <c:tx>
            <c:strRef>
              <c:f>Sheet1!$C$1</c:f>
              <c:strCache>
                <c:ptCount val="1"/>
                <c:pt idx="0">
                  <c:v>2018</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609.37</c:v>
                </c:pt>
                <c:pt idx="1">
                  <c:v>609.37</c:v>
                </c:pt>
              </c:numCache>
            </c:numRef>
          </c:val>
        </c:ser>
        <c:dLbls>
          <c:showLegendKey val="false"/>
          <c:showVal val="false"/>
          <c:showCatName val="false"/>
          <c:showSerName val="false"/>
          <c:showPercent val="false"/>
          <c:showBubbleSize val="false"/>
        </c:dLbls>
        <c:gapWidth val="150"/>
        <c:axId val="214743680"/>
        <c:axId val="214503424"/>
      </c:barChart>
      <c:catAx>
        <c:axId val="214743680"/>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4503424"/>
        <c:crosses val="autoZero"/>
        <c:auto val="true"/>
        <c:lblAlgn val="ctr"/>
        <c:lblOffset val="100"/>
        <c:noMultiLvlLbl val="false"/>
      </c:catAx>
      <c:valAx>
        <c:axId val="21450342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474368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700639642266939"/>
          <c:y val="0.266035154696572"/>
          <c:w val="0.511762224166424"/>
          <c:h val="0.67156605424322"/>
        </c:manualLayout>
      </c:layout>
      <c:pieChart>
        <c:varyColors val="true"/>
        <c:ser>
          <c:idx val="0"/>
          <c:order val="0"/>
          <c:tx>
            <c:strRef>
              <c:f>Sheet1!$B$1</c:f>
              <c:strCache>
                <c:ptCount val="1"/>
                <c:pt idx="0">
                  <c:v>2018年收入</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Pt>
            <c:idx val="8"/>
            <c:bubble3D val="false"/>
          </c:dPt>
          <c:dPt>
            <c:idx val="9"/>
            <c:bubble3D val="false"/>
          </c:dPt>
          <c:dPt>
            <c:idx val="10"/>
            <c:bubble3D val="false"/>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delete val="true"/>
            </c:dLbl>
            <c:dLbl>
              <c:idx val="2"/>
              <c:delete val="true"/>
            </c:dLbl>
            <c:dLbl>
              <c:idx val="3"/>
              <c:delete val="true"/>
            </c:dLbl>
            <c:dLbl>
              <c:idx val="4"/>
              <c:delete val="true"/>
            </c:dLbl>
            <c:dLbl>
              <c:idx val="5"/>
              <c:delete val="true"/>
            </c:dLbl>
            <c:dLbl>
              <c:idx val="6"/>
              <c:delete val="true"/>
            </c:dLbl>
            <c:dLbl>
              <c:idx val="7"/>
              <c:delete val="true"/>
            </c:dLbl>
            <c:dLbl>
              <c:idx val="8"/>
              <c:delete val="true"/>
            </c:dLbl>
            <c:dLbl>
              <c:idx val="9"/>
              <c:delete val="true"/>
            </c:dLbl>
            <c:dLbl>
              <c:idx val="10"/>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一般公共预算财政拨款</c:v>
                </c:pt>
                <c:pt idx="1">
                  <c:v>政府性基金预算财政拨款</c:v>
                </c:pt>
                <c:pt idx="2">
                  <c:v>国有资本经营预算财政拨款</c:v>
                </c:pt>
                <c:pt idx="3">
                  <c:v>事业收入</c:v>
                </c:pt>
                <c:pt idx="4">
                  <c:v>经营收入</c:v>
                </c:pt>
                <c:pt idx="5">
                  <c:v>附属单位上缴收入</c:v>
                </c:pt>
                <c:pt idx="6">
                  <c:v>其他收入</c:v>
                </c:pt>
                <c:pt idx="7">
                  <c:v>若要调整图表数据区域的大小，请拖拽区域的右下角。</c:v>
                </c:pt>
              </c:strCache>
            </c:strRef>
          </c:cat>
          <c:val>
            <c:numRef>
              <c:f>Sheet1!$B$2:$B$12</c:f>
              <c:numCache>
                <c:formatCode>General</c:formatCode>
                <c:ptCount val="11"/>
                <c:pt idx="0">
                  <c:v>608.86</c:v>
                </c:pt>
                <c:pt idx="1">
                  <c:v>0</c:v>
                </c:pt>
                <c:pt idx="2">
                  <c:v>0</c:v>
                </c:pt>
                <c:pt idx="3">
                  <c:v>0</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7"/>
        <c:delete val="true"/>
      </c:legendEntry>
      <c:legendEntry>
        <c:idx val="8"/>
        <c:delete val="true"/>
      </c:legendEntry>
      <c:legendEntry>
        <c:idx val="9"/>
        <c:delete val="true"/>
      </c:legendEntry>
      <c:legendEntry>
        <c:idx val="10"/>
        <c:delete val="true"/>
      </c:legendEntry>
      <c:layout>
        <c:manualLayout>
          <c:xMode val="edge"/>
          <c:yMode val="edge"/>
          <c:x val="0.646951881014873"/>
          <c:y val="0.199808160343593"/>
          <c:w val="0.335764168367843"/>
          <c:h val="0.79997963890877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731950970487141"/>
          <c:y val="0.395054333161626"/>
          <c:w val="0.546795174024835"/>
          <c:h val="0.561293202835627"/>
        </c:manualLayout>
      </c:layout>
      <c:pieChart>
        <c:varyColors val="true"/>
        <c:ser>
          <c:idx val="0"/>
          <c:order val="0"/>
          <c:tx>
            <c:strRef>
              <c:f>Sheet1!$B$1</c:f>
              <c:strCache>
                <c:ptCount val="1"/>
                <c:pt idx="0">
                  <c:v>2018年支出</c:v>
                </c:pt>
              </c:strCache>
            </c:strRef>
          </c:tx>
          <c:explosion val="0"/>
          <c:dPt>
            <c:idx val="0"/>
            <c:bubble3D val="false"/>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510.02</c:v>
                </c:pt>
                <c:pt idx="1">
                  <c:v>64.93</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609.37</c:v>
                </c:pt>
                <c:pt idx="1">
                  <c:v>609.37</c:v>
                </c:pt>
              </c:numCache>
            </c:numRef>
          </c:val>
        </c:ser>
        <c:ser>
          <c:idx val="1"/>
          <c:order val="1"/>
          <c:tx>
            <c:strRef>
              <c:f>Sheet1!$C$1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485.83</c:v>
                </c:pt>
                <c:pt idx="1">
                  <c:v>485.83</c:v>
                </c:pt>
              </c:numCache>
            </c:numRef>
          </c:val>
        </c:ser>
        <c:dLbls>
          <c:showLegendKey val="false"/>
          <c:showVal val="false"/>
          <c:showCatName val="false"/>
          <c:showSerName val="false"/>
          <c:showPercent val="false"/>
          <c:showBubbleSize val="false"/>
        </c:dLbls>
        <c:gapWidth val="150"/>
        <c:axId val="214671744"/>
        <c:axId val="214673280"/>
      </c:barChart>
      <c:catAx>
        <c:axId val="21467174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4673280"/>
        <c:crosses val="autoZero"/>
        <c:auto val="true"/>
        <c:lblAlgn val="ctr"/>
        <c:lblOffset val="100"/>
        <c:noMultiLvlLbl val="false"/>
      </c:catAx>
      <c:valAx>
        <c:axId val="2146732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4671744"/>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17264508603091"/>
          <c:y val="0.0440576177977753"/>
          <c:w val="0.677661307961505"/>
          <c:h val="0.754170103737033"/>
        </c:manualLayout>
      </c:layout>
      <c:barChart>
        <c:barDir val="col"/>
        <c:grouping val="clustered"/>
        <c:varyColors val="false"/>
        <c:ser>
          <c:idx val="0"/>
          <c:order val="0"/>
          <c:tx>
            <c:strRef>
              <c:f>Sheet1!$B$1</c:f>
              <c:strCache>
                <c:ptCount val="1"/>
                <c:pt idx="0">
                  <c:v>2017年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485.32</c:v>
                </c:pt>
              </c:numCache>
            </c:numRef>
          </c:val>
        </c:ser>
        <c:ser>
          <c:idx val="1"/>
          <c:order val="1"/>
          <c:tx>
            <c:strRef>
              <c:f>Sheet1!$C$1</c:f>
              <c:strCache>
                <c:ptCount val="1"/>
                <c:pt idx="0">
                  <c:v>2018年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574.95</c:v>
                </c:pt>
              </c:numCache>
            </c:numRef>
          </c:val>
        </c:ser>
        <c:dLbls>
          <c:showLegendKey val="false"/>
          <c:showVal val="false"/>
          <c:showCatName val="false"/>
          <c:showSerName val="false"/>
          <c:showPercent val="false"/>
          <c:showBubbleSize val="false"/>
        </c:dLbls>
        <c:gapWidth val="150"/>
        <c:axId val="214682624"/>
        <c:axId val="214708992"/>
      </c:barChart>
      <c:catAx>
        <c:axId val="21468262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4708992"/>
        <c:crosses val="autoZero"/>
        <c:auto val="true"/>
        <c:lblAlgn val="ctr"/>
        <c:lblOffset val="100"/>
        <c:noMultiLvlLbl val="false"/>
      </c:catAx>
      <c:valAx>
        <c:axId val="21470899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468262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642125984251968"/>
          <c:y val="0.274985523716752"/>
          <c:w val="0.530817369843695"/>
          <c:h val="0.644301575705099"/>
        </c:manualLayout>
      </c:layout>
      <c:pieChart>
        <c:varyColors val="true"/>
        <c:ser>
          <c:idx val="0"/>
          <c:order val="0"/>
          <c:tx>
            <c:strRef>
              <c:f>Sheet1!$B$1</c:f>
              <c:strCache>
                <c:ptCount val="1"/>
                <c:pt idx="0">
                  <c:v>一般公共预算财政拨款支出</c:v>
                </c:pt>
              </c:strCache>
            </c:strRef>
          </c:tx>
          <c:explosion val="0"/>
          <c:dPt>
            <c:idx val="0"/>
            <c:bubble3D val="false"/>
            <c:explosion val="9"/>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一般公共服务支出</c:v>
                </c:pt>
                <c:pt idx="1">
                  <c:v>社会保障和就业支出</c:v>
                </c:pt>
                <c:pt idx="2">
                  <c:v>医疗卫生与计划生育支出</c:v>
                </c:pt>
                <c:pt idx="3">
                  <c:v>农林水支出</c:v>
                </c:pt>
                <c:pt idx="4">
                  <c:v>住房保障支出</c:v>
                </c:pt>
              </c:strCache>
            </c:strRef>
          </c:cat>
          <c:val>
            <c:numRef>
              <c:f>Sheet1!$B$2:$B$6</c:f>
              <c:numCache>
                <c:formatCode>General</c:formatCode>
                <c:ptCount val="5"/>
                <c:pt idx="0">
                  <c:v>476.19</c:v>
                </c:pt>
                <c:pt idx="1">
                  <c:v>48.46</c:v>
                </c:pt>
                <c:pt idx="2">
                  <c:v>16.96</c:v>
                </c:pt>
                <c:pt idx="3">
                  <c:v>8.75</c:v>
                </c:pt>
                <c:pt idx="4">
                  <c:v>24.59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explosion val="25"/>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1.83</c:v>
                </c:pt>
                <c:pt idx="1">
                  <c:v>4.68</c:v>
                </c:pt>
                <c:pt idx="2">
                  <c:v>4.39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1871</Words>
  <Characters>10666</Characters>
  <Lines>88</Lines>
  <Paragraphs>25</Paragraphs>
  <TotalTime>821</TotalTime>
  <ScaleCrop>false</ScaleCrop>
  <LinksUpToDate>false</LinksUpToDate>
  <CharactersWithSpaces>12512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2019-09-06T10:56:00Z</cp:lastPrinted>
  <dcterms:modified xsi:type="dcterms:W3CDTF">2023-08-12T16:00:35Z</dcterms:modified>
  <dc:title>四川省***</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