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93" w:name="_GoBack"/>
      <w:bookmarkEnd w:id="93"/>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8441"/>
      <w:bookmarkStart w:id="3" w:name="_Toc15396475"/>
      <w:bookmarkStart w:id="4" w:name="_Toc15377193"/>
      <w:bookmarkStart w:id="5" w:name="_Toc15736"/>
      <w:bookmarkStart w:id="6" w:name="_Toc15377425"/>
      <w:r>
        <w:rPr>
          <w:rFonts w:ascii="黑体" w:hAnsi="黑体" w:eastAsia="黑体"/>
          <w:color w:val="000000"/>
          <w:sz w:val="52"/>
          <w:szCs w:val="52"/>
        </w:rPr>
        <w:t>201</w:t>
      </w:r>
      <w:r>
        <w:rPr>
          <w:rFonts w:hint="eastAsia" w:ascii="黑体" w:hAnsi="黑体" w:eastAsia="黑体"/>
          <w:color w:val="000000"/>
          <w:sz w:val="52"/>
          <w:szCs w:val="52"/>
        </w:rPr>
        <w:t>8</w:t>
      </w:r>
      <w:r>
        <w:rPr>
          <w:rFonts w:hint="eastAsia" w:ascii="方正小标宋简体" w:hAnsi="宋体" w:eastAsia="方正小标宋简体"/>
          <w:color w:val="000000"/>
          <w:sz w:val="52"/>
          <w:szCs w:val="52"/>
        </w:rPr>
        <w:t>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宋体" w:eastAsia="方正小标宋简体"/>
          <w:color w:val="000000"/>
          <w:sz w:val="52"/>
          <w:szCs w:val="52"/>
        </w:rPr>
      </w:pPr>
      <w:bookmarkStart w:id="7" w:name="_Toc15396598"/>
      <w:bookmarkStart w:id="8" w:name="_Toc15378442"/>
      <w:bookmarkStart w:id="9" w:name="_Toc15377194"/>
      <w:bookmarkStart w:id="10" w:name="_Toc15396476"/>
      <w:bookmarkStart w:id="11" w:name="_Toc15377426"/>
    </w:p>
    <w:p>
      <w:pPr>
        <w:adjustRightInd w:val="0"/>
        <w:snapToGrid w:val="0"/>
        <w:spacing w:line="360" w:lineRule="auto"/>
        <w:jc w:val="center"/>
        <w:outlineLvl w:val="0"/>
        <w:rPr>
          <w:rFonts w:hint="eastAsia" w:ascii="方正小标宋简体" w:hAnsi="宋体" w:eastAsia="方正小标宋简体"/>
          <w:color w:val="000000"/>
          <w:sz w:val="52"/>
          <w:szCs w:val="52"/>
          <w:lang w:eastAsia="zh-CN"/>
        </w:rPr>
      </w:pPr>
      <w:bookmarkStart w:id="12" w:name="_Toc1081"/>
      <w:r>
        <w:rPr>
          <w:rFonts w:hint="eastAsia" w:ascii="方正小标宋简体" w:hAnsi="宋体" w:eastAsia="方正小标宋简体"/>
          <w:color w:val="000000"/>
          <w:sz w:val="52"/>
          <w:szCs w:val="52"/>
        </w:rPr>
        <w:t>四川省</w:t>
      </w:r>
      <w:bookmarkEnd w:id="0"/>
      <w:bookmarkStart w:id="13" w:name="_Toc15306268"/>
      <w:r>
        <w:rPr>
          <w:rFonts w:hint="eastAsia" w:ascii="方正小标宋简体" w:hAnsi="宋体" w:eastAsia="方正小标宋简体"/>
          <w:color w:val="000000"/>
          <w:sz w:val="52"/>
          <w:szCs w:val="52"/>
          <w:lang w:eastAsia="zh-CN"/>
        </w:rPr>
        <w:t>广元市利州区航务管理处</w:t>
      </w:r>
      <w:bookmarkEnd w:id="12"/>
    </w:p>
    <w:p>
      <w:pPr>
        <w:jc w:val="center"/>
        <w:rPr>
          <w:rFonts w:ascii="方正小标宋简体" w:eastAsia="方正小标宋简体"/>
          <w:sz w:val="52"/>
          <w:szCs w:val="52"/>
        </w:rPr>
      </w:pPr>
      <w:r>
        <w:rPr>
          <w:rFonts w:hint="eastAsia" w:ascii="方正小标宋简体" w:eastAsia="方正小标宋简体"/>
          <w:sz w:val="52"/>
          <w:szCs w:val="52"/>
        </w:rPr>
        <w:t>四川省广元市利州区地方海事处</w:t>
      </w:r>
    </w:p>
    <w:p>
      <w:pPr>
        <w:jc w:val="center"/>
        <w:rPr>
          <w:rFonts w:ascii="方正小标宋简体" w:eastAsia="方正小标宋简体"/>
          <w:sz w:val="52"/>
          <w:szCs w:val="52"/>
        </w:rPr>
      </w:pPr>
      <w:r>
        <w:rPr>
          <w:rFonts w:hint="eastAsia" w:ascii="方正小标宋简体" w:eastAsia="方正小标宋简体"/>
          <w:sz w:val="52"/>
          <w:szCs w:val="52"/>
        </w:rPr>
        <w:t>四川省广元市利州区船舶检验处</w:t>
      </w:r>
    </w:p>
    <w:p>
      <w:pPr>
        <w:adjustRightInd w:val="0"/>
        <w:snapToGrid w:val="0"/>
        <w:spacing w:line="360" w:lineRule="auto"/>
        <w:jc w:val="center"/>
        <w:outlineLvl w:val="0"/>
        <w:rPr>
          <w:rFonts w:hint="eastAsia" w:ascii="方正小标宋简体" w:hAnsi="宋体" w:eastAsia="方正小标宋简体"/>
          <w:color w:val="000000"/>
          <w:sz w:val="52"/>
          <w:szCs w:val="52"/>
        </w:rPr>
      </w:pPr>
    </w:p>
    <w:p>
      <w:pPr>
        <w:adjustRightInd w:val="0"/>
        <w:snapToGrid w:val="0"/>
        <w:spacing w:line="360" w:lineRule="auto"/>
        <w:jc w:val="center"/>
        <w:outlineLvl w:val="0"/>
        <w:rPr>
          <w:rFonts w:ascii="方正小标宋简体" w:hAnsi="宋体" w:eastAsia="方正小标宋简体"/>
          <w:color w:val="000000"/>
          <w:sz w:val="52"/>
          <w:szCs w:val="52"/>
        </w:rPr>
      </w:pPr>
      <w:bookmarkStart w:id="14" w:name="_Toc13575"/>
      <w:r>
        <w:rPr>
          <w:rFonts w:hint="eastAsia" w:ascii="方正小标宋简体" w:hAnsi="宋体" w:eastAsia="方正小标宋简体"/>
          <w:color w:val="000000"/>
          <w:sz w:val="52"/>
          <w:szCs w:val="52"/>
        </w:rPr>
        <w:t>部门决算</w:t>
      </w:r>
      <w:bookmarkEnd w:id="7"/>
      <w:bookmarkEnd w:id="8"/>
      <w:bookmarkEnd w:id="9"/>
      <w:bookmarkEnd w:id="10"/>
      <w:bookmarkEnd w:id="11"/>
      <w:bookmarkEnd w:id="13"/>
      <w:bookmarkEnd w:id="14"/>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1"/>
      </w:pPr>
      <w:r>
        <w:rPr>
          <w:rFonts w:hint="eastAsia"/>
        </w:rPr>
        <w:t>公开时间：2019年8月29日</w:t>
      </w:r>
    </w:p>
    <w:p/>
    <w:p>
      <w:pPr>
        <w:pStyle w:val="11"/>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2"/>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rPr>
          <w:rFonts w:hint="eastAsia"/>
          <w:lang w:val="en-US" w:eastAsia="zh-CN"/>
        </w:rPr>
        <w:t>1</w:t>
      </w:r>
      <w:r>
        <w:fldChar w:fldCharType="end"/>
      </w:r>
      <w:r>
        <w:rPr>
          <w:rFonts w:hint="eastAsia"/>
          <w:lang w:val="en-US" w:eastAsia="zh-CN"/>
        </w:rPr>
        <w:t>2</w:t>
      </w:r>
    </w:p>
    <w:p>
      <w:pPr>
        <w:pStyle w:val="12"/>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2"/>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2"/>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2"/>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2"/>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2"/>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2"/>
        <w:rPr>
          <w:rFonts w:ascii="仿宋" w:hAnsi="仿宋" w:eastAsia="仿宋"/>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hint="eastAsia" w:ascii="仿宋" w:hAnsi="仿宋" w:eastAsia="仿宋"/>
          <w:sz w:val="28"/>
          <w:szCs w:val="28"/>
          <w:lang w:val="en-US" w:eastAsia="zh-CN"/>
        </w:rPr>
        <w:t>21</w:t>
      </w:r>
      <w:r>
        <w:rPr>
          <w:rFonts w:ascii="仿宋" w:hAnsi="仿宋" w:eastAsia="仿宋"/>
          <w:sz w:val="28"/>
          <w:szCs w:val="28"/>
        </w:rPr>
        <w:fldChar w:fldCharType="end"/>
      </w:r>
      <w:r>
        <w:rPr>
          <w:rFonts w:ascii="仿宋" w:hAnsi="仿宋" w:eastAsia="仿宋"/>
          <w:sz w:val="28"/>
          <w:szCs w:val="28"/>
        </w:rPr>
        <w:fldChar w:fldCharType="end"/>
      </w:r>
    </w:p>
    <w:p>
      <w:pPr>
        <w:ind w:left="359" w:leftChars="171" w:firstLine="0" w:firstLineChars="0"/>
        <w:rPr>
          <w:rFonts w:hint="eastAsia" w:eastAsia="仿宋"/>
          <w:lang w:val="en-US" w:eastAsia="zh-CN"/>
        </w:rPr>
      </w:pPr>
      <w:r>
        <w:rPr>
          <w:rFonts w:hint="eastAsia" w:eastAsia="仿宋"/>
          <w:lang w:val="en-US" w:eastAsia="zh-CN"/>
        </w:rPr>
        <w:t>十</w:t>
      </w:r>
    </w:p>
    <w:p>
      <w:pPr>
        <w:pStyle w:val="12"/>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rPr>
          <w:rFonts w:hint="eastAsia"/>
          <w:lang w:val="en-US" w:eastAsia="zh-CN"/>
        </w:rPr>
        <w:t>2</w:t>
      </w:r>
      <w:r>
        <w:fldChar w:fldCharType="end"/>
      </w:r>
      <w:r>
        <w:rPr>
          <w:rFonts w:hint="eastAsia"/>
          <w:lang w:val="en-US" w:eastAsia="zh-CN"/>
        </w:rPr>
        <w:t>8</w:t>
      </w:r>
    </w:p>
    <w:p>
      <w:pPr>
        <w:pStyle w:val="11"/>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rPr>
          <w:rFonts w:hint="eastAsia"/>
          <w:lang w:val="en-US" w:eastAsia="zh-CN"/>
        </w:rPr>
        <w:t>3</w:t>
      </w:r>
      <w:r>
        <w:fldChar w:fldCharType="end"/>
      </w:r>
      <w:r>
        <w:rPr>
          <w:rFonts w:hint="eastAsia"/>
          <w:lang w:val="en-US" w:eastAsia="zh-CN"/>
        </w:rPr>
        <w:t>0</w:t>
      </w:r>
    </w:p>
    <w:p>
      <w:pPr>
        <w:pStyle w:val="12"/>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2"/>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rPr>
          <w:rFonts w:hint="eastAsia"/>
          <w:lang w:val="en-US" w:eastAsia="zh-CN"/>
        </w:rPr>
        <w:t>4</w:t>
      </w:r>
      <w:r>
        <w:fldChar w:fldCharType="end"/>
      </w:r>
      <w:r>
        <w:rPr>
          <w:rFonts w:hint="eastAsia"/>
          <w:lang w:val="en-US" w:eastAsia="zh-CN"/>
        </w:rPr>
        <w:t>0</w:t>
      </w:r>
    </w:p>
    <w:p>
      <w:pPr>
        <w:pStyle w:val="12"/>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2"/>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hint="eastAsia" w:ascii="仿宋" w:hAnsi="仿宋" w:eastAsia="仿宋"/>
          <w:sz w:val="28"/>
          <w:szCs w:val="28"/>
          <w:lang w:val="en-US" w:eastAsia="zh-CN"/>
        </w:rPr>
        <w:t>4</w:t>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2"/>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2"/>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2"/>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2"/>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2"/>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2"/>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lang w:val="en-US" w:eastAsia="zh-CN"/>
        </w:rPr>
        <w:t>50</w:t>
      </w:r>
    </w:p>
    <w:p>
      <w:pPr>
        <w:pStyle w:val="12"/>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2"/>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2"/>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3</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5" w:name="_Toc15377196"/>
      <w:r>
        <w:rPr>
          <w:rFonts w:ascii="黑体" w:hAnsi="黑体" w:eastAsia="黑体"/>
          <w:b/>
        </w:rPr>
        <w:br w:type="page"/>
      </w:r>
    </w:p>
    <w:p>
      <w:pPr>
        <w:pStyle w:val="3"/>
        <w:jc w:val="center"/>
        <w:rPr>
          <w:rStyle w:val="25"/>
          <w:rFonts w:ascii="黑体" w:hAnsi="黑体" w:eastAsia="黑体"/>
          <w:b/>
          <w:bCs w:val="0"/>
        </w:rPr>
      </w:pPr>
      <w:bookmarkStart w:id="16" w:name="_Toc23387"/>
      <w:r>
        <w:rPr>
          <w:rFonts w:hint="eastAsia" w:ascii="黑体" w:hAnsi="黑体" w:eastAsia="黑体"/>
          <w:b w:val="0"/>
        </w:rPr>
        <w:t xml:space="preserve">第一部分 </w:t>
      </w:r>
      <w:r>
        <w:rPr>
          <w:rStyle w:val="25"/>
          <w:rFonts w:hint="eastAsia" w:ascii="黑体" w:hAnsi="黑体" w:eastAsia="黑体"/>
          <w:b w:val="0"/>
          <w:bCs w:val="0"/>
        </w:rPr>
        <w:t>部门概况</w:t>
      </w:r>
      <w:bookmarkEnd w:id="15"/>
      <w:bookmarkEnd w:id="16"/>
    </w:p>
    <w:p>
      <w:pPr>
        <w:widowControl/>
        <w:jc w:val="left"/>
        <w:rPr>
          <w:rFonts w:ascii="黑体" w:eastAsia="黑体"/>
          <w:color w:val="000000"/>
          <w:sz w:val="32"/>
          <w:szCs w:val="32"/>
        </w:rPr>
      </w:pPr>
    </w:p>
    <w:p>
      <w:pPr>
        <w:pStyle w:val="4"/>
        <w:rPr>
          <w:rStyle w:val="26"/>
          <w:rFonts w:ascii="仿宋" w:hAnsi="仿宋" w:eastAsia="仿宋"/>
          <w:b w:val="0"/>
          <w:bCs w:val="0"/>
        </w:rPr>
      </w:pPr>
      <w:bookmarkStart w:id="17" w:name="_Toc15377197"/>
      <w:bookmarkStart w:id="18" w:name="_Toc9819"/>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7"/>
      <w:bookmarkEnd w:id="18"/>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9" w:name="_Toc15377198"/>
      <w:bookmarkStart w:id="20" w:name="_Toc15378445"/>
      <w:r>
        <w:rPr>
          <w:rFonts w:hint="eastAsia" w:ascii="仿宋" w:hAnsi="仿宋" w:eastAsia="仿宋"/>
          <w:bCs/>
          <w:color w:val="000000"/>
          <w:sz w:val="32"/>
          <w:szCs w:val="32"/>
        </w:rPr>
        <w:t>（一）主要职能。</w:t>
      </w:r>
      <w:bookmarkEnd w:id="19"/>
      <w:bookmarkEnd w:id="20"/>
    </w:p>
    <w:p>
      <w:pPr>
        <w:spacing w:line="580" w:lineRule="exact"/>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为航运畅通提供航务管理保障、水路运政管理、港政管理、水上安全监管、航道管理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船舶检验与管理。</w:t>
      </w: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21" w:name="_Toc15378446"/>
      <w:bookmarkStart w:id="22"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21"/>
      <w:bookmarkEnd w:id="22"/>
    </w:p>
    <w:p>
      <w:pPr>
        <w:tabs>
          <w:tab w:val="left" w:pos="1127"/>
        </w:tabs>
        <w:ind w:firstLine="640" w:firstLineChars="200"/>
        <w:rPr>
          <w:rFonts w:hint="eastAsia" w:ascii="楷体_GB2312" w:hAnsi="楷体_GB2312" w:eastAsia="楷体_GB2312" w:cs="楷体_GB2312"/>
          <w:bCs/>
          <w:sz w:val="32"/>
          <w:szCs w:val="32"/>
        </w:rPr>
      </w:pPr>
      <w:bookmarkStart w:id="23" w:name="_Toc15377200"/>
      <w:r>
        <w:rPr>
          <w:rFonts w:hint="eastAsia" w:ascii="楷体_GB2312" w:hAnsi="楷体_GB2312" w:eastAsia="楷体_GB2312" w:cs="楷体_GB2312"/>
          <w:bCs/>
          <w:sz w:val="32"/>
          <w:szCs w:val="32"/>
          <w:lang w:val="en-US" w:eastAsia="zh-CN"/>
        </w:rPr>
        <w:t>1、</w:t>
      </w:r>
      <w:r>
        <w:rPr>
          <w:rFonts w:hint="eastAsia" w:ascii="楷体_GB2312" w:hAnsi="楷体_GB2312" w:eastAsia="楷体_GB2312" w:cs="楷体_GB2312"/>
          <w:bCs/>
          <w:sz w:val="32"/>
          <w:szCs w:val="32"/>
        </w:rPr>
        <w:t>强化学习，提高政治站位</w:t>
      </w:r>
    </w:p>
    <w:p>
      <w:pPr>
        <w:tabs>
          <w:tab w:val="left" w:pos="1127"/>
        </w:tabs>
        <w:ind w:firstLine="640" w:firstLineChars="200"/>
        <w:rPr>
          <w:rFonts w:hint="eastAsia" w:ascii="仿宋_GB2312" w:eastAsia="仿宋_GB2312"/>
          <w:sz w:val="32"/>
          <w:szCs w:val="32"/>
        </w:rPr>
      </w:pPr>
      <w:r>
        <w:rPr>
          <w:rFonts w:hint="eastAsia" w:ascii="仿宋_GB2312" w:eastAsia="仿宋_GB2312"/>
          <w:sz w:val="32"/>
          <w:szCs w:val="32"/>
        </w:rPr>
        <w:t>区海事处始终把学习放在首位，学习方式灵活多样，采用职工大会、党员大会集中学，以领导分线、股室所分片分组学，请党校专家授课从听中学，参观家风馆等从看中学，观看《红旗漫卷西风》、《忏悔》等警示教育片从观中学，努力打造学习型单位。</w:t>
      </w:r>
      <w:r>
        <w:rPr>
          <w:rFonts w:hint="eastAsia" w:ascii="楷体_GB2312" w:hAnsi="楷体_GB2312" w:eastAsia="楷体_GB2312" w:cs="楷体_GB2312"/>
          <w:sz w:val="32"/>
          <w:szCs w:val="32"/>
        </w:rPr>
        <w:t>一是</w:t>
      </w:r>
      <w:r>
        <w:rPr>
          <w:rFonts w:hint="eastAsia" w:ascii="仿宋_GB2312" w:eastAsia="仿宋_GB2312"/>
          <w:sz w:val="32"/>
          <w:szCs w:val="32"/>
        </w:rPr>
        <w:t>深入学习贯彻习近平新时代中国特色社会主义思想和党的十九大精神，进一步提高政治站位，切实增强“四个意识”、坚定“四个自信”，站稳政治立场，坚决维护以习近平同志为核心的党中央权威和集中统一领导，始终和党中央保持高度一致；</w:t>
      </w:r>
      <w:r>
        <w:rPr>
          <w:rFonts w:hint="eastAsia" w:ascii="楷体_GB2312" w:hAnsi="楷体_GB2312" w:eastAsia="楷体_GB2312" w:cs="楷体_GB2312"/>
          <w:sz w:val="32"/>
          <w:szCs w:val="32"/>
        </w:rPr>
        <w:t>二是</w:t>
      </w:r>
      <w:r>
        <w:rPr>
          <w:rFonts w:hint="eastAsia" w:ascii="仿宋_GB2312" w:eastAsia="仿宋_GB2312"/>
          <w:sz w:val="32"/>
          <w:szCs w:val="32"/>
        </w:rPr>
        <w:t>认真学习水上业务知识，努力提高自身业务能力；</w:t>
      </w:r>
      <w:r>
        <w:rPr>
          <w:rFonts w:hint="eastAsia" w:ascii="楷体_GB2312" w:hAnsi="楷体_GB2312" w:eastAsia="楷体_GB2312" w:cs="楷体_GB2312"/>
          <w:sz w:val="32"/>
          <w:szCs w:val="32"/>
        </w:rPr>
        <w:t>三是</w:t>
      </w:r>
      <w:r>
        <w:rPr>
          <w:rFonts w:hint="eastAsia" w:ascii="仿宋_GB2312" w:eastAsia="仿宋_GB2312"/>
          <w:sz w:val="32"/>
          <w:szCs w:val="32"/>
        </w:rPr>
        <w:t>开展《宪法》大学习、大宣讲，学习水上相关法律法规知识，提升执法水平；</w:t>
      </w:r>
      <w:r>
        <w:rPr>
          <w:rFonts w:hint="eastAsia" w:ascii="楷体_GB2312" w:hAnsi="楷体_GB2312" w:eastAsia="楷体_GB2312" w:cs="楷体_GB2312"/>
          <w:sz w:val="32"/>
          <w:szCs w:val="32"/>
        </w:rPr>
        <w:t>四是</w:t>
      </w:r>
      <w:r>
        <w:rPr>
          <w:rFonts w:hint="eastAsia" w:ascii="仿宋_GB2312" w:eastAsia="仿宋_GB2312"/>
          <w:sz w:val="32"/>
          <w:szCs w:val="32"/>
          <w:lang w:eastAsia="zh-CN"/>
        </w:rPr>
        <w:t>认真学习</w:t>
      </w:r>
      <w:r>
        <w:rPr>
          <w:rFonts w:hint="eastAsia" w:ascii="仿宋_GB2312" w:eastAsia="仿宋_GB2312"/>
          <w:sz w:val="32"/>
          <w:szCs w:val="32"/>
        </w:rPr>
        <w:t>党风廉政教育知识，增强廉洁意识；</w:t>
      </w:r>
      <w:r>
        <w:rPr>
          <w:rFonts w:hint="eastAsia" w:ascii="楷体_GB2312" w:hAnsi="楷体_GB2312" w:eastAsia="楷体_GB2312" w:cs="楷体_GB2312"/>
          <w:sz w:val="32"/>
          <w:szCs w:val="32"/>
        </w:rPr>
        <w:t>五是</w:t>
      </w:r>
      <w:r>
        <w:rPr>
          <w:rFonts w:hint="eastAsia" w:ascii="仿宋_GB2312" w:eastAsia="仿宋_GB2312"/>
          <w:sz w:val="32"/>
          <w:szCs w:val="32"/>
        </w:rPr>
        <w:t>向优秀共产党员张贵平等模范</w:t>
      </w:r>
      <w:r>
        <w:rPr>
          <w:rFonts w:hint="eastAsia" w:ascii="仿宋_GB2312" w:eastAsia="仿宋_GB2312"/>
          <w:sz w:val="32"/>
          <w:szCs w:val="32"/>
          <w:lang w:eastAsia="zh-CN"/>
        </w:rPr>
        <w:t>同志</w:t>
      </w:r>
      <w:r>
        <w:rPr>
          <w:rFonts w:hint="eastAsia" w:ascii="仿宋_GB2312" w:eastAsia="仿宋_GB2312"/>
          <w:sz w:val="32"/>
          <w:szCs w:val="32"/>
        </w:rPr>
        <w:t>学习，树立了学先进、争先进的浓厚氛围。</w:t>
      </w:r>
    </w:p>
    <w:p>
      <w:pPr>
        <w:tabs>
          <w:tab w:val="left" w:pos="1127"/>
        </w:tabs>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2、</w:t>
      </w:r>
      <w:r>
        <w:rPr>
          <w:rFonts w:hint="eastAsia" w:ascii="楷体_GB2312" w:hAnsi="楷体_GB2312" w:eastAsia="楷体_GB2312" w:cs="楷体_GB2312"/>
          <w:bCs/>
          <w:sz w:val="32"/>
          <w:szCs w:val="32"/>
        </w:rPr>
        <w:t>着力安全培训教育宣传，提高水上安全防范意识</w:t>
      </w:r>
    </w:p>
    <w:p>
      <w:pPr>
        <w:tabs>
          <w:tab w:val="left" w:pos="1002"/>
        </w:tabs>
        <w:ind w:firstLine="800" w:firstLineChars="250"/>
        <w:rPr>
          <w:rFonts w:hint="eastAsia" w:ascii="仿宋_GB2312" w:eastAsia="仿宋_GB2312"/>
          <w:sz w:val="32"/>
          <w:szCs w:val="32"/>
        </w:rPr>
      </w:pPr>
      <w:r>
        <w:rPr>
          <w:rFonts w:hint="eastAsia" w:ascii="楷体_GB2312" w:hAnsi="楷体_GB2312" w:eastAsia="楷体_GB2312" w:cs="楷体_GB2312"/>
          <w:sz w:val="32"/>
          <w:szCs w:val="32"/>
        </w:rPr>
        <w:t>一是强化培训，</w:t>
      </w:r>
      <w:r>
        <w:rPr>
          <w:rFonts w:hint="eastAsia" w:ascii="仿宋_GB2312" w:hAnsi="仿宋_GB2312" w:eastAsia="仿宋_GB2312" w:cs="仿宋_GB2312"/>
          <w:sz w:val="32"/>
          <w:szCs w:val="32"/>
        </w:rPr>
        <w:t>采用</w:t>
      </w:r>
      <w:r>
        <w:rPr>
          <w:rFonts w:hint="eastAsia" w:ascii="仿宋_GB2312" w:eastAsia="仿宋_GB2312"/>
          <w:sz w:val="32"/>
          <w:szCs w:val="32"/>
        </w:rPr>
        <w:t>以会代训的形式组织辖区内船管员、船员、签单员开展水上交通业务知识培训4次,参训人员达370余人次，考试合格后才发放水上从业证书；</w:t>
      </w:r>
      <w:r>
        <w:rPr>
          <w:rFonts w:hint="eastAsia" w:ascii="楷体_GB2312" w:hAnsi="楷体_GB2312" w:eastAsia="楷体_GB2312" w:cs="楷体_GB2312"/>
          <w:sz w:val="32"/>
          <w:szCs w:val="32"/>
        </w:rPr>
        <w:t>二是强化教育，</w:t>
      </w:r>
      <w:r>
        <w:rPr>
          <w:rFonts w:hint="eastAsia" w:ascii="仿宋_GB2312" w:hAnsi="仿宋_GB2312" w:eastAsia="仿宋_GB2312" w:cs="仿宋_GB2312"/>
          <w:sz w:val="32"/>
          <w:szCs w:val="32"/>
        </w:rPr>
        <w:t>通过开展“水上交通安全知识进校园”活动，请市海事局业务专家对2所小学近1200余名小学生现场讲解水上安全知识、播放警示教育视频，</w:t>
      </w:r>
      <w:r>
        <w:rPr>
          <w:rFonts w:hint="eastAsia" w:ascii="仿宋_GB2312" w:hAnsi="仿宋_GB2312" w:eastAsia="仿宋_GB2312" w:cs="仿宋_GB2312"/>
          <w:sz w:val="32"/>
          <w:szCs w:val="32"/>
          <w:lang w:eastAsia="zh-CN"/>
        </w:rPr>
        <w:t>着</w:t>
      </w:r>
      <w:r>
        <w:rPr>
          <w:rFonts w:hint="eastAsia" w:ascii="仿宋_GB2312" w:hAnsi="仿宋_GB2312" w:eastAsia="仿宋_GB2312" w:cs="仿宋_GB2312"/>
          <w:sz w:val="32"/>
          <w:szCs w:val="32"/>
        </w:rPr>
        <w:t>力提升了过渡安全和防溺水安全意识</w:t>
      </w:r>
      <w:r>
        <w:rPr>
          <w:rFonts w:hint="eastAsia" w:ascii="仿宋_GB2312" w:eastAsia="仿宋_GB2312"/>
          <w:sz w:val="32"/>
          <w:szCs w:val="32"/>
        </w:rPr>
        <w:t>；</w:t>
      </w:r>
      <w:r>
        <w:rPr>
          <w:rFonts w:hint="eastAsia" w:ascii="楷体_GB2312" w:hAnsi="楷体_GB2312" w:eastAsia="楷体_GB2312" w:cs="楷体_GB2312"/>
          <w:sz w:val="32"/>
          <w:szCs w:val="32"/>
        </w:rPr>
        <w:t>三是强化宣传，</w:t>
      </w:r>
      <w:r>
        <w:rPr>
          <w:rFonts w:hint="eastAsia" w:ascii="仿宋_GB2312" w:eastAsia="仿宋_GB2312"/>
          <w:sz w:val="32"/>
          <w:szCs w:val="32"/>
        </w:rPr>
        <w:t>利用2月春运、3月安全警示月、6月“安全生产月”等活动</w:t>
      </w:r>
      <w:r>
        <w:rPr>
          <w:rFonts w:hint="eastAsia" w:ascii="仿宋_GB2312" w:eastAsia="仿宋_GB2312"/>
          <w:sz w:val="32"/>
        </w:rPr>
        <w:t>到乘船人员集中的场镇、码头进行水上安全知识宣传，散发水上交通安全宣传资料，引导群众不坐违章船，树立平安出行的安全理念</w:t>
      </w:r>
      <w:r>
        <w:rPr>
          <w:rFonts w:hint="eastAsia" w:ascii="仿宋_GB2312" w:eastAsia="仿宋_GB2312"/>
          <w:sz w:val="32"/>
          <w:szCs w:val="32"/>
        </w:rPr>
        <w:t>。全年，水上交通安全宣传共出动车辆25台次，参加宣传人员80余人次，悬挂横幅、粘贴标语12副，发放“水上交通安全从业人员知识手册”、“关爱生命、关注安全”、“船舶六不发航”等宣传资料3000余份、宣传册220余册。</w:t>
      </w:r>
    </w:p>
    <w:p>
      <w:pPr>
        <w:tabs>
          <w:tab w:val="left" w:pos="1002"/>
        </w:tabs>
        <w:ind w:firstLine="627" w:firstLineChars="196"/>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3、</w:t>
      </w:r>
      <w:r>
        <w:rPr>
          <w:rFonts w:hint="eastAsia" w:ascii="楷体_GB2312" w:hAnsi="楷体_GB2312" w:eastAsia="楷体_GB2312" w:cs="楷体_GB2312"/>
          <w:bCs/>
          <w:sz w:val="32"/>
          <w:szCs w:val="32"/>
        </w:rPr>
        <w:t>加强日常监管，圆满完成水上安全监管工作任务</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一是</w:t>
      </w:r>
      <w:r>
        <w:rPr>
          <w:rFonts w:hint="eastAsia" w:ascii="仿宋_GB2312" w:hAnsi="仿宋_GB2312" w:eastAsia="仿宋_GB2312" w:cs="仿宋_GB2312"/>
          <w:sz w:val="32"/>
          <w:szCs w:val="32"/>
        </w:rPr>
        <w:t>精心制订水上安全预警应急预案。结合我区水上工作实际，</w:t>
      </w:r>
      <w:r>
        <w:rPr>
          <w:rFonts w:hint="eastAsia" w:ascii="仿宋_GB2312" w:eastAsia="仿宋_GB2312"/>
          <w:sz w:val="32"/>
          <w:szCs w:val="32"/>
        </w:rPr>
        <w:t>制定了《2018年冰冻雨雪灾害天气水上运输应急救援预案》、《2018年春运水路交通应急预案》、《2018年趸船防汛工作预案》、</w:t>
      </w:r>
      <w:r>
        <w:rPr>
          <w:rFonts w:hint="eastAsia" w:ascii="仿宋_GB2312" w:hAnsi="华文中宋" w:eastAsia="仿宋_GB2312"/>
          <w:bCs/>
          <w:sz w:val="32"/>
          <w:szCs w:val="32"/>
        </w:rPr>
        <w:t>《2018年全区水上交通防汛抢险应急预案》及《扫黑除恶专项斗争工作方案》，确保水上安全监管有序推进。</w:t>
      </w:r>
      <w:r>
        <w:rPr>
          <w:rFonts w:hint="eastAsia" w:ascii="楷体_GB2312" w:hAnsi="楷体_GB2312" w:eastAsia="楷体_GB2312" w:cs="楷体_GB2312"/>
          <w:bCs/>
          <w:sz w:val="32"/>
          <w:szCs w:val="32"/>
        </w:rPr>
        <w:t>二</w:t>
      </w:r>
      <w:r>
        <w:rPr>
          <w:rFonts w:hint="eastAsia" w:ascii="楷体_GB2312" w:hAnsi="楷体_GB2312" w:eastAsia="楷体_GB2312" w:cs="楷体_GB2312"/>
          <w:sz w:val="32"/>
          <w:szCs w:val="32"/>
        </w:rPr>
        <w:t>是</w:t>
      </w:r>
      <w:r>
        <w:rPr>
          <w:rFonts w:hint="eastAsia" w:ascii="仿宋_GB2312" w:hAnsi="仿宋_GB2312" w:eastAsia="仿宋_GB2312" w:cs="仿宋_GB2312"/>
          <w:sz w:val="32"/>
          <w:szCs w:val="32"/>
        </w:rPr>
        <w:t>加强重点时段安全监管。</w:t>
      </w:r>
      <w:r>
        <w:rPr>
          <w:rFonts w:hint="eastAsia" w:ascii="仿宋_GB2312" w:eastAsia="仿宋_GB2312"/>
          <w:sz w:val="32"/>
          <w:szCs w:val="32"/>
        </w:rPr>
        <w:t>认真抓好春运、“两会”、“清明”、“五一”、“端午”和“中秋”、“国庆”等重点时段、渡运高峰期、恶劣天气情况下重点船舶、重点航道的水上安全监管工作。</w:t>
      </w:r>
      <w:r>
        <w:rPr>
          <w:rFonts w:hint="eastAsia" w:ascii="楷体_GB2312" w:hAnsi="楷体_GB2312" w:eastAsia="楷体_GB2312" w:cs="楷体_GB2312"/>
          <w:sz w:val="32"/>
          <w:szCs w:val="32"/>
        </w:rPr>
        <w:t>三是</w:t>
      </w:r>
      <w:r>
        <w:rPr>
          <w:rFonts w:hint="eastAsia" w:ascii="仿宋_GB2312" w:eastAsia="仿宋_GB2312"/>
          <w:sz w:val="32"/>
          <w:szCs w:val="32"/>
        </w:rPr>
        <w:t>排查并及时整治安全隐患。扎实开展水上交通执法大检查和安全隐患大排查，实行全覆盖，逐船逐点检查到位，整改到位。</w:t>
      </w:r>
      <w:r>
        <w:rPr>
          <w:rFonts w:hint="eastAsia" w:ascii="楷体_GB2312" w:hAnsi="楷体_GB2312" w:eastAsia="楷体_GB2312" w:cs="楷体_GB2312"/>
          <w:sz w:val="32"/>
          <w:szCs w:val="32"/>
        </w:rPr>
        <w:t>四是</w:t>
      </w:r>
      <w:r>
        <w:rPr>
          <w:rFonts w:hint="eastAsia" w:ascii="仿宋_GB2312" w:eastAsia="仿宋_GB2312"/>
          <w:sz w:val="32"/>
          <w:szCs w:val="32"/>
        </w:rPr>
        <w:t>加强日常巡逻和巡查，严格水上执法，确保辖区水上安全。</w:t>
      </w:r>
      <w:r>
        <w:rPr>
          <w:rFonts w:hint="eastAsia" w:ascii="仿宋_GB2312" w:hAnsi="仿宋_GB2312" w:eastAsia="仿宋_GB2312" w:cs="仿宋_GB2312"/>
          <w:kern w:val="0"/>
          <w:sz w:val="32"/>
          <w:szCs w:val="32"/>
          <w:lang w:bidi="ar"/>
        </w:rPr>
        <w:t>全</w:t>
      </w:r>
      <w:r>
        <w:rPr>
          <w:rFonts w:hint="eastAsia" w:ascii="仿宋_GB2312" w:hAnsi="仿宋_GB2312" w:eastAsia="仿宋_GB2312" w:cs="仿宋_GB2312"/>
          <w:sz w:val="32"/>
          <w:szCs w:val="32"/>
        </w:rPr>
        <w:t>年，共安全检查240余次，出动检查车（艇）150艘次，参加检查人员</w:t>
      </w:r>
      <w:r>
        <w:rPr>
          <w:rFonts w:hint="eastAsia" w:ascii="仿宋_GB2312" w:hAnsi="仿宋_GB2312" w:eastAsia="仿宋_GB2312" w:cs="仿宋_GB2312"/>
          <w:sz w:val="32"/>
          <w:szCs w:val="32"/>
          <w:lang w:val="en-US" w:eastAsia="zh-CN"/>
        </w:rPr>
        <w:t>700</w:t>
      </w:r>
      <w:r>
        <w:rPr>
          <w:rFonts w:hint="eastAsia" w:ascii="仿宋_GB2312" w:hAnsi="仿宋_GB2312" w:eastAsia="仿宋_GB2312" w:cs="仿宋_GB2312"/>
          <w:sz w:val="32"/>
          <w:szCs w:val="32"/>
        </w:rPr>
        <w:t>余人</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，检查各类船舶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00余艘，</w:t>
      </w:r>
      <w:r>
        <w:rPr>
          <w:rFonts w:hint="eastAsia" w:ascii="仿宋_GB2312" w:hAnsi="仿宋_GB2312" w:eastAsia="仿宋_GB2312" w:cs="仿宋_GB2312"/>
          <w:sz w:val="32"/>
          <w:szCs w:val="32"/>
          <w:lang w:eastAsia="zh-CN"/>
        </w:rPr>
        <w:t>现场检查</w:t>
      </w:r>
      <w:r>
        <w:rPr>
          <w:rFonts w:hint="eastAsia" w:ascii="仿宋_GB2312" w:hAnsi="仿宋_GB2312" w:eastAsia="仿宋_GB2312" w:cs="仿宋_GB2312"/>
          <w:sz w:val="32"/>
          <w:szCs w:val="32"/>
        </w:rPr>
        <w:t>发</w:t>
      </w:r>
      <w:r>
        <w:rPr>
          <w:rFonts w:hint="eastAsia" w:ascii="仿宋_GB2312" w:hAnsi="仿宋_GB2312" w:eastAsia="仿宋_GB2312" w:cs="仿宋_GB2312"/>
          <w:sz w:val="32"/>
          <w:szCs w:val="32"/>
          <w:lang w:eastAsia="zh-CN"/>
        </w:rPr>
        <w:t>现安全</w:t>
      </w:r>
      <w:r>
        <w:rPr>
          <w:rFonts w:hint="eastAsia" w:ascii="仿宋_GB2312" w:hAnsi="仿宋_GB2312" w:eastAsia="仿宋_GB2312" w:cs="仿宋_GB2312"/>
          <w:sz w:val="32"/>
          <w:szCs w:val="32"/>
        </w:rPr>
        <w:t>隐患</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起，现场整改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起，悬挂安全标语13幅，环境整治标语10幅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水源保护警示牌3幅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安全宣传展板3幅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安全风险源管控1幅，发放</w:t>
      </w:r>
      <w:r>
        <w:rPr>
          <w:rFonts w:hint="eastAsia" w:ascii="仿宋_GB2312" w:hAnsi="仿宋_GB2312" w:eastAsia="仿宋_GB2312" w:cs="仿宋_GB2312"/>
          <w:sz w:val="32"/>
          <w:szCs w:val="32"/>
          <w:lang w:eastAsia="zh-CN"/>
        </w:rPr>
        <w:t>水上交通</w:t>
      </w:r>
      <w:r>
        <w:rPr>
          <w:rFonts w:hint="eastAsia" w:ascii="仿宋_GB2312" w:hAnsi="仿宋_GB2312" w:eastAsia="仿宋_GB2312" w:cs="仿宋_GB2312"/>
          <w:sz w:val="32"/>
          <w:szCs w:val="32"/>
        </w:rPr>
        <w:t>安全宣传资料600余份，为群众提供法律咨询服务7余人次。</w:t>
      </w:r>
    </w:p>
    <w:p>
      <w:pPr>
        <w:tabs>
          <w:tab w:val="left" w:pos="1127"/>
        </w:tabs>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加强防汛工作，确保安全度汛</w:t>
      </w:r>
    </w:p>
    <w:p>
      <w:pPr>
        <w:tabs>
          <w:tab w:val="left" w:pos="1127"/>
        </w:tabs>
        <w:ind w:firstLine="800" w:firstLineChars="250"/>
        <w:rPr>
          <w:rFonts w:hint="eastAsia" w:ascii="仿宋_GB2312" w:eastAsia="仿宋_GB2312"/>
          <w:sz w:val="32"/>
          <w:szCs w:val="32"/>
        </w:rPr>
      </w:pPr>
      <w:r>
        <w:rPr>
          <w:rFonts w:hint="eastAsia" w:ascii="楷体_GB2312" w:hAnsi="楷体_GB2312" w:eastAsia="楷体_GB2312" w:cs="楷体_GB2312"/>
          <w:sz w:val="32"/>
          <w:szCs w:val="32"/>
        </w:rPr>
        <w:t>一是汛前</w:t>
      </w:r>
      <w:r>
        <w:rPr>
          <w:rFonts w:hint="eastAsia" w:ascii="仿宋_GB2312" w:eastAsia="仿宋_GB2312"/>
          <w:sz w:val="32"/>
          <w:szCs w:val="32"/>
        </w:rPr>
        <w:t>我处下发了《</w:t>
      </w:r>
      <w:r>
        <w:rPr>
          <w:rFonts w:hint="eastAsia" w:ascii="仿宋_GB2312" w:hAnsi="新宋体" w:eastAsia="仿宋_GB2312"/>
          <w:sz w:val="32"/>
          <w:szCs w:val="32"/>
        </w:rPr>
        <w:t>2018年水上交通安全防汛工作的通知》，为</w:t>
      </w:r>
      <w:r>
        <w:rPr>
          <w:rFonts w:hint="eastAsia" w:ascii="仿宋_GB2312" w:eastAsia="仿宋_GB2312"/>
          <w:sz w:val="32"/>
          <w:szCs w:val="32"/>
        </w:rPr>
        <w:t>做好辖区各项防汛工作提出了明确要求，及时制定了《2018年全区水上交通防汛抢险应急预案》，确保汛期这一特殊时段水上交通安全。</w:t>
      </w:r>
    </w:p>
    <w:p>
      <w:pPr>
        <w:tabs>
          <w:tab w:val="left" w:pos="1127"/>
        </w:tabs>
        <w:ind w:firstLine="800" w:firstLineChars="250"/>
        <w:rPr>
          <w:rFonts w:hint="eastAsia" w:ascii="仿宋_GB2312" w:eastAsia="仿宋_GB2312"/>
          <w:sz w:val="32"/>
          <w:szCs w:val="32"/>
        </w:rPr>
      </w:pPr>
      <w:r>
        <w:rPr>
          <w:rFonts w:hint="eastAsia" w:ascii="楷体_GB2312" w:hAnsi="楷体_GB2312" w:eastAsia="楷体_GB2312" w:cs="楷体_GB2312"/>
          <w:sz w:val="32"/>
          <w:szCs w:val="32"/>
        </w:rPr>
        <w:t>二是</w:t>
      </w:r>
      <w:r>
        <w:rPr>
          <w:rFonts w:hint="eastAsia" w:ascii="仿宋_GB2312" w:eastAsia="仿宋_GB2312"/>
          <w:sz w:val="32"/>
          <w:szCs w:val="32"/>
        </w:rPr>
        <w:t>为切实加强防汛组织领导，明确任务，落实责任，成立汛期水上交通防汛抢险领导小组，检查和督促各有船乡镇、辖区航运企业、船舶所有人防汛预案的落实，防汛人员、物资和车船的准备，备齐备足抢险应急物质及器材，确保关键时刻救灾物资及时到位；在紫兰湖组织开展水上交通突发事件的应急救援训练，公布了防汛值班电话（3241555）和海事求助电话12395，为今年汛期船舶安全度汛奠定了坚实的基础。</w:t>
      </w:r>
    </w:p>
    <w:p>
      <w:pPr>
        <w:tabs>
          <w:tab w:val="left" w:pos="1127"/>
        </w:tabs>
        <w:ind w:firstLine="800" w:firstLineChars="250"/>
        <w:rPr>
          <w:rFonts w:hint="eastAsia" w:ascii="仿宋_GB2312" w:hAnsi="仿宋_GB2312" w:eastAsia="仿宋_GB2312" w:cs="仿宋_GB2312"/>
          <w:sz w:val="32"/>
        </w:rPr>
      </w:pPr>
      <w:r>
        <w:rPr>
          <w:rFonts w:hint="eastAsia" w:ascii="楷体_GB2312" w:hAnsi="楷体_GB2312" w:eastAsia="楷体_GB2312" w:cs="楷体_GB2312"/>
          <w:sz w:val="32"/>
          <w:szCs w:val="32"/>
        </w:rPr>
        <w:t>三是</w:t>
      </w:r>
      <w:r>
        <w:rPr>
          <w:rFonts w:hint="eastAsia" w:ascii="仿宋_GB2312" w:eastAsia="仿宋_GB2312"/>
          <w:sz w:val="32"/>
          <w:szCs w:val="32"/>
        </w:rPr>
        <w:t>扎实开展了辖区水上交通防汛大检查、大执法、大整改、大落实和隐患再排查，</w:t>
      </w:r>
      <w:r>
        <w:rPr>
          <w:rFonts w:hint="eastAsia" w:ascii="仿宋_GB2312" w:hAnsi="宋体" w:eastAsia="仿宋_GB2312" w:cs="宋体"/>
          <w:sz w:val="32"/>
          <w:szCs w:val="32"/>
        </w:rPr>
        <w:t>逐船逐点都清查到位，</w:t>
      </w:r>
      <w:r>
        <w:rPr>
          <w:rFonts w:hint="eastAsia" w:ascii="仿宋_GB2312" w:eastAsia="仿宋_GB2312"/>
          <w:sz w:val="32"/>
        </w:rPr>
        <w:t>逐船</w:t>
      </w:r>
      <w:r>
        <w:rPr>
          <w:rFonts w:hint="eastAsia" w:ascii="楷体_GB2312" w:hAnsi="楷体_GB2312" w:eastAsia="楷体_GB2312" w:cs="楷体_GB2312"/>
          <w:sz w:val="32"/>
          <w:szCs w:val="32"/>
        </w:rPr>
        <w:t>落实</w:t>
      </w:r>
      <w:r>
        <w:rPr>
          <w:rFonts w:hint="eastAsia" w:ascii="仿宋_GB2312" w:eastAsia="仿宋_GB2312"/>
          <w:sz w:val="32"/>
        </w:rPr>
        <w:t>安全泊位，</w:t>
      </w:r>
      <w:r>
        <w:rPr>
          <w:rFonts w:hint="eastAsia" w:ascii="仿宋_GB2312" w:eastAsia="仿宋_GB2312"/>
          <w:sz w:val="32"/>
          <w:szCs w:val="32"/>
        </w:rPr>
        <w:t>督促船舶所有人、经营人制定切实有效的防汛预案，明确工作职责及工作任务</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在嘉陵江流域和金洞渡口选择合理的位置新建高、中、低防洪桩20处，为船舶安全度汛提供了保障。</w:t>
      </w:r>
    </w:p>
    <w:p>
      <w:pPr>
        <w:tabs>
          <w:tab w:val="left" w:pos="1127"/>
        </w:tabs>
        <w:ind w:firstLine="800" w:firstLineChars="250"/>
        <w:rPr>
          <w:rFonts w:hint="eastAsia" w:ascii="仿宋_GB2312" w:eastAsia="仿宋_GB2312"/>
          <w:sz w:val="32"/>
          <w:szCs w:val="32"/>
          <w:lang w:eastAsia="zh-CN"/>
        </w:rPr>
      </w:pPr>
      <w:r>
        <w:rPr>
          <w:rFonts w:hint="eastAsia" w:ascii="楷体_GB2312" w:hAnsi="楷体_GB2312" w:eastAsia="楷体_GB2312" w:cs="楷体_GB2312"/>
          <w:sz w:val="32"/>
        </w:rPr>
        <w:t>四是</w:t>
      </w:r>
      <w:r>
        <w:rPr>
          <w:rFonts w:hint="eastAsia" w:ascii="仿宋_GB2312" w:eastAsia="仿宋_GB2312"/>
          <w:sz w:val="32"/>
          <w:szCs w:val="32"/>
        </w:rPr>
        <w:t>汛期严格执行领导带班和24小时值班制度，及时同各防汛部门沟通联系，及时掌握辖区的水情、汛情、雨情和水流等情况，充分利用微信、短信、超级信使平台及时有效传递各种防汛预报信息；严格执行客渡船停航封渡、减载和“六不发航”等规章制度，坚决执行救生衣“两个100%”穿戴；汛期洪峰过境期间，海事处全体职工全部昼夜坚</w:t>
      </w:r>
      <w:r>
        <w:rPr>
          <w:rFonts w:hint="eastAsia" w:ascii="仿宋_GB2312" w:eastAsia="仿宋_GB2312"/>
          <w:sz w:val="32"/>
          <w:szCs w:val="32"/>
          <w:lang w:eastAsia="zh-CN"/>
        </w:rPr>
        <w:t>守</w:t>
      </w:r>
      <w:r>
        <w:rPr>
          <w:rFonts w:hint="eastAsia" w:ascii="仿宋_GB2312" w:eastAsia="仿宋_GB2312"/>
          <w:sz w:val="32"/>
          <w:szCs w:val="32"/>
        </w:rPr>
        <w:t>在抗洪抢险第一线，及时巡逻查看水情，合理调配力量，加固船舶缆绳，确保了今年在几十年不遇的大洪水</w:t>
      </w:r>
      <w:r>
        <w:rPr>
          <w:rFonts w:hint="eastAsia" w:ascii="仿宋_GB2312" w:eastAsia="仿宋_GB2312"/>
          <w:sz w:val="32"/>
          <w:szCs w:val="32"/>
          <w:lang w:eastAsia="zh-CN"/>
        </w:rPr>
        <w:t>前</w:t>
      </w:r>
      <w:r>
        <w:rPr>
          <w:rFonts w:hint="eastAsia" w:ascii="仿宋_GB2312" w:eastAsia="仿宋_GB2312"/>
          <w:sz w:val="32"/>
          <w:szCs w:val="32"/>
        </w:rPr>
        <w:t>船舶实现了安全度汛，并出动海事船艇配合区</w:t>
      </w:r>
      <w:r>
        <w:rPr>
          <w:rFonts w:hint="eastAsia" w:ascii="仿宋_GB2312" w:eastAsia="仿宋_GB2312"/>
          <w:sz w:val="32"/>
          <w:szCs w:val="32"/>
          <w:lang w:eastAsia="zh-CN"/>
        </w:rPr>
        <w:t>级</w:t>
      </w:r>
      <w:r>
        <w:rPr>
          <w:rFonts w:hint="eastAsia" w:ascii="仿宋_GB2312" w:eastAsia="仿宋_GB2312"/>
          <w:sz w:val="32"/>
          <w:szCs w:val="32"/>
        </w:rPr>
        <w:t>相关部门对白龙湖、紫兰湖、栖凤湖湖面垃圾进行清理打捞，及时排除航道安全隐患</w:t>
      </w:r>
      <w:r>
        <w:rPr>
          <w:rFonts w:hint="eastAsia" w:ascii="仿宋_GB2312" w:eastAsia="仿宋_GB2312"/>
          <w:sz w:val="32"/>
          <w:szCs w:val="32"/>
          <w:lang w:eastAsia="zh-CN"/>
        </w:rPr>
        <w:t>，确保航道畅通。</w:t>
      </w:r>
    </w:p>
    <w:p>
      <w:pPr>
        <w:ind w:firstLine="633" w:firstLineChars="198"/>
        <w:rPr>
          <w:rFonts w:hint="eastAsia" w:ascii="楷体_GB2312" w:hAnsi="楷体_GB2312" w:eastAsia="楷体_GB2312" w:cs="楷体_GB2312"/>
          <w:bCs/>
          <w:kern w:val="0"/>
          <w:sz w:val="32"/>
          <w:szCs w:val="32"/>
        </w:rPr>
      </w:pPr>
      <w:r>
        <w:rPr>
          <w:rFonts w:hint="eastAsia" w:ascii="楷体_GB2312" w:hAnsi="楷体_GB2312" w:eastAsia="楷体_GB2312" w:cs="楷体_GB2312"/>
          <w:bCs/>
          <w:color w:val="000000"/>
          <w:sz w:val="32"/>
          <w:szCs w:val="32"/>
          <w:lang w:val="en-US" w:eastAsia="zh-CN"/>
        </w:rPr>
        <w:t>5、</w:t>
      </w:r>
      <w:r>
        <w:rPr>
          <w:rFonts w:hint="eastAsia" w:ascii="楷体_GB2312" w:hAnsi="楷体_GB2312" w:eastAsia="楷体_GB2312" w:cs="楷体_GB2312"/>
          <w:bCs/>
          <w:kern w:val="0"/>
          <w:sz w:val="32"/>
          <w:szCs w:val="32"/>
        </w:rPr>
        <w:t>加强船舶管理</w:t>
      </w:r>
      <w:r>
        <w:rPr>
          <w:rFonts w:hint="eastAsia" w:ascii="楷体_GB2312" w:hAnsi="楷体_GB2312" w:eastAsia="楷体_GB2312" w:cs="楷体_GB2312"/>
          <w:bCs/>
          <w:kern w:val="0"/>
          <w:sz w:val="32"/>
          <w:szCs w:val="32"/>
          <w:lang w:eastAsia="zh-CN"/>
        </w:rPr>
        <w:t>，</w:t>
      </w:r>
      <w:r>
        <w:rPr>
          <w:rFonts w:hint="eastAsia" w:ascii="楷体_GB2312" w:hAnsi="楷体_GB2312" w:eastAsia="楷体_GB2312" w:cs="楷体_GB2312"/>
          <w:bCs/>
          <w:kern w:val="0"/>
          <w:sz w:val="32"/>
          <w:szCs w:val="32"/>
        </w:rPr>
        <w:t>规范水路运输市场</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一是</w:t>
      </w:r>
      <w:r>
        <w:rPr>
          <w:rFonts w:hint="eastAsia" w:ascii="仿宋_GB2312" w:eastAsia="仿宋_GB2312"/>
          <w:sz w:val="32"/>
          <w:szCs w:val="32"/>
        </w:rPr>
        <w:t>因辖区内营运船舶数量减少关系，今年共检验营运船舶</w:t>
      </w:r>
      <w:r>
        <w:rPr>
          <w:rFonts w:hint="eastAsia" w:ascii="仿宋_GB2312" w:eastAsia="仿宋_GB2312"/>
          <w:sz w:val="32"/>
          <w:szCs w:val="32"/>
          <w:lang w:val="en-US" w:eastAsia="zh-CN"/>
        </w:rPr>
        <w:t>6</w:t>
      </w:r>
      <w:r>
        <w:rPr>
          <w:rFonts w:hint="eastAsia" w:ascii="仿宋_GB2312" w:eastAsia="仿宋_GB2312"/>
          <w:sz w:val="32"/>
          <w:szCs w:val="32"/>
        </w:rPr>
        <w:t>艘（次），同时对菖溪河200余艘漂流艇进行了年度认证。共整理、归档了船检档案</w:t>
      </w:r>
      <w:r>
        <w:rPr>
          <w:rFonts w:hint="eastAsia" w:ascii="仿宋_GB2312" w:eastAsia="仿宋_GB2312"/>
          <w:sz w:val="32"/>
          <w:szCs w:val="32"/>
          <w:lang w:val="en-US" w:eastAsia="zh-CN"/>
        </w:rPr>
        <w:t>6</w:t>
      </w:r>
      <w:r>
        <w:rPr>
          <w:rFonts w:hint="eastAsia" w:ascii="仿宋_GB2312" w:eastAsia="仿宋_GB2312"/>
          <w:sz w:val="32"/>
          <w:szCs w:val="32"/>
        </w:rPr>
        <w:t>份，检验数据均在省船检系统、市海事网络平台上进行了更新，确保了申请检验的船舶适航。</w:t>
      </w:r>
      <w:r>
        <w:rPr>
          <w:rFonts w:hint="eastAsia" w:ascii="楷体_GB2312" w:hAnsi="楷体_GB2312" w:eastAsia="楷体_GB2312" w:cs="楷体_GB2312"/>
          <w:sz w:val="32"/>
          <w:szCs w:val="32"/>
        </w:rPr>
        <w:t>二是</w:t>
      </w:r>
      <w:r>
        <w:rPr>
          <w:rFonts w:hint="eastAsia" w:ascii="仿宋_GB2312" w:hAnsi="仿宋_GB2312" w:eastAsia="仿宋_GB2312" w:cs="仿宋_GB2312"/>
          <w:sz w:val="32"/>
          <w:szCs w:val="32"/>
          <w:lang w:eastAsia="zh-CN"/>
        </w:rPr>
        <w:t>进一步规范辖区运输船舶，核查了运输船舶实有数，确保数据和信息准确，共撤解证书过期搁置船舶</w:t>
      </w:r>
      <w:r>
        <w:rPr>
          <w:rFonts w:hint="eastAsia" w:ascii="仿宋_GB2312" w:hAnsi="仿宋_GB2312" w:eastAsia="仿宋_GB2312" w:cs="仿宋_GB2312"/>
          <w:sz w:val="32"/>
          <w:szCs w:val="32"/>
          <w:lang w:val="en-US" w:eastAsia="zh-CN"/>
        </w:rPr>
        <w:t>60艘。</w:t>
      </w:r>
      <w:r>
        <w:rPr>
          <w:rFonts w:hint="eastAsia" w:ascii="楷体_GB2312" w:hAnsi="楷体_GB2312" w:eastAsia="楷体_GB2312" w:cs="楷体_GB2312"/>
          <w:sz w:val="32"/>
          <w:szCs w:val="32"/>
        </w:rPr>
        <w:t>三是</w:t>
      </w:r>
      <w:r>
        <w:rPr>
          <w:rFonts w:hint="eastAsia" w:ascii="仿宋_GB2312" w:hAnsi="仿宋_GB2312" w:eastAsia="仿宋_GB2312" w:cs="仿宋_GB2312"/>
          <w:sz w:val="32"/>
          <w:szCs w:val="32"/>
        </w:rPr>
        <w:t>完成辖区水路运输</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核查工作，共核查企业2个，运输船舶</w:t>
      </w:r>
      <w:r>
        <w:rPr>
          <w:rFonts w:hint="eastAsia" w:ascii="仿宋_GB2312" w:eastAsia="仿宋_GB2312"/>
          <w:sz w:val="32"/>
          <w:szCs w:val="32"/>
        </w:rPr>
        <w:t>10艘；</w:t>
      </w:r>
      <w:r>
        <w:rPr>
          <w:rFonts w:hint="eastAsia" w:ascii="楷体_GB2312" w:hAnsi="楷体_GB2312" w:eastAsia="楷体_GB2312" w:cs="楷体_GB2312"/>
          <w:sz w:val="32"/>
          <w:szCs w:val="32"/>
        </w:rPr>
        <w:t>四是</w:t>
      </w:r>
      <w:r>
        <w:rPr>
          <w:rFonts w:hint="eastAsia" w:ascii="仿宋_GB2312" w:eastAsia="仿宋_GB2312"/>
          <w:sz w:val="32"/>
          <w:szCs w:val="32"/>
        </w:rPr>
        <w:t>在金洞码头设立了“非洲猪瘟”水上运输检查点，实现了健康水运；</w:t>
      </w:r>
      <w:r>
        <w:rPr>
          <w:rFonts w:hint="eastAsia" w:ascii="楷体_GB2312" w:hAnsi="楷体_GB2312" w:eastAsia="楷体_GB2312" w:cs="楷体_GB2312"/>
          <w:sz w:val="32"/>
          <w:szCs w:val="32"/>
        </w:rPr>
        <w:t>五是</w:t>
      </w:r>
      <w:r>
        <w:rPr>
          <w:rFonts w:hint="eastAsia" w:ascii="仿宋_GB2312" w:eastAsia="仿宋_GB2312"/>
          <w:sz w:val="32"/>
          <w:szCs w:val="32"/>
        </w:rPr>
        <w:t>结合水上</w:t>
      </w:r>
      <w:r>
        <w:rPr>
          <w:rFonts w:hint="eastAsia" w:ascii="仿宋_GB2312" w:eastAsia="仿宋_GB2312"/>
          <w:sz w:val="32"/>
          <w:szCs w:val="32"/>
          <w:lang w:eastAsia="zh-CN"/>
        </w:rPr>
        <w:t>扫黑除恶专项斗争</w:t>
      </w:r>
      <w:r>
        <w:rPr>
          <w:rFonts w:hint="eastAsia" w:ascii="仿宋_GB2312" w:eastAsia="仿宋_GB2312"/>
          <w:sz w:val="32"/>
          <w:szCs w:val="32"/>
        </w:rPr>
        <w:t>的开展，保障了水路运输市场的规范和有序。</w:t>
      </w:r>
      <w:r>
        <w:rPr>
          <w:rFonts w:hint="eastAsia" w:ascii="仿宋_GB2312" w:hAnsi="宋体" w:eastAsia="仿宋_GB2312" w:cs="Arial"/>
          <w:kern w:val="0"/>
          <w:sz w:val="32"/>
          <w:szCs w:val="32"/>
        </w:rPr>
        <w:t>全年，完成水路旅客运输量12万人次，旅客周转量144万人公里，货运量61万吨，货运周转量72万吨公里</w:t>
      </w:r>
      <w:r>
        <w:rPr>
          <w:rFonts w:hint="eastAsia" w:ascii="仿宋_GB2312" w:hAnsi="仿宋_GB2312" w:eastAsia="仿宋_GB2312" w:cs="仿宋_GB2312"/>
          <w:sz w:val="32"/>
          <w:szCs w:val="32"/>
        </w:rPr>
        <w:t>（由于辖区运沙驳船全部撤解，货运量比去年同期大幅降低）。</w:t>
      </w:r>
    </w:p>
    <w:p>
      <w:pPr>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强力推进水路交通环境保护工作，</w:t>
      </w:r>
      <w:r>
        <w:rPr>
          <w:rFonts w:hint="eastAsia" w:ascii="楷体_GB2312" w:hAnsi="楷体_GB2312" w:eastAsia="楷体_GB2312" w:cs="楷体_GB2312"/>
          <w:sz w:val="32"/>
          <w:szCs w:val="32"/>
          <w:lang w:eastAsia="zh-CN"/>
        </w:rPr>
        <w:t>让</w:t>
      </w:r>
      <w:r>
        <w:rPr>
          <w:rFonts w:hint="eastAsia" w:ascii="楷体_GB2312" w:hAnsi="楷体_GB2312" w:eastAsia="楷体_GB2312" w:cs="楷体_GB2312"/>
          <w:sz w:val="32"/>
          <w:szCs w:val="32"/>
        </w:rPr>
        <w:t>水域</w:t>
      </w:r>
      <w:r>
        <w:rPr>
          <w:rFonts w:hint="eastAsia" w:ascii="楷体_GB2312" w:hAnsi="楷体_GB2312" w:eastAsia="楷体_GB2312" w:cs="楷体_GB2312"/>
          <w:sz w:val="32"/>
          <w:szCs w:val="32"/>
          <w:lang w:eastAsia="zh-CN"/>
        </w:rPr>
        <w:t>更</w:t>
      </w:r>
      <w:r>
        <w:rPr>
          <w:rFonts w:hint="eastAsia" w:ascii="楷体_GB2312" w:hAnsi="楷体_GB2312" w:eastAsia="楷体_GB2312" w:cs="楷体_GB2312"/>
          <w:sz w:val="32"/>
          <w:szCs w:val="32"/>
        </w:rPr>
        <w:t>清</w:t>
      </w:r>
      <w:r>
        <w:rPr>
          <w:rFonts w:hint="eastAsia" w:ascii="楷体_GB2312" w:hAnsi="楷体_GB2312" w:eastAsia="楷体_GB2312" w:cs="楷体_GB2312"/>
          <w:sz w:val="32"/>
          <w:szCs w:val="32"/>
          <w:lang w:eastAsia="zh-CN"/>
        </w:rPr>
        <w:t>澈</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一是</w:t>
      </w:r>
      <w:r>
        <w:rPr>
          <w:rFonts w:hint="eastAsia" w:ascii="仿宋_GB2312" w:hAnsi="仿宋_GB2312" w:eastAsia="仿宋_GB2312" w:cs="仿宋_GB2312"/>
          <w:sz w:val="32"/>
          <w:szCs w:val="32"/>
        </w:rPr>
        <w:t>海事处水路交通环境污染防治工作领导小组定期召开会议专题研究</w:t>
      </w:r>
      <w:r>
        <w:rPr>
          <w:rFonts w:hint="eastAsia" w:ascii="仿宋_GB2312" w:hAnsi="仿宋_GB2312" w:eastAsia="仿宋_GB2312" w:cs="仿宋_GB2312"/>
          <w:sz w:val="32"/>
          <w:szCs w:val="32"/>
          <w:lang w:eastAsia="zh-CN"/>
        </w:rPr>
        <w:t>，编制了《</w:t>
      </w:r>
      <w:r>
        <w:rPr>
          <w:rFonts w:hint="eastAsia" w:ascii="仿宋_GB2312" w:hAnsi="仿宋_GB2312" w:eastAsia="仿宋_GB2312" w:cs="仿宋_GB2312"/>
          <w:sz w:val="32"/>
          <w:szCs w:val="32"/>
          <w:lang w:val="en-US" w:eastAsia="zh-CN"/>
        </w:rPr>
        <w:t>2018年船舶污染事故应急处置预案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强力推进水路环保工作。</w:t>
      </w:r>
      <w:r>
        <w:rPr>
          <w:rFonts w:hint="eastAsia" w:ascii="楷体_GB2312" w:hAnsi="楷体_GB2312" w:eastAsia="楷体_GB2312" w:cs="楷体_GB2312"/>
          <w:sz w:val="32"/>
          <w:szCs w:val="32"/>
        </w:rPr>
        <w:t>二是</w:t>
      </w:r>
      <w:r>
        <w:rPr>
          <w:rFonts w:hint="eastAsia" w:ascii="仿宋_GB2312" w:hAnsi="仿宋_GB2312" w:eastAsia="仿宋_GB2312" w:cs="仿宋_GB2312"/>
          <w:sz w:val="32"/>
          <w:szCs w:val="32"/>
        </w:rPr>
        <w:t>辖区客渡船、旅游船、餐饮船舶、货船及公务船等均按照标准要求</w:t>
      </w:r>
      <w:r>
        <w:rPr>
          <w:rFonts w:hint="eastAsia" w:ascii="仿宋_GB2312" w:hAnsi="仿宋_GB2312" w:eastAsia="仿宋_GB2312" w:cs="仿宋_GB2312"/>
          <w:sz w:val="32"/>
          <w:szCs w:val="32"/>
          <w:lang w:eastAsia="zh-CN"/>
        </w:rPr>
        <w:t>设立</w:t>
      </w:r>
      <w:r>
        <w:rPr>
          <w:rFonts w:hint="eastAsia" w:ascii="仿宋_GB2312" w:hAnsi="仿宋_GB2312" w:eastAsia="仿宋_GB2312" w:cs="仿宋_GB2312"/>
          <w:sz w:val="32"/>
          <w:szCs w:val="32"/>
        </w:rPr>
        <w:t>垃圾桶、油污桶等，设置了“禁止向江中扔垃圾”</w:t>
      </w:r>
      <w:r>
        <w:rPr>
          <w:rFonts w:hint="eastAsia" w:ascii="仿宋_GB2312" w:hAnsi="仿宋_GB2312" w:eastAsia="仿宋_GB2312" w:cs="仿宋_GB2312"/>
          <w:sz w:val="32"/>
          <w:szCs w:val="32"/>
          <w:lang w:eastAsia="zh-CN"/>
        </w:rPr>
        <w:t>、“饮用水源一级保护区禁止船舶停靠”</w:t>
      </w:r>
      <w:r>
        <w:rPr>
          <w:rFonts w:hint="eastAsia" w:ascii="仿宋_GB2312" w:hAnsi="仿宋_GB2312" w:eastAsia="仿宋_GB2312" w:cs="仿宋_GB2312"/>
          <w:sz w:val="32"/>
          <w:szCs w:val="32"/>
        </w:rPr>
        <w:t>等告示牌。</w:t>
      </w:r>
      <w:r>
        <w:rPr>
          <w:rFonts w:hint="eastAsia" w:ascii="楷体_GB2312" w:hAnsi="楷体_GB2312" w:eastAsia="楷体_GB2312" w:cs="楷体_GB2312"/>
          <w:sz w:val="32"/>
          <w:szCs w:val="32"/>
        </w:rPr>
        <w:t>三是</w:t>
      </w:r>
      <w:r>
        <w:rPr>
          <w:rFonts w:hint="eastAsia" w:ascii="仿宋_GB2312" w:hAnsi="仿宋_GB2312" w:eastAsia="仿宋_GB2312" w:cs="仿宋_GB2312"/>
          <w:sz w:val="32"/>
          <w:szCs w:val="32"/>
        </w:rPr>
        <w:t>采用悬挂标语、发放宣传资料、</w:t>
      </w:r>
      <w:r>
        <w:rPr>
          <w:rFonts w:hint="eastAsia" w:ascii="仿宋_GB2312" w:hAnsi="仿宋_GB2312" w:eastAsia="仿宋_GB2312" w:cs="仿宋_GB2312"/>
          <w:sz w:val="32"/>
          <w:szCs w:val="32"/>
          <w:lang w:val="en-US" w:eastAsia="zh-CN"/>
        </w:rPr>
        <w:t>LED</w:t>
      </w:r>
      <w:r>
        <w:rPr>
          <w:rFonts w:hint="eastAsia" w:ascii="仿宋_GB2312" w:hAnsi="仿宋_GB2312" w:eastAsia="仿宋_GB2312" w:cs="仿宋_GB2312"/>
          <w:sz w:val="32"/>
          <w:szCs w:val="32"/>
        </w:rPr>
        <w:t>电子屏滚动播放等多种方式宣传水域环保的各种要求及相关知识，形成了人人要保护水域环境的浓厚氛围。</w:t>
      </w:r>
      <w:r>
        <w:rPr>
          <w:rFonts w:hint="eastAsia" w:ascii="楷体_GB2312" w:hAnsi="楷体_GB2312" w:eastAsia="楷体_GB2312" w:cs="楷体_GB2312"/>
          <w:sz w:val="32"/>
          <w:szCs w:val="32"/>
        </w:rPr>
        <w:t>四是</w:t>
      </w:r>
      <w:r>
        <w:rPr>
          <w:rFonts w:hint="eastAsia" w:ascii="仿宋_GB2312" w:hAnsi="仿宋_GB2312" w:eastAsia="仿宋_GB2312" w:cs="仿宋_GB2312"/>
          <w:sz w:val="32"/>
          <w:szCs w:val="32"/>
        </w:rPr>
        <w:t>严格执行广府办函〔2018〕111号《关于印发〈广元市港口和船舶污染物接收转运及处置设施建设方案〉的通知》，辖区内所有港口和船舶污染物均按照要求进行接收、转运及处置，并建立台账详细登记。</w:t>
      </w:r>
      <w:r>
        <w:rPr>
          <w:rFonts w:hint="eastAsia" w:ascii="楷体_GB2312" w:hAnsi="楷体_GB2312" w:eastAsia="楷体_GB2312" w:cs="楷体_GB2312"/>
          <w:sz w:val="32"/>
          <w:szCs w:val="32"/>
        </w:rPr>
        <w:t>五是</w:t>
      </w:r>
      <w:r>
        <w:rPr>
          <w:rFonts w:hint="eastAsia" w:ascii="仿宋_GB2312" w:hAnsi="仿宋_GB2312" w:eastAsia="仿宋_GB2312" w:cs="仿宋_GB2312"/>
          <w:sz w:val="32"/>
          <w:szCs w:val="32"/>
        </w:rPr>
        <w:t>海事执法人员在日常巡查、检查和明查暗访中严格执法，保证防治水域污染的各项措施均落到实处，凡发现污染水域的行为必须按照最高标准严罚重处。随着水路交通环境保护工作的有序有效推进，</w:t>
      </w:r>
      <w:r>
        <w:rPr>
          <w:rFonts w:hint="eastAsia" w:ascii="仿宋_GB2312" w:hAnsi="仿宋_GB2312" w:eastAsia="仿宋_GB2312" w:cs="仿宋_GB2312"/>
          <w:sz w:val="32"/>
          <w:szCs w:val="32"/>
          <w:lang w:eastAsia="zh-CN"/>
        </w:rPr>
        <w:t>大大</w:t>
      </w:r>
      <w:r>
        <w:rPr>
          <w:rFonts w:hint="eastAsia" w:ascii="仿宋_GB2312" w:hAnsi="仿宋_GB2312" w:eastAsia="仿宋_GB2312" w:cs="仿宋_GB2312"/>
          <w:sz w:val="32"/>
          <w:szCs w:val="32"/>
        </w:rPr>
        <w:t>提高了防污意识，群众增强了环保意识，有效保护了河道通航环境，</w:t>
      </w:r>
      <w:r>
        <w:rPr>
          <w:rFonts w:hint="eastAsia" w:ascii="仿宋_GB2312" w:hAnsi="仿宋_GB2312" w:eastAsia="仿宋_GB2312" w:cs="仿宋_GB2312"/>
          <w:sz w:val="32"/>
          <w:szCs w:val="32"/>
          <w:lang w:eastAsia="zh-CN"/>
        </w:rPr>
        <w:t>使</w:t>
      </w:r>
      <w:r>
        <w:rPr>
          <w:rFonts w:hint="eastAsia" w:ascii="仿宋_GB2312" w:hAnsi="仿宋_GB2312" w:eastAsia="仿宋_GB2312" w:cs="仿宋_GB2312"/>
          <w:sz w:val="32"/>
          <w:szCs w:val="32"/>
        </w:rPr>
        <w:t>水域更清洁。</w:t>
      </w:r>
    </w:p>
    <w:p>
      <w:pPr>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7、</w:t>
      </w:r>
      <w:r>
        <w:rPr>
          <w:rFonts w:hint="eastAsia" w:ascii="楷体_GB2312" w:hAnsi="楷体_GB2312" w:eastAsia="楷体_GB2312" w:cs="楷体_GB2312"/>
          <w:bCs/>
          <w:sz w:val="32"/>
          <w:szCs w:val="32"/>
        </w:rPr>
        <w:t>重点水运项目建设工作推进顺利</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一是圆满完成</w:t>
      </w:r>
      <w:r>
        <w:rPr>
          <w:rFonts w:hint="eastAsia" w:ascii="仿宋_GB2312" w:hAnsi="仿宋_GB2312" w:eastAsia="仿宋_GB2312" w:cs="仿宋_GB2312"/>
          <w:sz w:val="32"/>
          <w:szCs w:val="32"/>
        </w:rPr>
        <w:t>区交通运输局下达我处英家坡、猫儿石、千斤滩3座渡改公路桥建设任务，其中，英家坡、猫儿石2座渡改公路桥是打通利州区荣山镇和旺苍县燕子乡通道的必经之路，现3座桥梁已全部完工并投入使用，受到市、区领导高度好评。</w:t>
      </w:r>
      <w:r>
        <w:rPr>
          <w:rFonts w:hint="eastAsia" w:ascii="楷体_GB2312" w:hAnsi="楷体_GB2312" w:eastAsia="楷体_GB2312" w:cs="楷体_GB2312"/>
          <w:sz w:val="32"/>
          <w:szCs w:val="32"/>
        </w:rPr>
        <w:t>二是</w:t>
      </w:r>
      <w:r>
        <w:rPr>
          <w:rFonts w:hint="eastAsia" w:ascii="仿宋_GB2312" w:hAnsi="仿宋_GB2312" w:eastAsia="仿宋_GB2312" w:cs="仿宋_GB2312"/>
          <w:sz w:val="32"/>
          <w:szCs w:val="32"/>
          <w:lang w:eastAsia="zh-CN"/>
        </w:rPr>
        <w:t>已开工建设</w:t>
      </w:r>
      <w:r>
        <w:rPr>
          <w:rFonts w:hint="eastAsia" w:ascii="仿宋_GB2312" w:hAnsi="仿宋_GB2312" w:eastAsia="仿宋_GB2312" w:cs="仿宋_GB2312"/>
          <w:sz w:val="32"/>
          <w:szCs w:val="32"/>
        </w:rPr>
        <w:t>荣山镇浩口张家湾桥</w:t>
      </w:r>
      <w:r>
        <w:rPr>
          <w:rFonts w:hint="eastAsia" w:ascii="仿宋_GB2312" w:hAnsi="仿宋_GB2312" w:eastAsia="仿宋_GB2312" w:cs="仿宋_GB2312"/>
          <w:sz w:val="32"/>
          <w:szCs w:val="32"/>
          <w:lang w:eastAsia="zh-CN"/>
        </w:rPr>
        <w:t>，目前已完工工程量</w:t>
      </w:r>
      <w:r>
        <w:rPr>
          <w:rFonts w:hint="eastAsia" w:ascii="仿宋_GB2312" w:hAnsi="仿宋_GB2312" w:eastAsia="仿宋_GB2312" w:cs="仿宋_GB2312"/>
          <w:sz w:val="32"/>
          <w:szCs w:val="32"/>
          <w:lang w:val="en-US" w:eastAsia="zh-CN"/>
        </w:rPr>
        <w:t>70%，预计年前完工投入使用。</w:t>
      </w:r>
      <w:r>
        <w:rPr>
          <w:rFonts w:hint="eastAsia" w:ascii="仿宋_GB2312" w:hAnsi="仿宋_GB2312" w:eastAsia="仿宋_GB2312" w:cs="仿宋_GB2312"/>
          <w:sz w:val="32"/>
          <w:szCs w:val="32"/>
        </w:rPr>
        <w:t>大石镇柏林沟桥正在完善前期工作。</w:t>
      </w:r>
      <w:r>
        <w:rPr>
          <w:rFonts w:hint="eastAsia" w:ascii="楷体_GB2312" w:hAnsi="楷体_GB2312" w:eastAsia="楷体_GB2312" w:cs="楷体_GB2312"/>
          <w:sz w:val="32"/>
          <w:szCs w:val="32"/>
        </w:rPr>
        <w:t>三是</w:t>
      </w:r>
      <w:r>
        <w:rPr>
          <w:rFonts w:hint="eastAsia" w:ascii="仿宋_GB2312" w:hAnsi="仿宋_GB2312" w:eastAsia="仿宋_GB2312" w:cs="仿宋_GB2312"/>
          <w:sz w:val="32"/>
          <w:szCs w:val="32"/>
        </w:rPr>
        <w:t>水上交通安全监测巡航救助一体化建设正常推进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采购21米海事巡逻艇项目，目前项目完工，</w:t>
      </w:r>
      <w:r>
        <w:rPr>
          <w:rFonts w:hint="eastAsia" w:ascii="仿宋_GB2312" w:hAnsi="仿宋_GB2312" w:eastAsia="仿宋_GB2312" w:cs="仿宋_GB2312"/>
          <w:sz w:val="32"/>
          <w:szCs w:val="32"/>
          <w:lang w:eastAsia="zh-CN"/>
        </w:rPr>
        <w:t>处于调试阶段，</w:t>
      </w:r>
      <w:r>
        <w:rPr>
          <w:rFonts w:hint="eastAsia" w:ascii="仿宋_GB2312" w:hAnsi="仿宋_GB2312" w:eastAsia="仿宋_GB2312" w:cs="仿宋_GB2312"/>
          <w:sz w:val="32"/>
          <w:szCs w:val="32"/>
        </w:rPr>
        <w:t>12月将交付使用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总投资198万元；建成金洞、嘉陵江水上应急物资储备库2个，水上应急物资储备库已完善，配足配齐各种救援物资；在白龙湖金洞码头和嘉陵江航段完成锚地建设20个，总投资19万元。</w:t>
      </w:r>
      <w:r>
        <w:rPr>
          <w:rFonts w:hint="eastAsia" w:ascii="楷体_GB2312" w:hAnsi="楷体_GB2312" w:eastAsia="楷体_GB2312" w:cs="楷体_GB2312"/>
          <w:sz w:val="32"/>
          <w:szCs w:val="32"/>
        </w:rPr>
        <w:t>四是</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水上交通信息化建设工作</w:t>
      </w:r>
      <w:r>
        <w:rPr>
          <w:rFonts w:hint="eastAsia" w:ascii="仿宋_GB2312" w:hAnsi="仿宋_GB2312" w:eastAsia="仿宋_GB2312" w:cs="仿宋_GB2312"/>
          <w:sz w:val="32"/>
          <w:szCs w:val="32"/>
          <w:lang w:eastAsia="zh-CN"/>
        </w:rPr>
        <w:t>，已建成海事监控中心，</w:t>
      </w:r>
      <w:r>
        <w:rPr>
          <w:rFonts w:hint="eastAsia" w:ascii="仿宋_GB2312" w:hAnsi="仿宋_GB2312" w:eastAsia="仿宋_GB2312" w:cs="仿宋_GB2312"/>
          <w:sz w:val="32"/>
          <w:szCs w:val="32"/>
        </w:rPr>
        <w:t>总投资25万元</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五是</w:t>
      </w:r>
      <w:r>
        <w:rPr>
          <w:rFonts w:hint="eastAsia" w:ascii="仿宋_GB2312" w:hAnsi="仿宋_GB2312" w:eastAsia="仿宋_GB2312" w:cs="仿宋_GB2312"/>
          <w:sz w:val="32"/>
          <w:szCs w:val="32"/>
        </w:rPr>
        <w:t>完成白龙湖张家嘴航道整治工作，总投资49万余元。</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开展“打非治违”专项行动，确保水上安全</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一是</w:t>
      </w:r>
      <w:r>
        <w:rPr>
          <w:rFonts w:hint="eastAsia" w:ascii="仿宋_GB2312" w:hAnsi="仿宋_GB2312" w:eastAsia="仿宋_GB2312" w:cs="仿宋_GB2312"/>
          <w:sz w:val="32"/>
          <w:szCs w:val="32"/>
        </w:rPr>
        <w:t>大力宣传“打非治违”的重要性，深入“开展小型船舶的专项整治”工作，指导和规范乡镇（街道）水上交通安全管理工作，落实好安全主体责任，督促落实区、乡、村船员四级水上交通安全管理目标责任书，把安全工作落实到人头。明确各类船舶数量，摸清家底，做好渔船、自用船界定，督促完善手续，建立台账归档管理。完善签单发航制度，防止非运输船舶载客，杜绝出现“三无”船舶,坚决打击无船名、无船籍港、无载重线</w:t>
      </w:r>
      <w:r>
        <w:rPr>
          <w:rFonts w:hint="eastAsia" w:ascii="仿宋_GB2312" w:hAnsi="仿宋_GB2312" w:eastAsia="仿宋_GB2312" w:cs="仿宋_GB2312"/>
          <w:sz w:val="32"/>
          <w:szCs w:val="32"/>
          <w:lang w:eastAsia="zh-CN"/>
        </w:rPr>
        <w:t>船舶</w:t>
      </w:r>
      <w:r>
        <w:rPr>
          <w:rFonts w:hint="eastAsia" w:ascii="仿宋_GB2312" w:hAnsi="仿宋_GB2312" w:eastAsia="仿宋_GB2312" w:cs="仿宋_GB2312"/>
          <w:sz w:val="32"/>
          <w:szCs w:val="32"/>
        </w:rPr>
        <w:t>从事经营性活动。“打非治违”专项行动查处无证小型自用船舶1起，并责令上岸。</w:t>
      </w:r>
      <w:r>
        <w:rPr>
          <w:rFonts w:hint="eastAsia" w:ascii="楷体_GB2312" w:hAnsi="楷体_GB2312" w:eastAsia="楷体_GB2312" w:cs="楷体_GB2312"/>
          <w:sz w:val="32"/>
          <w:szCs w:val="32"/>
        </w:rPr>
        <w:t>二是</w:t>
      </w:r>
      <w:r>
        <w:rPr>
          <w:rFonts w:hint="eastAsia" w:ascii="仿宋_GB2312" w:hAnsi="仿宋_GB2312" w:eastAsia="仿宋_GB2312" w:cs="仿宋_GB2312"/>
          <w:sz w:val="32"/>
          <w:szCs w:val="32"/>
        </w:rPr>
        <w:t>督促航运企业完善船舶的证书、证照，督促企业建设、安装船载视频监控，利用监控加强船舶的动态监管，规范签单制度，严格安全监管。一</w:t>
      </w:r>
      <w:r>
        <w:rPr>
          <w:rFonts w:hint="eastAsia" w:ascii="仿宋_GB2312" w:hAnsi="仿宋_GB2312" w:eastAsia="仿宋_GB2312" w:cs="仿宋_GB2312"/>
          <w:sz w:val="32"/>
          <w:szCs w:val="32"/>
          <w:lang w:eastAsia="zh-CN"/>
        </w:rPr>
        <w:t>家</w:t>
      </w:r>
      <w:r>
        <w:rPr>
          <w:rFonts w:hint="eastAsia" w:ascii="仿宋_GB2312" w:hAnsi="仿宋_GB2312" w:eastAsia="仿宋_GB2312" w:cs="仿宋_GB2312"/>
          <w:sz w:val="32"/>
          <w:szCs w:val="32"/>
        </w:rPr>
        <w:t>航运公司所属</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艘船舶未办理船舶证书，已责令停业整改。</w:t>
      </w:r>
      <w:r>
        <w:rPr>
          <w:rFonts w:hint="eastAsia" w:ascii="楷体_GB2312" w:hAnsi="楷体_GB2312" w:eastAsia="楷体_GB2312" w:cs="楷体_GB2312"/>
          <w:sz w:val="32"/>
          <w:szCs w:val="32"/>
        </w:rPr>
        <w:t>三是</w:t>
      </w:r>
      <w:r>
        <w:rPr>
          <w:rFonts w:hint="eastAsia" w:ascii="仿宋_GB2312" w:hAnsi="仿宋_GB2312" w:eastAsia="仿宋_GB2312" w:cs="仿宋_GB2312"/>
          <w:sz w:val="32"/>
          <w:szCs w:val="32"/>
        </w:rPr>
        <w:t>重点检查船舶是否适航、船员是否适任、杜绝违规操作、冒险航行等违法行为。通过“打非治违”专项行动的开展，水上违法违规</w:t>
      </w:r>
      <w:r>
        <w:rPr>
          <w:rFonts w:hint="eastAsia" w:ascii="仿宋_GB2312" w:hAnsi="仿宋_GB2312" w:eastAsia="仿宋_GB2312" w:cs="仿宋_GB2312"/>
          <w:sz w:val="32"/>
          <w:szCs w:val="32"/>
          <w:lang w:eastAsia="zh-CN"/>
        </w:rPr>
        <w:t>行为</w:t>
      </w:r>
      <w:r>
        <w:rPr>
          <w:rFonts w:hint="eastAsia" w:ascii="仿宋_GB2312" w:hAnsi="仿宋_GB2312" w:eastAsia="仿宋_GB2312" w:cs="仿宋_GB2312"/>
          <w:sz w:val="32"/>
          <w:szCs w:val="32"/>
        </w:rPr>
        <w:t>得到了有序遏制。</w:t>
      </w:r>
    </w:p>
    <w:p>
      <w:pPr>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9、</w:t>
      </w:r>
      <w:r>
        <w:rPr>
          <w:rFonts w:hint="eastAsia" w:ascii="楷体_GB2312" w:hAnsi="楷体_GB2312" w:eastAsia="楷体_GB2312" w:cs="楷体_GB2312"/>
          <w:bCs/>
          <w:sz w:val="32"/>
          <w:szCs w:val="32"/>
        </w:rPr>
        <w:t>开展</w:t>
      </w:r>
      <w:r>
        <w:rPr>
          <w:rFonts w:hint="eastAsia" w:ascii="楷体_GB2312" w:hAnsi="楷体_GB2312" w:eastAsia="楷体_GB2312" w:cs="楷体_GB2312"/>
          <w:sz w:val="32"/>
          <w:szCs w:val="32"/>
          <w:lang w:eastAsia="zh-CN"/>
        </w:rPr>
        <w:t>扫黑除恶专项斗争</w:t>
      </w:r>
      <w:r>
        <w:rPr>
          <w:rFonts w:hint="eastAsia" w:ascii="楷体_GB2312" w:hAnsi="楷体_GB2312" w:eastAsia="楷体_GB2312" w:cs="楷体_GB2312"/>
          <w:sz w:val="32"/>
          <w:szCs w:val="32"/>
        </w:rPr>
        <w:t>，规范水上秩序</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一是</w:t>
      </w:r>
      <w:r>
        <w:rPr>
          <w:rFonts w:hint="eastAsia" w:ascii="仿宋_GB2312" w:hAnsi="仿宋_GB2312" w:eastAsia="仿宋_GB2312" w:cs="仿宋_GB2312"/>
          <w:sz w:val="32"/>
          <w:szCs w:val="32"/>
        </w:rPr>
        <w:t>充分认识到开展</w:t>
      </w:r>
      <w:r>
        <w:rPr>
          <w:rFonts w:hint="eastAsia" w:ascii="仿宋_GB2312" w:eastAsia="仿宋_GB2312"/>
          <w:sz w:val="32"/>
          <w:szCs w:val="32"/>
          <w:lang w:eastAsia="zh-CN"/>
        </w:rPr>
        <w:t>扫黑除恶专项斗争</w:t>
      </w:r>
      <w:r>
        <w:rPr>
          <w:rFonts w:hint="eastAsia" w:ascii="仿宋_GB2312" w:eastAsia="仿宋_GB2312"/>
          <w:sz w:val="32"/>
          <w:szCs w:val="32"/>
        </w:rPr>
        <w:t>的重要意义，区海事处成立了以处长任组长、支委任副组长、各股室所负责人为成员的</w:t>
      </w:r>
      <w:r>
        <w:rPr>
          <w:rFonts w:hint="eastAsia" w:ascii="仿宋_GB2312" w:eastAsia="仿宋_GB2312"/>
          <w:sz w:val="32"/>
          <w:szCs w:val="32"/>
          <w:lang w:eastAsia="zh-CN"/>
        </w:rPr>
        <w:t>扫黑除恶专项斗争</w:t>
      </w:r>
      <w:r>
        <w:rPr>
          <w:rFonts w:hint="eastAsia" w:ascii="仿宋_GB2312" w:eastAsia="仿宋_GB2312"/>
          <w:sz w:val="32"/>
          <w:szCs w:val="32"/>
        </w:rPr>
        <w:t>领导小组，设立了</w:t>
      </w:r>
      <w:r>
        <w:rPr>
          <w:rFonts w:hint="eastAsia" w:ascii="仿宋_GB2312" w:eastAsia="仿宋_GB2312"/>
          <w:sz w:val="32"/>
          <w:szCs w:val="32"/>
          <w:lang w:eastAsia="zh-CN"/>
        </w:rPr>
        <w:t>扫黑除恶专项斗争</w:t>
      </w:r>
      <w:r>
        <w:rPr>
          <w:rFonts w:hint="eastAsia" w:ascii="仿宋_GB2312" w:eastAsia="仿宋_GB2312"/>
          <w:sz w:val="32"/>
          <w:szCs w:val="32"/>
        </w:rPr>
        <w:t>领导小组办公室，并指派专人负责此项工作。</w:t>
      </w:r>
      <w:r>
        <w:rPr>
          <w:rFonts w:hint="eastAsia" w:ascii="楷体_GB2312" w:hAnsi="楷体_GB2312" w:eastAsia="楷体_GB2312" w:cs="楷体_GB2312"/>
          <w:sz w:val="32"/>
          <w:szCs w:val="32"/>
        </w:rPr>
        <w:t>二是</w:t>
      </w:r>
      <w:r>
        <w:rPr>
          <w:rFonts w:hint="eastAsia" w:ascii="仿宋_GB2312" w:eastAsia="仿宋_GB2312"/>
          <w:sz w:val="32"/>
          <w:szCs w:val="32"/>
        </w:rPr>
        <w:t>海事处全体职工人手一册《</w:t>
      </w:r>
      <w:r>
        <w:rPr>
          <w:rFonts w:hint="eastAsia" w:ascii="仿宋_GB2312" w:eastAsia="仿宋_GB2312"/>
          <w:sz w:val="32"/>
          <w:szCs w:val="32"/>
          <w:lang w:eastAsia="zh-CN"/>
        </w:rPr>
        <w:t>扫黑除恶专项斗争</w:t>
      </w:r>
      <w:r>
        <w:rPr>
          <w:rFonts w:hint="eastAsia" w:ascii="仿宋_GB2312" w:eastAsia="仿宋_GB2312"/>
          <w:sz w:val="32"/>
          <w:szCs w:val="32"/>
        </w:rPr>
        <w:t>应知应会知识》，加强学习，精心制定了《利州区海事处</w:t>
      </w:r>
      <w:r>
        <w:rPr>
          <w:rFonts w:hint="eastAsia" w:ascii="仿宋_GB2312" w:eastAsia="仿宋_GB2312"/>
          <w:sz w:val="32"/>
          <w:szCs w:val="32"/>
          <w:lang w:eastAsia="zh-CN"/>
        </w:rPr>
        <w:t>扫黑除恶专项斗争</w:t>
      </w:r>
      <w:r>
        <w:rPr>
          <w:rFonts w:hint="eastAsia" w:ascii="仿宋_GB2312" w:eastAsia="仿宋_GB2312"/>
          <w:sz w:val="32"/>
          <w:szCs w:val="32"/>
        </w:rPr>
        <w:t>工作方案》，明确了各项措施，公布了举报电话，设立了举报箱，建立了线索台账。</w:t>
      </w:r>
      <w:r>
        <w:rPr>
          <w:rFonts w:hint="eastAsia" w:ascii="楷体_GB2312" w:hAnsi="楷体_GB2312" w:eastAsia="楷体_GB2312" w:cs="楷体_GB2312"/>
          <w:sz w:val="32"/>
          <w:szCs w:val="32"/>
        </w:rPr>
        <w:t>三是</w:t>
      </w:r>
      <w:r>
        <w:rPr>
          <w:rFonts w:hint="eastAsia" w:ascii="仿宋_GB2312" w:eastAsia="仿宋_GB2312"/>
          <w:sz w:val="32"/>
          <w:szCs w:val="32"/>
        </w:rPr>
        <w:t>加强水上</w:t>
      </w:r>
      <w:r>
        <w:rPr>
          <w:rFonts w:hint="eastAsia" w:ascii="仿宋_GB2312" w:eastAsia="仿宋_GB2312"/>
          <w:sz w:val="32"/>
          <w:szCs w:val="32"/>
          <w:lang w:eastAsia="zh-CN"/>
        </w:rPr>
        <w:t>扫黑除恶专项斗争</w:t>
      </w:r>
      <w:r>
        <w:rPr>
          <w:rFonts w:hint="eastAsia" w:ascii="仿宋_GB2312" w:eastAsia="仿宋_GB2312"/>
          <w:sz w:val="32"/>
          <w:szCs w:val="32"/>
        </w:rPr>
        <w:t>宣传工作，前后多次在皇泽码头、上海路码头、盐井溪码头、金洞码头、海事趸船、山水欢歌等水域人口密集的地方制作和悬挂</w:t>
      </w:r>
      <w:r>
        <w:rPr>
          <w:rFonts w:hint="eastAsia" w:ascii="仿宋_GB2312" w:eastAsia="仿宋_GB2312"/>
          <w:sz w:val="32"/>
          <w:szCs w:val="32"/>
          <w:lang w:eastAsia="zh-CN"/>
        </w:rPr>
        <w:t>扫黑除恶专项斗争</w:t>
      </w:r>
      <w:r>
        <w:rPr>
          <w:rFonts w:hint="eastAsia" w:ascii="仿宋_GB2312" w:eastAsia="仿宋_GB2312"/>
          <w:sz w:val="32"/>
          <w:szCs w:val="32"/>
        </w:rPr>
        <w:t>宣传标语20余副，张贴宣传单30余份，形成了水上开展</w:t>
      </w:r>
      <w:r>
        <w:rPr>
          <w:rFonts w:hint="eastAsia" w:ascii="仿宋_GB2312" w:eastAsia="仿宋_GB2312"/>
          <w:sz w:val="32"/>
          <w:szCs w:val="32"/>
          <w:lang w:eastAsia="zh-CN"/>
        </w:rPr>
        <w:t>扫黑除恶专项斗争</w:t>
      </w:r>
      <w:r>
        <w:rPr>
          <w:rFonts w:hint="eastAsia" w:ascii="仿宋_GB2312" w:eastAsia="仿宋_GB2312"/>
          <w:sz w:val="32"/>
          <w:szCs w:val="32"/>
        </w:rPr>
        <w:t>的浓厚氛围。</w:t>
      </w:r>
      <w:r>
        <w:rPr>
          <w:rFonts w:hint="eastAsia" w:ascii="楷体_GB2312" w:hAnsi="楷体_GB2312" w:eastAsia="楷体_GB2312" w:cs="楷体_GB2312"/>
          <w:sz w:val="32"/>
          <w:szCs w:val="32"/>
        </w:rPr>
        <w:t>四是</w:t>
      </w:r>
      <w:r>
        <w:rPr>
          <w:rFonts w:hint="eastAsia" w:ascii="仿宋_GB2312" w:eastAsia="仿宋_GB2312"/>
          <w:sz w:val="32"/>
          <w:szCs w:val="32"/>
        </w:rPr>
        <w:t>认真摸排线索，海事处执法人员全体出动，在</w:t>
      </w:r>
      <w:r>
        <w:rPr>
          <w:rFonts w:hint="eastAsia" w:ascii="仿宋_GB2312" w:eastAsia="仿宋_GB2312"/>
          <w:sz w:val="32"/>
          <w:szCs w:val="32"/>
          <w:lang w:eastAsia="zh-CN"/>
        </w:rPr>
        <w:t>辖区</w:t>
      </w:r>
      <w:r>
        <w:rPr>
          <w:rFonts w:hint="eastAsia" w:ascii="仿宋_GB2312" w:eastAsia="仿宋_GB2312"/>
          <w:sz w:val="32"/>
          <w:szCs w:val="32"/>
        </w:rPr>
        <w:t>水域内认真摸排涉黑涉恶涉乱线索，在水上发挥了强力的震慑作用，水上环境进一步得到规范。</w:t>
      </w:r>
    </w:p>
    <w:p>
      <w:pPr>
        <w:pStyle w:val="4"/>
        <w:ind w:firstLine="640" w:firstLineChars="200"/>
        <w:rPr>
          <w:rStyle w:val="26"/>
          <w:b w:val="0"/>
          <w:bCs w:val="0"/>
        </w:rPr>
      </w:pPr>
      <w:bookmarkStart w:id="24" w:name="_Toc4825"/>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3"/>
      <w:bookmarkEnd w:id="24"/>
    </w:p>
    <w:p>
      <w:pPr>
        <w:ind w:firstLine="800" w:firstLineChars="250"/>
        <w:rPr>
          <w:rFonts w:ascii="仿宋" w:hAnsi="仿宋" w:eastAsia="仿宋"/>
          <w:sz w:val="32"/>
          <w:szCs w:val="32"/>
        </w:rPr>
      </w:pPr>
      <w:r>
        <w:rPr>
          <w:rFonts w:hint="eastAsia" w:ascii="仿宋" w:hAnsi="仿宋" w:eastAsia="仿宋"/>
          <w:sz w:val="32"/>
          <w:szCs w:val="32"/>
          <w:lang w:eastAsia="zh-CN"/>
        </w:rPr>
        <w:t>区海事处</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sz w:val="32"/>
          <w:szCs w:val="32"/>
          <w:lang w:val="en-US" w:eastAsia="zh-CN"/>
        </w:rPr>
        <w:t>1</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6"/>
        <w:adjustRightInd w:val="0"/>
        <w:snapToGrid w:val="0"/>
        <w:spacing w:before="93" w:line="600" w:lineRule="exact"/>
        <w:rPr>
          <w:rFonts w:ascii="仿宋" w:hAnsi="仿宋" w:eastAsia="仿宋"/>
          <w:color w:val="000000"/>
          <w:sz w:val="32"/>
          <w:szCs w:val="32"/>
        </w:rPr>
      </w:pP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jc w:val="right"/>
        <w:rPr>
          <w:rStyle w:val="25"/>
          <w:rFonts w:ascii="黑体" w:hAnsi="黑体" w:eastAsia="黑体"/>
          <w:b w:val="0"/>
          <w:bCs w:val="0"/>
        </w:rPr>
      </w:pPr>
      <w:bookmarkStart w:id="25" w:name="_Toc15377204"/>
      <w:bookmarkStart w:id="26" w:name="_Toc3730"/>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25"/>
      <w:bookmarkEnd w:id="26"/>
    </w:p>
    <w:p/>
    <w:p>
      <w:pPr>
        <w:pStyle w:val="24"/>
        <w:numPr>
          <w:ilvl w:val="0"/>
          <w:numId w:val="1"/>
        </w:numPr>
        <w:spacing w:line="600" w:lineRule="exact"/>
        <w:ind w:firstLineChars="0"/>
        <w:outlineLvl w:val="1"/>
        <w:rPr>
          <w:rStyle w:val="26"/>
          <w:rFonts w:ascii="黑体" w:hAnsi="黑体" w:eastAsia="黑体"/>
          <w:b w:val="0"/>
        </w:rPr>
      </w:pPr>
      <w:bookmarkStart w:id="27" w:name="_Toc15377205"/>
      <w:bookmarkStart w:id="28" w:name="_Toc684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7"/>
      <w:bookmarkEnd w:id="28"/>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2018年度收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209.25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支出总计315.45万元</w:t>
      </w:r>
      <w:r>
        <w:rPr>
          <w:rFonts w:hint="eastAsia" w:ascii="仿宋" w:hAnsi="仿宋" w:eastAsia="仿宋"/>
          <w:color w:val="000000"/>
          <w:sz w:val="32"/>
          <w:szCs w:val="32"/>
        </w:rPr>
        <w:t>。与2017年相比，收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17.12</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7.56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支出减少735.6</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下降69.99</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val="en-US" w:eastAsia="zh-CN"/>
        </w:rPr>
        <w:t>是人员减少、</w:t>
      </w:r>
      <w:r>
        <w:rPr>
          <w:rFonts w:hint="eastAsia" w:ascii="仿宋" w:hAnsi="仿宋" w:eastAsia="仿宋"/>
          <w:color w:val="000000"/>
          <w:sz w:val="32"/>
          <w:szCs w:val="32"/>
          <w:lang w:eastAsia="zh-CN"/>
        </w:rPr>
        <w:t>渡改桥建设项目减</w:t>
      </w:r>
      <w:r>
        <w:rPr>
          <w:rFonts w:hint="eastAsia" w:ascii="仿宋" w:hAnsi="仿宋" w:eastAsia="仿宋"/>
          <w:color w:val="000000"/>
          <w:sz w:val="32"/>
          <w:szCs w:val="32"/>
          <w:lang w:val="en-US" w:eastAsia="zh-CN"/>
        </w:rPr>
        <w:t>少。</w:t>
      </w:r>
    </w:p>
    <w:p>
      <w:pPr>
        <w:spacing w:line="600" w:lineRule="exact"/>
        <w:ind w:firstLine="640" w:firstLineChars="200"/>
        <w:rPr>
          <w:rFonts w:hint="eastAsia" w:ascii="仿宋" w:hAnsi="仿宋" w:eastAsia="仿宋"/>
          <w:color w:val="000000"/>
          <w:sz w:val="32"/>
          <w:szCs w:val="32"/>
          <w:lang w:val="en-US" w:eastAsia="zh-CN"/>
        </w:rPr>
      </w:pPr>
    </w:p>
    <w:p>
      <w:pPr>
        <w:pStyle w:val="2"/>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drawing>
          <wp:anchor distT="0" distB="0" distL="114300" distR="114300" simplePos="0" relativeHeight="251658240" behindDoc="0" locked="0" layoutInCell="1" allowOverlap="1">
            <wp:simplePos x="0" y="0"/>
            <wp:positionH relativeFrom="column">
              <wp:posOffset>301625</wp:posOffset>
            </wp:positionH>
            <wp:positionV relativeFrom="paragraph">
              <wp:posOffset>224155</wp:posOffset>
            </wp:positionV>
            <wp:extent cx="5080000" cy="3810000"/>
            <wp:effectExtent l="4445" t="4445" r="8255" b="825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rPr>
          <w:rFonts w:hint="eastAsia" w:ascii="仿宋" w:hAnsi="仿宋" w:eastAsia="仿宋"/>
          <w:color w:val="000000"/>
          <w:sz w:val="32"/>
          <w:szCs w:val="32"/>
          <w:lang w:val="en-US" w:eastAsia="zh-CN"/>
        </w:rPr>
      </w:pPr>
    </w:p>
    <w:p>
      <w:pPr>
        <w:pStyle w:val="2"/>
        <w:rPr>
          <w:rFonts w:hint="eastAsia" w:ascii="仿宋" w:hAnsi="仿宋" w:eastAsia="仿宋"/>
          <w:color w:val="000000"/>
          <w:sz w:val="32"/>
          <w:szCs w:val="32"/>
          <w:lang w:val="en-US" w:eastAsia="zh-CN"/>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pStyle w:val="24"/>
        <w:numPr>
          <w:ilvl w:val="0"/>
          <w:numId w:val="1"/>
        </w:numPr>
        <w:spacing w:line="600" w:lineRule="exact"/>
        <w:ind w:firstLineChars="0"/>
        <w:outlineLvl w:val="1"/>
        <w:rPr>
          <w:rStyle w:val="26"/>
          <w:rFonts w:ascii="黑体" w:hAnsi="黑体" w:eastAsia="黑体"/>
          <w:b w:val="0"/>
        </w:rPr>
      </w:pPr>
      <w:bookmarkStart w:id="29" w:name="_Toc15377206"/>
      <w:bookmarkStart w:id="30" w:name="_Toc28530"/>
      <w:r>
        <w:rPr>
          <w:rFonts w:hint="eastAsia" w:ascii="黑体" w:hAnsi="黑体" w:eastAsia="黑体"/>
          <w:color w:val="000000"/>
          <w:sz w:val="32"/>
          <w:szCs w:val="32"/>
        </w:rPr>
        <w:t>收</w:t>
      </w:r>
      <w:r>
        <w:rPr>
          <w:rStyle w:val="26"/>
          <w:rFonts w:hint="eastAsia" w:ascii="黑体" w:hAnsi="黑体" w:eastAsia="黑体"/>
          <w:b w:val="0"/>
        </w:rPr>
        <w:t>入决算情况说明</w:t>
      </w:r>
      <w:bookmarkEnd w:id="29"/>
      <w:bookmarkEnd w:id="30"/>
    </w:p>
    <w:p>
      <w:pPr>
        <w:spacing w:line="600" w:lineRule="exact"/>
        <w:ind w:firstLine="640" w:firstLineChars="200"/>
        <w:outlineLvl w:val="1"/>
        <w:rPr>
          <w:rFonts w:hint="eastAsia" w:ascii="仿宋" w:hAnsi="仿宋" w:eastAsia="仿宋"/>
          <w:color w:val="000000"/>
          <w:sz w:val="32"/>
          <w:szCs w:val="32"/>
        </w:rPr>
      </w:pPr>
      <w:bookmarkStart w:id="31" w:name="_Toc24610"/>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209.25</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209.25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bookmarkEnd w:id="31"/>
    </w:p>
    <w:p>
      <w:pPr>
        <w:pStyle w:val="2"/>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300990</wp:posOffset>
            </wp:positionH>
            <wp:positionV relativeFrom="paragraph">
              <wp:posOffset>299720</wp:posOffset>
            </wp:positionV>
            <wp:extent cx="4698365" cy="3385820"/>
            <wp:effectExtent l="4445" t="4445" r="8890" b="1333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32" w:name="_Toc15377207"/>
      <w:bookmarkStart w:id="33" w:name="_Toc29254"/>
      <w:r>
        <w:rPr>
          <w:rFonts w:hint="eastAsia" w:ascii="黑体" w:hAnsi="黑体" w:eastAsia="黑体"/>
          <w:color w:val="000000"/>
          <w:sz w:val="32"/>
          <w:szCs w:val="32"/>
        </w:rPr>
        <w:t>支</w:t>
      </w:r>
      <w:r>
        <w:rPr>
          <w:rStyle w:val="26"/>
          <w:rFonts w:hint="eastAsia" w:ascii="黑体" w:hAnsi="黑体" w:eastAsia="黑体"/>
          <w:b w:val="0"/>
        </w:rPr>
        <w:t>出决算情况说明</w:t>
      </w:r>
      <w:bookmarkEnd w:id="32"/>
      <w:bookmarkEnd w:id="33"/>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315.45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184.92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59</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130.53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41</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r>
        <w:rPr>
          <w:rFonts w:hint="eastAsia" w:eastAsia="仿宋"/>
          <w:lang w:eastAsia="zh-CN"/>
        </w:rPr>
        <w:drawing>
          <wp:anchor distT="0" distB="0" distL="114300" distR="114300" simplePos="0" relativeHeight="251663360" behindDoc="0" locked="0" layoutInCell="1" allowOverlap="1">
            <wp:simplePos x="0" y="0"/>
            <wp:positionH relativeFrom="column">
              <wp:posOffset>202565</wp:posOffset>
            </wp:positionH>
            <wp:positionV relativeFrom="paragraph">
              <wp:posOffset>105410</wp:posOffset>
            </wp:positionV>
            <wp:extent cx="5149850" cy="2975610"/>
            <wp:effectExtent l="4445" t="4445" r="14605"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ascii="仿宋_GB2312" w:eastAsia="仿宋_GB2312"/>
          <w:color w:val="FF0000"/>
          <w:sz w:val="32"/>
          <w:szCs w:val="32"/>
        </w:rPr>
      </w:pPr>
    </w:p>
    <w:p>
      <w:pPr>
        <w:pStyle w:val="2"/>
        <w:rPr>
          <w:rFonts w:ascii="仿宋_GB2312" w:eastAsia="仿宋_GB2312"/>
          <w:color w:val="FF0000"/>
          <w:sz w:val="32"/>
          <w:szCs w:val="32"/>
        </w:rPr>
      </w:pPr>
    </w:p>
    <w:p>
      <w:pPr>
        <w:pStyle w:val="2"/>
        <w:rPr>
          <w:rFonts w:ascii="仿宋_GB2312" w:eastAsia="仿宋_GB2312"/>
          <w:color w:val="FF0000"/>
          <w:sz w:val="32"/>
          <w:szCs w:val="32"/>
        </w:rPr>
      </w:pPr>
    </w:p>
    <w:p>
      <w:pPr>
        <w:pStyle w:val="2"/>
        <w:rPr>
          <w:rFonts w:ascii="仿宋_GB2312" w:eastAsia="仿宋_GB2312"/>
          <w:color w:val="FF0000"/>
          <w:sz w:val="32"/>
          <w:szCs w:val="32"/>
        </w:rPr>
      </w:pPr>
    </w:p>
    <w:p>
      <w:pPr>
        <w:spacing w:line="600" w:lineRule="exact"/>
        <w:ind w:firstLine="640" w:firstLineChars="200"/>
        <w:outlineLvl w:val="1"/>
        <w:rPr>
          <w:rStyle w:val="26"/>
          <w:rFonts w:ascii="黑体" w:hAnsi="黑体" w:eastAsia="黑体"/>
          <w:b w:val="0"/>
        </w:rPr>
      </w:pPr>
      <w:bookmarkStart w:id="34" w:name="_Toc15377208"/>
      <w:bookmarkStart w:id="35" w:name="_Toc1566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4"/>
      <w:bookmarkEnd w:id="35"/>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2018年度收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209.25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支出总计315.45万元</w:t>
      </w:r>
      <w:r>
        <w:rPr>
          <w:rFonts w:hint="eastAsia" w:ascii="仿宋" w:hAnsi="仿宋" w:eastAsia="仿宋"/>
          <w:color w:val="000000"/>
          <w:sz w:val="32"/>
          <w:szCs w:val="32"/>
        </w:rPr>
        <w:t>。与2017年相比，收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17.12</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7.56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支出减少735.6</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下降69.99</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val="en-US" w:eastAsia="zh-CN"/>
        </w:rPr>
        <w:t>是人员减少、</w:t>
      </w:r>
      <w:r>
        <w:rPr>
          <w:rFonts w:hint="eastAsia" w:ascii="仿宋" w:hAnsi="仿宋" w:eastAsia="仿宋"/>
          <w:color w:val="000000"/>
          <w:sz w:val="32"/>
          <w:szCs w:val="32"/>
          <w:lang w:eastAsia="zh-CN"/>
        </w:rPr>
        <w:t>渡改桥建设项目减</w:t>
      </w:r>
      <w:r>
        <w:rPr>
          <w:rFonts w:hint="eastAsia" w:ascii="仿宋" w:hAnsi="仿宋" w:eastAsia="仿宋"/>
          <w:color w:val="000000"/>
          <w:sz w:val="32"/>
          <w:szCs w:val="32"/>
          <w:lang w:val="en-US" w:eastAsia="zh-CN"/>
        </w:rPr>
        <w:t>少。</w:t>
      </w:r>
    </w:p>
    <w:p>
      <w:pPr>
        <w:pStyle w:val="2"/>
        <w:rPr>
          <w:rFonts w:hint="eastAsia" w:ascii="仿宋" w:hAnsi="仿宋" w:eastAsia="仿宋"/>
          <w:color w:val="000000"/>
          <w:sz w:val="32"/>
          <w:szCs w:val="32"/>
          <w:lang w:val="en-US" w:eastAsia="zh-CN"/>
        </w:rPr>
      </w:pPr>
    </w:p>
    <w:p>
      <w:pPr>
        <w:pStyle w:val="2"/>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drawing>
          <wp:anchor distT="0" distB="0" distL="114300" distR="114300" simplePos="0" relativeHeight="251664384" behindDoc="0" locked="0" layoutInCell="1" allowOverlap="1">
            <wp:simplePos x="0" y="0"/>
            <wp:positionH relativeFrom="column">
              <wp:posOffset>67945</wp:posOffset>
            </wp:positionH>
            <wp:positionV relativeFrom="paragraph">
              <wp:posOffset>334010</wp:posOffset>
            </wp:positionV>
            <wp:extent cx="5080000" cy="3810000"/>
            <wp:effectExtent l="4445" t="4445" r="8255" b="825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rPr>
          <w:rFonts w:hint="eastAsia" w:ascii="仿宋" w:hAnsi="仿宋" w:eastAsia="仿宋"/>
          <w:color w:val="000000"/>
          <w:sz w:val="32"/>
          <w:szCs w:val="32"/>
          <w:lang w:val="en-US" w:eastAsia="zh-CN"/>
        </w:rPr>
      </w:pPr>
    </w:p>
    <w:p>
      <w:pPr>
        <w:pStyle w:val="2"/>
        <w:rPr>
          <w:rFonts w:hint="eastAsia" w:ascii="仿宋" w:hAnsi="仿宋" w:eastAsia="仿宋"/>
          <w:color w:val="000000"/>
          <w:sz w:val="32"/>
          <w:szCs w:val="32"/>
          <w:lang w:val="en-US" w:eastAsia="zh-CN"/>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（除国有资本经营预算外，数据来源于财决</w:t>
      </w:r>
      <w:r>
        <w:rPr>
          <w:rFonts w:ascii="仿宋" w:hAnsi="仿宋" w:eastAsia="仿宋"/>
          <w:b/>
          <w:color w:val="000000" w:themeColor="text1"/>
          <w:sz w:val="32"/>
          <w:szCs w:val="32"/>
          <w14:textFill>
            <w14:solidFill>
              <w14:schemeClr w14:val="tx1"/>
            </w14:solidFill>
          </w14:textFill>
        </w:rPr>
        <w:t>Z01-1</w:t>
      </w:r>
      <w:r>
        <w:rPr>
          <w:rFonts w:hint="eastAsia" w:ascii="仿宋" w:hAnsi="仿宋" w:eastAsia="仿宋"/>
          <w:b/>
          <w:color w:val="000000" w:themeColor="text1"/>
          <w:sz w:val="32"/>
          <w:szCs w:val="32"/>
          <w14:textFill>
            <w14:solidFill>
              <w14:schemeClr w14:val="tx1"/>
            </w14:solidFill>
          </w14:textFill>
        </w:rPr>
        <w:t>表，口径为“总计”数+国有资本经营预算。）</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6" w:name="_Toc3735"/>
      <w:bookmarkStart w:id="37"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6"/>
      <w:bookmarkEnd w:id="37"/>
    </w:p>
    <w:p>
      <w:pPr>
        <w:spacing w:line="600" w:lineRule="exact"/>
        <w:ind w:firstLine="642"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315.45</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w:t>
      </w:r>
      <w:r>
        <w:rPr>
          <w:rFonts w:hint="eastAsia" w:ascii="仿宋" w:hAnsi="仿宋" w:eastAsia="仿宋"/>
          <w:color w:val="000000"/>
          <w:sz w:val="32"/>
          <w:szCs w:val="32"/>
          <w:lang w:val="en-US" w:eastAsia="zh-CN"/>
        </w:rPr>
        <w:t>735.59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69.99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渡改桥建设项目减</w:t>
      </w:r>
      <w:r>
        <w:rPr>
          <w:rFonts w:hint="eastAsia" w:ascii="仿宋" w:hAnsi="仿宋" w:eastAsia="仿宋"/>
          <w:color w:val="000000"/>
          <w:sz w:val="32"/>
          <w:szCs w:val="32"/>
          <w:lang w:val="en-US" w:eastAsia="zh-CN"/>
        </w:rPr>
        <w:t>少</w:t>
      </w:r>
    </w:p>
    <w:p>
      <w:pPr>
        <w:spacing w:line="600" w:lineRule="exact"/>
        <w:ind w:firstLine="640" w:firstLineChars="200"/>
        <w:rPr>
          <w:rFonts w:hint="eastAsia" w:ascii="仿宋" w:hAnsi="仿宋" w:eastAsia="仿宋"/>
          <w:color w:val="000000"/>
          <w:sz w:val="32"/>
          <w:szCs w:val="32"/>
          <w:lang w:val="en-US" w:eastAsia="zh-CN"/>
        </w:rPr>
      </w:pP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drawing>
          <wp:anchor distT="0" distB="0" distL="114300" distR="114300" simplePos="0" relativeHeight="251669504" behindDoc="0" locked="0" layoutInCell="1" allowOverlap="1">
            <wp:simplePos x="0" y="0"/>
            <wp:positionH relativeFrom="column">
              <wp:posOffset>19050</wp:posOffset>
            </wp:positionH>
            <wp:positionV relativeFrom="paragraph">
              <wp:posOffset>208280</wp:posOffset>
            </wp:positionV>
            <wp:extent cx="4995545" cy="3020695"/>
            <wp:effectExtent l="4445" t="4445" r="16510" b="10160"/>
            <wp:wrapTopAndBottom/>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sz w:val="32"/>
          <w:szCs w:val="32"/>
          <w:lang w:val="en-US" w:eastAsia="zh-CN"/>
        </w:rPr>
      </w:pPr>
    </w:p>
    <w:p>
      <w:pPr>
        <w:spacing w:line="600" w:lineRule="exact"/>
        <w:ind w:firstLine="640" w:firstLineChars="200"/>
        <w:rPr>
          <w:rFonts w:hint="eastAsia" w:ascii="仿宋" w:hAnsi="仿宋" w:eastAsia="仿宋"/>
          <w:color w:val="000000"/>
          <w:sz w:val="32"/>
          <w:szCs w:val="32"/>
          <w:lang w:val="en-US" w:eastAsia="zh-CN"/>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2" w:firstLineChars="200"/>
        <w:outlineLvl w:val="2"/>
        <w:rPr>
          <w:rFonts w:ascii="仿宋" w:hAnsi="仿宋" w:eastAsia="仿宋"/>
          <w:b/>
          <w:color w:val="000000"/>
          <w:sz w:val="32"/>
          <w:szCs w:val="32"/>
        </w:rPr>
      </w:pPr>
      <w:bookmarkStart w:id="39" w:name="_Toc15377211"/>
      <w:r>
        <w:rPr>
          <w:rFonts w:hint="eastAsia" w:ascii="仿宋" w:hAnsi="仿宋" w:eastAsia="仿宋"/>
          <w:b/>
          <w:color w:val="000000"/>
          <w:sz w:val="32"/>
          <w:szCs w:val="32"/>
        </w:rPr>
        <w:t>（二）一般公共预算财政拨款支出决算结构情况</w:t>
      </w:r>
      <w:bookmarkEnd w:id="39"/>
    </w:p>
    <w:p>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315.45</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18.95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7.07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农林水</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0.15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交通运输</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277.84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88.07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住房保障支出</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11.08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3.51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pStyle w:val="2"/>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lang w:eastAsia="zh-CN"/>
          <w14:textFill>
            <w14:solidFill>
              <w14:schemeClr w14:val="tx1"/>
            </w14:solidFill>
          </w14:textFill>
        </w:rPr>
        <w:drawing>
          <wp:anchor distT="0" distB="0" distL="114300" distR="114300" simplePos="0" relativeHeight="251675648" behindDoc="0" locked="0" layoutInCell="1" allowOverlap="1">
            <wp:simplePos x="0" y="0"/>
            <wp:positionH relativeFrom="column">
              <wp:posOffset>-38100</wp:posOffset>
            </wp:positionH>
            <wp:positionV relativeFrom="paragraph">
              <wp:posOffset>420370</wp:posOffset>
            </wp:positionV>
            <wp:extent cx="5157470" cy="3175000"/>
            <wp:effectExtent l="4445" t="4445" r="6985" b="8255"/>
            <wp:wrapTopAndBottom/>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rPr>
          <w:rFonts w:hint="eastAsia" w:ascii="仿宋" w:hAnsi="仿宋" w:eastAsia="仿宋"/>
          <w:color w:val="000000" w:themeColor="text1"/>
          <w:sz w:val="32"/>
          <w:szCs w:val="32"/>
          <w14:textFill>
            <w14:solidFill>
              <w14:schemeClr w14:val="tx1"/>
            </w14:solidFill>
          </w14:textFill>
        </w:rPr>
      </w:pPr>
    </w:p>
    <w:p>
      <w:pPr>
        <w:pStyle w:val="2"/>
        <w:rPr>
          <w:rFonts w:hint="eastAsia" w:ascii="仿宋" w:hAnsi="仿宋" w:eastAsia="仿宋"/>
          <w:color w:val="000000" w:themeColor="text1"/>
          <w:sz w:val="32"/>
          <w:szCs w:val="32"/>
          <w14:textFill>
            <w14:solidFill>
              <w14:schemeClr w14:val="tx1"/>
            </w14:solidFill>
          </w14:textFill>
        </w:rPr>
      </w:pPr>
    </w:p>
    <w:p>
      <w:pPr>
        <w:pStyle w:val="2"/>
        <w:ind w:left="0" w:leftChars="0" w:firstLine="0" w:firstLineChars="0"/>
        <w:rPr>
          <w:rFonts w:hint="eastAsia" w:ascii="仿宋" w:hAnsi="仿宋" w:eastAsia="仿宋"/>
          <w:color w:val="000000" w:themeColor="text1"/>
          <w:sz w:val="32"/>
          <w:szCs w:val="32"/>
          <w14:textFill>
            <w14:solidFill>
              <w14:schemeClr w14:val="tx1"/>
            </w14:solidFill>
          </w14:textFill>
        </w:rPr>
      </w:pPr>
    </w:p>
    <w:p>
      <w:pPr>
        <w:pStyle w:val="2"/>
        <w:rPr>
          <w:rFonts w:hint="eastAsia" w:ascii="仿宋" w:hAnsi="仿宋" w:eastAsia="仿宋"/>
          <w:color w:val="000000" w:themeColor="text1"/>
          <w:sz w:val="32"/>
          <w:szCs w:val="32"/>
          <w14:textFill>
            <w14:solidFill>
              <w14:schemeClr w14:val="tx1"/>
            </w14:solidFill>
          </w14:textFill>
        </w:rPr>
      </w:pPr>
    </w:p>
    <w:p>
      <w:pPr>
        <w:pStyle w:val="2"/>
        <w:rPr>
          <w:rFonts w:hint="eastAsia" w:ascii="仿宋" w:hAnsi="仿宋" w:eastAsia="仿宋"/>
          <w:color w:val="000000" w:themeColor="text1"/>
          <w:sz w:val="32"/>
          <w:szCs w:val="32"/>
          <w14:textFill>
            <w14:solidFill>
              <w14:schemeClr w14:val="tx1"/>
            </w14:solidFill>
          </w14:textFill>
        </w:rPr>
      </w:pPr>
    </w:p>
    <w:p>
      <w:pPr>
        <w:pStyle w:val="2"/>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40" w:name="_Toc15377212"/>
      <w:r>
        <w:rPr>
          <w:rFonts w:hint="eastAsia" w:ascii="仿宋" w:hAnsi="仿宋" w:eastAsia="仿宋"/>
          <w:b/>
          <w:color w:val="000000"/>
          <w:sz w:val="32"/>
          <w:szCs w:val="32"/>
        </w:rPr>
        <w:t>（三）一般公共预算财政拨款支出决算具体情况</w:t>
      </w:r>
      <w:bookmarkEnd w:id="40"/>
    </w:p>
    <w:p>
      <w:pPr>
        <w:spacing w:line="600" w:lineRule="exact"/>
        <w:ind w:firstLine="642" w:firstLineChars="200"/>
        <w:outlineLvl w:val="2"/>
        <w:rPr>
          <w:rFonts w:ascii="仿宋" w:hAnsi="仿宋" w:eastAsia="仿宋"/>
          <w:color w:val="FF0000"/>
          <w:sz w:val="32"/>
          <w:szCs w:val="32"/>
        </w:rPr>
      </w:pPr>
      <w:bookmarkStart w:id="41" w:name="_Toc15377444"/>
      <w:bookmarkStart w:id="42" w:name="_Toc15377213"/>
      <w:bookmarkStart w:id="43" w:name="_Toc15378460"/>
      <w:r>
        <w:rPr>
          <w:rFonts w:hint="eastAsia" w:ascii="仿宋" w:hAnsi="仿宋" w:eastAsia="仿宋"/>
          <w:b/>
          <w:color w:val="000000" w:themeColor="text1"/>
          <w:sz w:val="32"/>
          <w:szCs w:val="32"/>
          <w14:textFill>
            <w14:solidFill>
              <w14:schemeClr w14:val="tx1"/>
            </w14:solidFill>
          </w14:textFill>
        </w:rPr>
        <w:t>2018年般公共预算支出决算数为</w:t>
      </w:r>
      <w:r>
        <w:rPr>
          <w:rFonts w:ascii="仿宋" w:hAnsi="仿宋" w:eastAsia="仿宋"/>
          <w:b/>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41"/>
      <w:bookmarkEnd w:id="42"/>
      <w:bookmarkEnd w:id="43"/>
    </w:p>
    <w:p>
      <w:pPr>
        <w:spacing w:line="600" w:lineRule="exact"/>
        <w:ind w:firstLine="642" w:firstLineChars="200"/>
        <w:rPr>
          <w:rFonts w:hint="eastAsia" w:asciiTheme="majorEastAsia" w:hAnsiTheme="majorEastAsia" w:eastAsiaTheme="majorEastAsia" w:cstheme="majorEastAsia"/>
          <w:b/>
          <w:color w:val="000000"/>
          <w:sz w:val="32"/>
          <w:szCs w:val="32"/>
        </w:rPr>
      </w:pPr>
      <w:r>
        <w:rPr>
          <w:rStyle w:val="15"/>
          <w:rFonts w:hint="eastAsia" w:asciiTheme="majorEastAsia" w:hAnsiTheme="majorEastAsia" w:eastAsiaTheme="majorEastAsia" w:cstheme="majorEastAsia"/>
          <w:bCs/>
          <w:color w:val="000000"/>
          <w:sz w:val="32"/>
          <w:szCs w:val="32"/>
          <w:lang w:val="en-US" w:eastAsia="zh-CN"/>
        </w:rPr>
        <w:t>5</w:t>
      </w:r>
      <w:r>
        <w:rPr>
          <w:rStyle w:val="15"/>
          <w:rFonts w:hint="eastAsia" w:asciiTheme="majorEastAsia" w:hAnsiTheme="majorEastAsia" w:eastAsiaTheme="majorEastAsia" w:cstheme="majorEastAsia"/>
          <w:bCs/>
          <w:color w:val="000000"/>
          <w:sz w:val="32"/>
          <w:szCs w:val="32"/>
        </w:rPr>
        <w:t>.社会保障和就业（类）</w:t>
      </w:r>
      <w:r>
        <w:rPr>
          <w:rStyle w:val="15"/>
          <w:rFonts w:hint="eastAsia" w:asciiTheme="majorEastAsia" w:hAnsiTheme="majorEastAsia" w:eastAsiaTheme="majorEastAsia" w:cstheme="majorEastAsia"/>
          <w:color w:val="000000"/>
          <w:sz w:val="32"/>
          <w:szCs w:val="32"/>
        </w:rPr>
        <w:t>行政事业单位离退休（款）机关事业单位基本养老保险缴费支出（项）</w:t>
      </w:r>
      <w:r>
        <w:rPr>
          <w:rStyle w:val="15"/>
          <w:rFonts w:hint="eastAsia" w:asciiTheme="majorEastAsia" w:hAnsiTheme="majorEastAsia" w:eastAsiaTheme="majorEastAsia" w:cstheme="majorEastAsia"/>
          <w:bCs/>
          <w:color w:val="000000"/>
          <w:sz w:val="32"/>
          <w:szCs w:val="32"/>
        </w:rPr>
        <w:t>:</w:t>
      </w:r>
      <w:r>
        <w:rPr>
          <w:rStyle w:val="15"/>
          <w:rFonts w:hint="eastAsia" w:asciiTheme="majorEastAsia" w:hAnsiTheme="majorEastAsia" w:eastAsiaTheme="majorEastAsia" w:cstheme="majorEastAsia"/>
          <w:b w:val="0"/>
          <w:bCs/>
          <w:color w:val="000000"/>
          <w:sz w:val="32"/>
          <w:szCs w:val="32"/>
        </w:rPr>
        <w:t xml:space="preserve"> 支出决算为</w:t>
      </w:r>
      <w:r>
        <w:rPr>
          <w:rStyle w:val="15"/>
          <w:rFonts w:hint="eastAsia" w:asciiTheme="majorEastAsia" w:hAnsiTheme="majorEastAsia" w:eastAsiaTheme="majorEastAsia" w:cstheme="majorEastAsia"/>
          <w:b w:val="0"/>
          <w:bCs/>
          <w:color w:val="000000"/>
          <w:sz w:val="32"/>
          <w:szCs w:val="32"/>
          <w:lang w:val="en-US" w:eastAsia="zh-CN"/>
        </w:rPr>
        <w:t>18.95</w:t>
      </w:r>
      <w:r>
        <w:rPr>
          <w:rStyle w:val="15"/>
          <w:rFonts w:hint="eastAsia" w:asciiTheme="majorEastAsia" w:hAnsiTheme="majorEastAsia" w:eastAsiaTheme="majorEastAsia" w:cstheme="majorEastAsia"/>
          <w:b w:val="0"/>
          <w:bCs/>
          <w:color w:val="000000"/>
          <w:sz w:val="32"/>
          <w:szCs w:val="32"/>
        </w:rPr>
        <w:t>万元，完成预算</w:t>
      </w:r>
      <w:r>
        <w:rPr>
          <w:rStyle w:val="15"/>
          <w:rFonts w:hint="eastAsia" w:asciiTheme="majorEastAsia" w:hAnsiTheme="majorEastAsia" w:eastAsiaTheme="majorEastAsia" w:cstheme="majorEastAsia"/>
          <w:b w:val="0"/>
          <w:bCs/>
          <w:color w:val="000000"/>
          <w:sz w:val="32"/>
          <w:szCs w:val="32"/>
          <w:lang w:val="en-US" w:eastAsia="zh-CN"/>
        </w:rPr>
        <w:t>100</w:t>
      </w:r>
      <w:r>
        <w:rPr>
          <w:rStyle w:val="15"/>
          <w:rFonts w:hint="eastAsia" w:asciiTheme="majorEastAsia" w:hAnsiTheme="majorEastAsia" w:eastAsiaTheme="majorEastAsia" w:cstheme="majorEastAsia"/>
          <w:b w:val="0"/>
          <w:bCs/>
          <w:color w:val="000000"/>
          <w:sz w:val="32"/>
          <w:szCs w:val="32"/>
        </w:rPr>
        <w:t>%。</w:t>
      </w:r>
    </w:p>
    <w:p>
      <w:pPr>
        <w:spacing w:line="600" w:lineRule="exact"/>
        <w:ind w:firstLine="642" w:firstLineChars="200"/>
        <w:rPr>
          <w:rStyle w:val="15"/>
          <w:rFonts w:hint="eastAsia" w:asciiTheme="majorEastAsia" w:hAnsiTheme="majorEastAsia" w:eastAsiaTheme="majorEastAsia" w:cstheme="majorEastAsia"/>
          <w:b w:val="0"/>
          <w:bCs/>
          <w:color w:val="000000"/>
          <w:sz w:val="32"/>
          <w:szCs w:val="32"/>
        </w:rPr>
      </w:pPr>
      <w:r>
        <w:rPr>
          <w:rStyle w:val="15"/>
          <w:rFonts w:hint="eastAsia" w:asciiTheme="majorEastAsia" w:hAnsiTheme="majorEastAsia" w:eastAsiaTheme="majorEastAsia" w:cstheme="majorEastAsia"/>
          <w:bCs/>
          <w:color w:val="auto"/>
          <w:sz w:val="32"/>
          <w:szCs w:val="32"/>
          <w:lang w:val="en-US" w:eastAsia="zh-CN"/>
        </w:rPr>
        <w:t>6</w:t>
      </w:r>
      <w:r>
        <w:rPr>
          <w:rStyle w:val="15"/>
          <w:rFonts w:hint="eastAsia" w:asciiTheme="majorEastAsia" w:hAnsiTheme="majorEastAsia" w:eastAsiaTheme="majorEastAsia" w:cstheme="majorEastAsia"/>
          <w:bCs/>
          <w:color w:val="0000FF"/>
          <w:sz w:val="32"/>
          <w:szCs w:val="32"/>
        </w:rPr>
        <w:t>.</w:t>
      </w:r>
      <w:r>
        <w:rPr>
          <w:rStyle w:val="15"/>
          <w:rFonts w:hint="eastAsia" w:ascii="仿宋_GB2312" w:eastAsia="仿宋_GB2312"/>
          <w:color w:val="000000"/>
          <w:sz w:val="32"/>
          <w:szCs w:val="32"/>
        </w:rPr>
        <w:t>医疗卫生与计划生育（类）</w:t>
      </w:r>
      <w:r>
        <w:rPr>
          <w:rFonts w:hint="eastAsia" w:ascii="仿宋_GB2312" w:eastAsia="仿宋_GB2312"/>
          <w:b/>
          <w:color w:val="000000"/>
          <w:sz w:val="32"/>
          <w:szCs w:val="32"/>
        </w:rPr>
        <w:t>医疗保障（款）事业单位医疗（项）</w:t>
      </w:r>
      <w:r>
        <w:rPr>
          <w:rStyle w:val="15"/>
          <w:rFonts w:hint="eastAsia" w:asciiTheme="majorEastAsia" w:hAnsiTheme="majorEastAsia" w:eastAsiaTheme="majorEastAsia" w:cstheme="majorEastAsia"/>
          <w:bCs/>
          <w:color w:val="000000"/>
          <w:sz w:val="32"/>
          <w:szCs w:val="32"/>
        </w:rPr>
        <w:t>:</w:t>
      </w:r>
      <w:r>
        <w:rPr>
          <w:rStyle w:val="15"/>
          <w:rFonts w:hint="eastAsia" w:asciiTheme="majorEastAsia" w:hAnsiTheme="majorEastAsia" w:eastAsiaTheme="majorEastAsia" w:cstheme="majorEastAsia"/>
          <w:b w:val="0"/>
          <w:bCs/>
          <w:color w:val="000000"/>
          <w:sz w:val="32"/>
          <w:szCs w:val="32"/>
        </w:rPr>
        <w:t>支出决算为</w:t>
      </w:r>
      <w:r>
        <w:rPr>
          <w:rStyle w:val="15"/>
          <w:rFonts w:hint="eastAsia" w:asciiTheme="majorEastAsia" w:hAnsiTheme="majorEastAsia" w:eastAsiaTheme="majorEastAsia" w:cstheme="majorEastAsia"/>
          <w:b w:val="0"/>
          <w:bCs/>
          <w:color w:val="000000"/>
          <w:sz w:val="32"/>
          <w:szCs w:val="32"/>
          <w:lang w:val="en-US" w:eastAsia="zh-CN"/>
        </w:rPr>
        <w:t>7.07</w:t>
      </w:r>
      <w:r>
        <w:rPr>
          <w:rStyle w:val="15"/>
          <w:rFonts w:hint="eastAsia" w:asciiTheme="majorEastAsia" w:hAnsiTheme="majorEastAsia" w:eastAsiaTheme="majorEastAsia" w:cstheme="majorEastAsia"/>
          <w:b w:val="0"/>
          <w:bCs/>
          <w:color w:val="000000"/>
          <w:sz w:val="32"/>
          <w:szCs w:val="32"/>
        </w:rPr>
        <w:t>万元，完成预算</w:t>
      </w:r>
      <w:r>
        <w:rPr>
          <w:rStyle w:val="15"/>
          <w:rFonts w:hint="eastAsia" w:asciiTheme="majorEastAsia" w:hAnsiTheme="majorEastAsia" w:eastAsiaTheme="majorEastAsia" w:cstheme="majorEastAsia"/>
          <w:b w:val="0"/>
          <w:bCs/>
          <w:color w:val="000000"/>
          <w:sz w:val="32"/>
          <w:szCs w:val="32"/>
          <w:lang w:val="en-US" w:eastAsia="zh-CN"/>
        </w:rPr>
        <w:t>100</w:t>
      </w:r>
      <w:r>
        <w:rPr>
          <w:rStyle w:val="15"/>
          <w:rFonts w:hint="eastAsia" w:asciiTheme="majorEastAsia" w:hAnsiTheme="majorEastAsia" w:eastAsiaTheme="majorEastAsia" w:cstheme="majorEastAsia"/>
          <w:b w:val="0"/>
          <w:bCs/>
          <w:color w:val="000000"/>
          <w:sz w:val="32"/>
          <w:szCs w:val="32"/>
        </w:rPr>
        <w:t>%。</w:t>
      </w:r>
    </w:p>
    <w:p>
      <w:pPr>
        <w:ind w:firstLine="642" w:firstLineChars="200"/>
        <w:rPr>
          <w:rFonts w:hint="eastAsia" w:asciiTheme="majorEastAsia" w:hAnsiTheme="majorEastAsia" w:eastAsiaTheme="majorEastAsia" w:cstheme="majorEastAsia"/>
          <w:b/>
          <w:color w:val="000000"/>
          <w:sz w:val="32"/>
          <w:szCs w:val="32"/>
        </w:rPr>
      </w:pPr>
      <w:r>
        <w:rPr>
          <w:rStyle w:val="15"/>
          <w:rFonts w:hint="eastAsia" w:asciiTheme="majorEastAsia" w:hAnsiTheme="majorEastAsia" w:eastAsiaTheme="majorEastAsia" w:cstheme="majorEastAsia"/>
          <w:color w:val="000000"/>
          <w:sz w:val="32"/>
          <w:szCs w:val="32"/>
          <w:lang w:val="en-US" w:eastAsia="zh-CN"/>
        </w:rPr>
        <w:t>7</w:t>
      </w:r>
      <w:r>
        <w:rPr>
          <w:rStyle w:val="15"/>
          <w:rFonts w:hint="eastAsia" w:asciiTheme="majorEastAsia" w:hAnsiTheme="majorEastAsia" w:eastAsiaTheme="majorEastAsia" w:cstheme="majorEastAsia"/>
          <w:color w:val="000000"/>
          <w:sz w:val="32"/>
          <w:szCs w:val="32"/>
        </w:rPr>
        <w:t>.农林水支出（类）扶贫（款）其他扶贫支出（项）:</w:t>
      </w:r>
      <w:r>
        <w:rPr>
          <w:rStyle w:val="15"/>
          <w:rFonts w:hint="eastAsia" w:asciiTheme="majorEastAsia" w:hAnsiTheme="majorEastAsia" w:eastAsiaTheme="majorEastAsia" w:cstheme="majorEastAsia"/>
          <w:b w:val="0"/>
          <w:color w:val="000000"/>
          <w:sz w:val="32"/>
          <w:szCs w:val="32"/>
        </w:rPr>
        <w:t>支出决算为0.50万元，完成预算100%。</w:t>
      </w:r>
    </w:p>
    <w:p>
      <w:pPr>
        <w:ind w:firstLine="642" w:firstLineChars="200"/>
        <w:rPr>
          <w:rStyle w:val="15"/>
          <w:rFonts w:hint="eastAsia" w:asciiTheme="majorEastAsia" w:hAnsiTheme="majorEastAsia" w:eastAsiaTheme="majorEastAsia" w:cstheme="majorEastAsia"/>
          <w:b w:val="0"/>
          <w:color w:val="000000"/>
          <w:sz w:val="32"/>
          <w:szCs w:val="32"/>
        </w:rPr>
      </w:pPr>
      <w:r>
        <w:rPr>
          <w:rStyle w:val="15"/>
          <w:rFonts w:hint="eastAsia" w:asciiTheme="majorEastAsia" w:hAnsiTheme="majorEastAsia" w:eastAsiaTheme="majorEastAsia" w:cstheme="majorEastAsia"/>
          <w:color w:val="000000"/>
          <w:sz w:val="32"/>
          <w:szCs w:val="32"/>
          <w:lang w:val="en-US" w:eastAsia="zh-CN"/>
        </w:rPr>
        <w:t>8</w:t>
      </w:r>
      <w:r>
        <w:rPr>
          <w:rStyle w:val="15"/>
          <w:rFonts w:hint="eastAsia" w:asciiTheme="majorEastAsia" w:hAnsiTheme="majorEastAsia" w:eastAsiaTheme="majorEastAsia" w:cstheme="majorEastAsia"/>
          <w:color w:val="000000"/>
          <w:sz w:val="32"/>
          <w:szCs w:val="32"/>
        </w:rPr>
        <w:t>.交通运输支出（类）公路水路运输（款）行政运行（项）:</w:t>
      </w:r>
      <w:r>
        <w:rPr>
          <w:rStyle w:val="15"/>
          <w:rFonts w:hint="eastAsia" w:asciiTheme="majorEastAsia" w:hAnsiTheme="majorEastAsia" w:eastAsiaTheme="majorEastAsia" w:cstheme="majorEastAsia"/>
          <w:b w:val="0"/>
          <w:color w:val="000000"/>
          <w:sz w:val="32"/>
          <w:szCs w:val="32"/>
        </w:rPr>
        <w:t xml:space="preserve"> </w:t>
      </w:r>
    </w:p>
    <w:p>
      <w:pPr>
        <w:rPr>
          <w:rStyle w:val="15"/>
          <w:rFonts w:hint="eastAsia" w:asciiTheme="majorEastAsia" w:hAnsiTheme="majorEastAsia" w:eastAsiaTheme="majorEastAsia" w:cstheme="majorEastAsia"/>
          <w:b w:val="0"/>
          <w:color w:val="000000"/>
          <w:sz w:val="32"/>
          <w:szCs w:val="32"/>
        </w:rPr>
      </w:pPr>
      <w:r>
        <w:rPr>
          <w:rStyle w:val="15"/>
          <w:rFonts w:hint="eastAsia" w:asciiTheme="majorEastAsia" w:hAnsiTheme="majorEastAsia" w:eastAsiaTheme="majorEastAsia" w:cstheme="majorEastAsia"/>
          <w:b w:val="0"/>
          <w:color w:val="000000"/>
          <w:sz w:val="32"/>
          <w:szCs w:val="32"/>
        </w:rPr>
        <w:t>支出决算为</w:t>
      </w:r>
      <w:r>
        <w:rPr>
          <w:rStyle w:val="15"/>
          <w:rFonts w:hint="eastAsia" w:asciiTheme="majorEastAsia" w:hAnsiTheme="majorEastAsia" w:eastAsiaTheme="majorEastAsia" w:cstheme="majorEastAsia"/>
          <w:b w:val="0"/>
          <w:color w:val="000000"/>
          <w:sz w:val="32"/>
          <w:szCs w:val="32"/>
          <w:lang w:val="en-US" w:eastAsia="zh-CN"/>
        </w:rPr>
        <w:t>147.81</w:t>
      </w:r>
      <w:r>
        <w:rPr>
          <w:rStyle w:val="15"/>
          <w:rFonts w:hint="eastAsia" w:asciiTheme="majorEastAsia" w:hAnsiTheme="majorEastAsia" w:eastAsiaTheme="majorEastAsia" w:cstheme="majorEastAsia"/>
          <w:b w:val="0"/>
          <w:color w:val="000000"/>
          <w:sz w:val="32"/>
          <w:szCs w:val="32"/>
        </w:rPr>
        <w:t>万元，完成预算100%。</w:t>
      </w:r>
    </w:p>
    <w:p>
      <w:pPr>
        <w:ind w:firstLine="642" w:firstLineChars="200"/>
        <w:rPr>
          <w:rStyle w:val="15"/>
          <w:rFonts w:hint="eastAsia" w:asciiTheme="majorEastAsia" w:hAnsiTheme="majorEastAsia" w:eastAsiaTheme="majorEastAsia" w:cstheme="majorEastAsia"/>
          <w:b w:val="0"/>
          <w:color w:val="000000"/>
          <w:sz w:val="32"/>
          <w:szCs w:val="32"/>
        </w:rPr>
      </w:pPr>
      <w:r>
        <w:rPr>
          <w:rStyle w:val="15"/>
          <w:rFonts w:hint="eastAsia" w:asciiTheme="majorEastAsia" w:hAnsiTheme="majorEastAsia" w:eastAsiaTheme="majorEastAsia" w:cstheme="majorEastAsia"/>
          <w:color w:val="000000"/>
          <w:sz w:val="32"/>
          <w:szCs w:val="32"/>
          <w:lang w:val="en-US" w:eastAsia="zh-CN"/>
        </w:rPr>
        <w:t>9</w:t>
      </w:r>
      <w:r>
        <w:rPr>
          <w:rStyle w:val="15"/>
          <w:rFonts w:hint="eastAsia" w:asciiTheme="majorEastAsia" w:hAnsiTheme="majorEastAsia" w:eastAsiaTheme="majorEastAsia" w:cstheme="majorEastAsia"/>
          <w:color w:val="000000"/>
          <w:sz w:val="32"/>
          <w:szCs w:val="32"/>
        </w:rPr>
        <w:t>.交通运输支出（类）公路水路运输（款）公路建设（项）:</w:t>
      </w:r>
      <w:r>
        <w:rPr>
          <w:rStyle w:val="15"/>
          <w:rFonts w:hint="eastAsia" w:asciiTheme="majorEastAsia" w:hAnsiTheme="majorEastAsia" w:eastAsiaTheme="majorEastAsia" w:cstheme="majorEastAsia"/>
          <w:b w:val="0"/>
          <w:color w:val="000000"/>
          <w:sz w:val="32"/>
          <w:szCs w:val="32"/>
        </w:rPr>
        <w:t xml:space="preserve"> </w:t>
      </w:r>
    </w:p>
    <w:p>
      <w:pPr>
        <w:rPr>
          <w:rStyle w:val="15"/>
          <w:rFonts w:hint="eastAsia" w:asciiTheme="majorEastAsia" w:hAnsiTheme="majorEastAsia" w:eastAsiaTheme="majorEastAsia" w:cstheme="majorEastAsia"/>
          <w:b w:val="0"/>
          <w:color w:val="000000"/>
          <w:sz w:val="32"/>
          <w:szCs w:val="32"/>
        </w:rPr>
      </w:pPr>
      <w:r>
        <w:rPr>
          <w:rStyle w:val="15"/>
          <w:rFonts w:hint="eastAsia" w:asciiTheme="majorEastAsia" w:hAnsiTheme="majorEastAsia" w:eastAsiaTheme="majorEastAsia" w:cstheme="majorEastAsia"/>
          <w:b w:val="0"/>
          <w:color w:val="000000"/>
          <w:sz w:val="32"/>
          <w:szCs w:val="32"/>
        </w:rPr>
        <w:t>支出决算为</w:t>
      </w:r>
      <w:r>
        <w:rPr>
          <w:rStyle w:val="15"/>
          <w:rFonts w:hint="eastAsia" w:asciiTheme="majorEastAsia" w:hAnsiTheme="majorEastAsia" w:eastAsiaTheme="majorEastAsia" w:cstheme="majorEastAsia"/>
          <w:b w:val="0"/>
          <w:color w:val="000000"/>
          <w:sz w:val="32"/>
          <w:szCs w:val="32"/>
          <w:lang w:val="en-US" w:eastAsia="zh-CN"/>
        </w:rPr>
        <w:t>95.28</w:t>
      </w:r>
      <w:r>
        <w:rPr>
          <w:rStyle w:val="15"/>
          <w:rFonts w:hint="eastAsia" w:asciiTheme="majorEastAsia" w:hAnsiTheme="majorEastAsia" w:eastAsiaTheme="majorEastAsia" w:cstheme="majorEastAsia"/>
          <w:b w:val="0"/>
          <w:color w:val="000000"/>
          <w:sz w:val="32"/>
          <w:szCs w:val="32"/>
        </w:rPr>
        <w:t>万元，完成预算</w:t>
      </w:r>
      <w:r>
        <w:rPr>
          <w:rStyle w:val="15"/>
          <w:rFonts w:hint="eastAsia" w:asciiTheme="majorEastAsia" w:hAnsiTheme="majorEastAsia" w:eastAsiaTheme="majorEastAsia" w:cstheme="majorEastAsia"/>
          <w:b w:val="0"/>
          <w:color w:val="000000"/>
          <w:sz w:val="32"/>
          <w:szCs w:val="32"/>
          <w:lang w:val="en-US" w:eastAsia="zh-CN"/>
        </w:rPr>
        <w:t>96.3</w:t>
      </w:r>
      <w:r>
        <w:rPr>
          <w:rStyle w:val="15"/>
          <w:rFonts w:hint="eastAsia" w:asciiTheme="majorEastAsia" w:hAnsiTheme="majorEastAsia" w:eastAsiaTheme="majorEastAsia" w:cstheme="majorEastAsia"/>
          <w:b w:val="0"/>
          <w:color w:val="000000"/>
          <w:sz w:val="32"/>
          <w:szCs w:val="32"/>
        </w:rPr>
        <w:t>%</w:t>
      </w:r>
      <w:r>
        <w:rPr>
          <w:rStyle w:val="15"/>
          <w:rFonts w:hint="eastAsia" w:asciiTheme="majorEastAsia" w:hAnsiTheme="majorEastAsia" w:eastAsiaTheme="majorEastAsia" w:cstheme="majorEastAsia"/>
          <w:b w:val="0"/>
          <w:color w:val="000000"/>
          <w:sz w:val="32"/>
          <w:szCs w:val="32"/>
          <w:lang w:eastAsia="zh-CN"/>
        </w:rPr>
        <w:t>，</w:t>
      </w:r>
      <w:r>
        <w:rPr>
          <w:rStyle w:val="15"/>
          <w:rFonts w:hint="eastAsia" w:asciiTheme="majorEastAsia" w:hAnsiTheme="majorEastAsia" w:eastAsiaTheme="majorEastAsia" w:cstheme="majorEastAsia"/>
          <w:b w:val="0"/>
          <w:bCs/>
          <w:color w:val="000000"/>
          <w:sz w:val="32"/>
          <w:szCs w:val="32"/>
        </w:rPr>
        <w:t>决算数</w:t>
      </w:r>
      <w:r>
        <w:rPr>
          <w:rStyle w:val="15"/>
          <w:rFonts w:hint="eastAsia" w:asciiTheme="majorEastAsia" w:hAnsiTheme="majorEastAsia" w:eastAsiaTheme="majorEastAsia" w:cstheme="majorEastAsia"/>
          <w:b w:val="0"/>
          <w:bCs/>
          <w:color w:val="000000"/>
          <w:sz w:val="32"/>
          <w:szCs w:val="32"/>
          <w:lang w:eastAsia="zh-CN"/>
        </w:rPr>
        <w:t>小于</w:t>
      </w:r>
      <w:r>
        <w:rPr>
          <w:rStyle w:val="15"/>
          <w:rFonts w:hint="eastAsia" w:asciiTheme="majorEastAsia" w:hAnsiTheme="majorEastAsia" w:eastAsiaTheme="majorEastAsia" w:cstheme="majorEastAsia"/>
          <w:b w:val="0"/>
          <w:bCs/>
          <w:color w:val="000000"/>
          <w:sz w:val="32"/>
          <w:szCs w:val="32"/>
        </w:rPr>
        <w:t>预算数的主要原因是</w:t>
      </w:r>
      <w:r>
        <w:rPr>
          <w:rStyle w:val="15"/>
          <w:rFonts w:hint="eastAsia" w:asciiTheme="majorEastAsia" w:hAnsiTheme="majorEastAsia" w:eastAsiaTheme="majorEastAsia" w:cstheme="majorEastAsia"/>
          <w:b w:val="0"/>
          <w:bCs/>
          <w:color w:val="000000"/>
          <w:sz w:val="32"/>
          <w:szCs w:val="32"/>
          <w:lang w:eastAsia="zh-CN"/>
        </w:rPr>
        <w:t>渡改桥建设支出减少</w:t>
      </w:r>
      <w:r>
        <w:rPr>
          <w:rStyle w:val="15"/>
          <w:rFonts w:hint="eastAsia" w:asciiTheme="majorEastAsia" w:hAnsiTheme="majorEastAsia" w:eastAsiaTheme="majorEastAsia" w:cstheme="majorEastAsia"/>
          <w:b w:val="0"/>
          <w:color w:val="000000"/>
          <w:sz w:val="32"/>
          <w:szCs w:val="32"/>
        </w:rPr>
        <w:t>。</w:t>
      </w:r>
    </w:p>
    <w:p>
      <w:pPr>
        <w:ind w:firstLine="642" w:firstLineChars="200"/>
        <w:rPr>
          <w:rStyle w:val="15"/>
          <w:rFonts w:hint="eastAsia" w:asciiTheme="majorEastAsia" w:hAnsiTheme="majorEastAsia" w:eastAsiaTheme="majorEastAsia" w:cstheme="majorEastAsia"/>
          <w:b w:val="0"/>
          <w:color w:val="000000"/>
          <w:sz w:val="32"/>
          <w:szCs w:val="32"/>
        </w:rPr>
      </w:pPr>
      <w:r>
        <w:rPr>
          <w:rStyle w:val="15"/>
          <w:rFonts w:hint="eastAsia" w:asciiTheme="majorEastAsia" w:hAnsiTheme="majorEastAsia" w:eastAsiaTheme="majorEastAsia" w:cstheme="majorEastAsia"/>
          <w:color w:val="000000"/>
          <w:sz w:val="32"/>
          <w:szCs w:val="32"/>
          <w:lang w:val="en-US" w:eastAsia="zh-CN"/>
        </w:rPr>
        <w:t>10</w:t>
      </w:r>
      <w:r>
        <w:rPr>
          <w:rStyle w:val="15"/>
          <w:rFonts w:hint="eastAsia" w:asciiTheme="majorEastAsia" w:hAnsiTheme="majorEastAsia" w:eastAsiaTheme="majorEastAsia" w:cstheme="majorEastAsia"/>
          <w:color w:val="000000"/>
          <w:sz w:val="32"/>
          <w:szCs w:val="32"/>
        </w:rPr>
        <w:t>.交通运输支出（类）公路水路运输（款）海事管理（项）:</w:t>
      </w:r>
      <w:r>
        <w:rPr>
          <w:rStyle w:val="15"/>
          <w:rFonts w:hint="eastAsia" w:asciiTheme="majorEastAsia" w:hAnsiTheme="majorEastAsia" w:eastAsiaTheme="majorEastAsia" w:cstheme="majorEastAsia"/>
          <w:b w:val="0"/>
          <w:color w:val="000000"/>
          <w:sz w:val="32"/>
          <w:szCs w:val="32"/>
        </w:rPr>
        <w:t xml:space="preserve"> </w:t>
      </w:r>
    </w:p>
    <w:p>
      <w:pPr>
        <w:rPr>
          <w:rStyle w:val="15"/>
          <w:rFonts w:hint="eastAsia" w:asciiTheme="majorEastAsia" w:hAnsiTheme="majorEastAsia" w:eastAsiaTheme="majorEastAsia" w:cstheme="majorEastAsia"/>
          <w:b w:val="0"/>
          <w:color w:val="000000"/>
          <w:sz w:val="32"/>
          <w:szCs w:val="32"/>
        </w:rPr>
      </w:pPr>
      <w:r>
        <w:rPr>
          <w:rStyle w:val="15"/>
          <w:rFonts w:hint="eastAsia" w:asciiTheme="majorEastAsia" w:hAnsiTheme="majorEastAsia" w:eastAsiaTheme="majorEastAsia" w:cstheme="majorEastAsia"/>
          <w:b w:val="0"/>
          <w:color w:val="000000"/>
          <w:sz w:val="32"/>
          <w:szCs w:val="32"/>
        </w:rPr>
        <w:t>支出决算为</w:t>
      </w:r>
      <w:r>
        <w:rPr>
          <w:rStyle w:val="15"/>
          <w:rFonts w:hint="eastAsia" w:asciiTheme="majorEastAsia" w:hAnsiTheme="majorEastAsia" w:eastAsiaTheme="majorEastAsia" w:cstheme="majorEastAsia"/>
          <w:b w:val="0"/>
          <w:color w:val="000000"/>
          <w:sz w:val="32"/>
          <w:szCs w:val="32"/>
          <w:lang w:val="en-US" w:eastAsia="zh-CN"/>
        </w:rPr>
        <w:t>14</w:t>
      </w:r>
      <w:r>
        <w:rPr>
          <w:rStyle w:val="15"/>
          <w:rFonts w:hint="eastAsia" w:asciiTheme="majorEastAsia" w:hAnsiTheme="majorEastAsia" w:eastAsiaTheme="majorEastAsia" w:cstheme="majorEastAsia"/>
          <w:b w:val="0"/>
          <w:color w:val="000000"/>
          <w:sz w:val="32"/>
          <w:szCs w:val="32"/>
        </w:rPr>
        <w:t>万元，完成预算100%。</w:t>
      </w:r>
    </w:p>
    <w:p>
      <w:pPr>
        <w:ind w:firstLine="642" w:firstLineChars="200"/>
        <w:rPr>
          <w:rStyle w:val="15"/>
          <w:rFonts w:hint="eastAsia" w:asciiTheme="majorEastAsia" w:hAnsiTheme="majorEastAsia" w:eastAsiaTheme="majorEastAsia" w:cstheme="majorEastAsia"/>
          <w:b w:val="0"/>
          <w:color w:val="000000"/>
          <w:sz w:val="32"/>
          <w:szCs w:val="32"/>
        </w:rPr>
      </w:pPr>
      <w:r>
        <w:rPr>
          <w:rStyle w:val="15"/>
          <w:rFonts w:hint="eastAsia" w:asciiTheme="majorEastAsia" w:hAnsiTheme="majorEastAsia" w:eastAsiaTheme="majorEastAsia" w:cstheme="majorEastAsia"/>
          <w:color w:val="000000"/>
          <w:sz w:val="32"/>
          <w:szCs w:val="32"/>
          <w:lang w:val="en-US" w:eastAsia="zh-CN"/>
        </w:rPr>
        <w:t>11</w:t>
      </w:r>
      <w:r>
        <w:rPr>
          <w:rStyle w:val="15"/>
          <w:rFonts w:hint="eastAsia" w:asciiTheme="majorEastAsia" w:hAnsiTheme="majorEastAsia" w:eastAsiaTheme="majorEastAsia" w:cstheme="majorEastAsia"/>
          <w:color w:val="000000"/>
          <w:sz w:val="32"/>
          <w:szCs w:val="32"/>
        </w:rPr>
        <w:t>.交通运输支出（类）成品油价格改革对交通运输的补贴（款）对农村道路客运的补贴（项）:</w:t>
      </w:r>
      <w:r>
        <w:rPr>
          <w:rStyle w:val="15"/>
          <w:rFonts w:hint="eastAsia" w:asciiTheme="majorEastAsia" w:hAnsiTheme="majorEastAsia" w:eastAsiaTheme="majorEastAsia" w:cstheme="majorEastAsia"/>
          <w:b w:val="0"/>
          <w:color w:val="000000"/>
          <w:sz w:val="32"/>
          <w:szCs w:val="32"/>
        </w:rPr>
        <w:t>支出决算为</w:t>
      </w:r>
      <w:r>
        <w:rPr>
          <w:rStyle w:val="15"/>
          <w:rFonts w:hint="eastAsia" w:asciiTheme="majorEastAsia" w:hAnsiTheme="majorEastAsia" w:eastAsiaTheme="majorEastAsia" w:cstheme="majorEastAsia"/>
          <w:b w:val="0"/>
          <w:color w:val="000000"/>
          <w:sz w:val="32"/>
          <w:szCs w:val="32"/>
          <w:lang w:val="en-US" w:eastAsia="zh-CN"/>
        </w:rPr>
        <w:t>20.74</w:t>
      </w:r>
      <w:r>
        <w:rPr>
          <w:rStyle w:val="15"/>
          <w:rFonts w:hint="eastAsia" w:asciiTheme="majorEastAsia" w:hAnsiTheme="majorEastAsia" w:eastAsiaTheme="majorEastAsia" w:cstheme="majorEastAsia"/>
          <w:b w:val="0"/>
          <w:color w:val="000000"/>
          <w:sz w:val="32"/>
          <w:szCs w:val="32"/>
        </w:rPr>
        <w:t>万元，完成预算100%。</w:t>
      </w:r>
    </w:p>
    <w:p>
      <w:pPr>
        <w:ind w:firstLine="642" w:firstLineChars="200"/>
        <w:rPr>
          <w:rFonts w:ascii="仿宋" w:hAnsi="仿宋" w:eastAsia="仿宋"/>
          <w:b/>
          <w:color w:val="000000"/>
          <w:sz w:val="32"/>
          <w:szCs w:val="32"/>
        </w:rPr>
      </w:pPr>
      <w:r>
        <w:rPr>
          <w:rStyle w:val="15"/>
          <w:rFonts w:hint="eastAsia" w:asciiTheme="majorEastAsia" w:hAnsiTheme="majorEastAsia" w:eastAsiaTheme="majorEastAsia" w:cstheme="majorEastAsia"/>
          <w:bCs w:val="0"/>
          <w:color w:val="000000"/>
          <w:sz w:val="32"/>
          <w:szCs w:val="32"/>
          <w:lang w:val="en-US" w:eastAsia="zh-CN"/>
        </w:rPr>
        <w:t>12</w:t>
      </w:r>
      <w:r>
        <w:rPr>
          <w:rStyle w:val="15"/>
          <w:rFonts w:hint="eastAsia" w:asciiTheme="majorEastAsia" w:hAnsiTheme="majorEastAsia" w:eastAsiaTheme="majorEastAsia" w:cstheme="majorEastAsia"/>
          <w:bCs w:val="0"/>
          <w:color w:val="000000"/>
          <w:sz w:val="32"/>
          <w:szCs w:val="32"/>
        </w:rPr>
        <w:t>.</w:t>
      </w:r>
      <w:r>
        <w:rPr>
          <w:rStyle w:val="15"/>
          <w:rFonts w:hint="eastAsia" w:asciiTheme="majorEastAsia" w:hAnsiTheme="majorEastAsia" w:eastAsiaTheme="majorEastAsia" w:cstheme="majorEastAsia"/>
          <w:color w:val="000000"/>
          <w:sz w:val="32"/>
          <w:szCs w:val="32"/>
        </w:rPr>
        <w:t>住房保障支出（类）住房改革支出（款）住房公积金（项）:</w:t>
      </w:r>
      <w:r>
        <w:rPr>
          <w:rStyle w:val="15"/>
          <w:rFonts w:hint="eastAsia" w:asciiTheme="majorEastAsia" w:hAnsiTheme="majorEastAsia" w:eastAsiaTheme="majorEastAsia" w:cstheme="majorEastAsia"/>
          <w:b w:val="0"/>
          <w:color w:val="000000"/>
          <w:sz w:val="32"/>
          <w:szCs w:val="32"/>
        </w:rPr>
        <w:t>支出决算为1</w:t>
      </w:r>
      <w:r>
        <w:rPr>
          <w:rStyle w:val="15"/>
          <w:rFonts w:hint="eastAsia" w:asciiTheme="majorEastAsia" w:hAnsiTheme="majorEastAsia" w:eastAsiaTheme="majorEastAsia" w:cstheme="majorEastAsia"/>
          <w:b w:val="0"/>
          <w:color w:val="000000"/>
          <w:sz w:val="32"/>
          <w:szCs w:val="32"/>
          <w:lang w:val="en-US" w:eastAsia="zh-CN"/>
        </w:rPr>
        <w:t>1.08</w:t>
      </w:r>
      <w:r>
        <w:rPr>
          <w:rStyle w:val="15"/>
          <w:rFonts w:hint="eastAsia" w:asciiTheme="majorEastAsia" w:hAnsiTheme="majorEastAsia" w:eastAsiaTheme="majorEastAsia" w:cstheme="majorEastAsia"/>
          <w:b w:val="0"/>
          <w:color w:val="000000"/>
          <w:sz w:val="32"/>
          <w:szCs w:val="32"/>
        </w:rPr>
        <w:t>万元，完成预算100%。</w:t>
      </w:r>
    </w:p>
    <w:p>
      <w:pPr>
        <w:tabs>
          <w:tab w:val="right" w:pos="8306"/>
        </w:tabs>
        <w:spacing w:line="600" w:lineRule="exact"/>
        <w:ind w:firstLine="640"/>
        <w:outlineLvl w:val="1"/>
        <w:rPr>
          <w:rStyle w:val="26"/>
        </w:rPr>
      </w:pPr>
      <w:bookmarkStart w:id="44" w:name="_Toc8542"/>
      <w:bookmarkStart w:id="4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4"/>
      <w:bookmarkEnd w:id="45"/>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184.92</w:t>
      </w:r>
      <w:r>
        <w:rPr>
          <w:rFonts w:hint="eastAsia" w:ascii="仿宋" w:hAnsi="仿宋" w:eastAsia="仿宋"/>
          <w:color w:val="000000"/>
          <w:sz w:val="32"/>
          <w:szCs w:val="32"/>
        </w:rPr>
        <w:t>万元，其中：</w:t>
      </w:r>
    </w:p>
    <w:p>
      <w:pPr>
        <w:spacing w:line="600" w:lineRule="exact"/>
        <w:ind w:firstLine="645"/>
        <w:rPr>
          <w:rFonts w:hint="eastAsia" w:ascii="黑体" w:eastAsia="黑体"/>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161.78</w:t>
      </w:r>
      <w:r>
        <w:rPr>
          <w:rFonts w:hint="eastAsia" w:ascii="仿宋" w:hAnsi="仿宋" w:eastAsia="仿宋"/>
          <w:color w:val="000000"/>
          <w:sz w:val="32"/>
          <w:szCs w:val="32"/>
        </w:rPr>
        <w:t>万元，主要包括：基本工资、津贴补贴、奖金、绩效工资、机关事业单位基本养老保险缴费、职业年金缴费、其他社会保障缴费、退休费、生活补助、医疗费、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23.13</w:t>
      </w:r>
      <w:r>
        <w:rPr>
          <w:rFonts w:hint="eastAsia" w:ascii="仿宋" w:hAnsi="仿宋" w:eastAsia="仿宋"/>
          <w:color w:val="000000"/>
          <w:sz w:val="32"/>
          <w:szCs w:val="32"/>
        </w:rPr>
        <w:t>万元，主要包括：办公费、印刷费、咨询费、手续费、水费、电费、邮电费、取暖费、物业管理费、差旅费、维修（护）费、会议费、培训费、公务接待费、劳务费、委托业务费、工会经费、福利费、公务用车运行维护费、其他交通费、税金及附加费用、其他商品和服务支出、办公设备购置、专用设备购置、他资本性支出等。</w:t>
      </w:r>
      <w:bookmarkStart w:id="46" w:name="_Toc15377215"/>
    </w:p>
    <w:p>
      <w:pPr>
        <w:spacing w:line="600" w:lineRule="exact"/>
        <w:ind w:firstLine="640"/>
        <w:outlineLvl w:val="1"/>
        <w:rPr>
          <w:rStyle w:val="26"/>
          <w:rFonts w:ascii="黑体" w:hAnsi="黑体" w:eastAsia="黑体"/>
          <w:b w:val="0"/>
        </w:rPr>
      </w:pPr>
      <w:bookmarkStart w:id="47" w:name="_Toc15318"/>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6"/>
      <w:bookmarkEnd w:id="47"/>
    </w:p>
    <w:p>
      <w:pPr>
        <w:spacing w:line="600" w:lineRule="exact"/>
        <w:ind w:firstLine="640"/>
        <w:outlineLvl w:val="2"/>
        <w:rPr>
          <w:rFonts w:ascii="仿宋" w:hAnsi="仿宋" w:eastAsia="仿宋"/>
          <w:b/>
          <w:color w:val="000000"/>
          <w:sz w:val="32"/>
          <w:szCs w:val="32"/>
        </w:rPr>
      </w:pPr>
      <w:bookmarkStart w:id="48" w:name="_Toc15377216"/>
      <w:r>
        <w:rPr>
          <w:rFonts w:hint="eastAsia" w:ascii="仿宋" w:hAnsi="仿宋" w:eastAsia="仿宋"/>
          <w:b/>
          <w:color w:val="000000"/>
          <w:sz w:val="32"/>
          <w:szCs w:val="32"/>
        </w:rPr>
        <w:t>（一）“三公”经费财政拨款支出决算总体情况说明</w:t>
      </w:r>
      <w:bookmarkEnd w:id="4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9.3</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97</w:t>
      </w:r>
      <w:r>
        <w:rPr>
          <w:rFonts w:ascii="仿宋" w:hAnsi="仿宋" w:eastAsia="仿宋"/>
          <w:color w:val="000000"/>
          <w:sz w:val="32"/>
          <w:szCs w:val="32"/>
        </w:rPr>
        <w:t>%</w:t>
      </w:r>
      <w:r>
        <w:rPr>
          <w:rFonts w:hint="eastAsia" w:ascii="仿宋" w:hAnsi="仿宋" w:eastAsia="仿宋"/>
          <w:color w:val="000000"/>
          <w:sz w:val="32"/>
          <w:szCs w:val="32"/>
        </w:rPr>
        <w:t>，决算数小于预算数（或与预算数持平）的主要原因是</w:t>
      </w:r>
      <w:r>
        <w:rPr>
          <w:rFonts w:hint="eastAsia" w:ascii="仿宋" w:hAnsi="仿宋" w:eastAsia="仿宋"/>
          <w:color w:val="000000"/>
          <w:sz w:val="32"/>
          <w:szCs w:val="32"/>
          <w:lang w:eastAsia="zh-CN"/>
        </w:rPr>
        <w:t>减少开支</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9" w:name="_Toc15377217"/>
      <w:r>
        <w:rPr>
          <w:rFonts w:hint="eastAsia" w:ascii="仿宋" w:hAnsi="仿宋" w:eastAsia="仿宋"/>
          <w:b/>
          <w:color w:val="000000"/>
          <w:sz w:val="32"/>
          <w:szCs w:val="32"/>
        </w:rPr>
        <w:t>（二）“三公”经费财政拨款支出决算具体情况说明</w:t>
      </w:r>
      <w:bookmarkEnd w:id="49"/>
    </w:p>
    <w:p>
      <w:pPr>
        <w:spacing w:line="600" w:lineRule="exact"/>
        <w:ind w:firstLine="640"/>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8.65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93</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0.66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w:t>
      </w:r>
      <w:r>
        <w:rPr>
          <w:rFonts w:ascii="仿宋" w:hAnsi="仿宋" w:eastAsia="仿宋"/>
          <w:color w:val="000000"/>
          <w:sz w:val="32"/>
          <w:szCs w:val="32"/>
        </w:rPr>
        <w:t>%</w:t>
      </w:r>
      <w:r>
        <w:rPr>
          <w:rFonts w:hint="eastAsia" w:ascii="仿宋" w:hAnsi="仿宋" w:eastAsia="仿宋"/>
          <w:color w:val="000000"/>
          <w:sz w:val="32"/>
          <w:szCs w:val="32"/>
        </w:rPr>
        <w:t>。具体情况如下：</w:t>
      </w:r>
    </w:p>
    <w:p>
      <w:pPr>
        <w:pStyle w:val="2"/>
      </w:pPr>
      <w:r>
        <w:rPr>
          <w:rFonts w:hint="eastAsia" w:ascii="仿宋" w:hAnsi="仿宋" w:eastAsia="仿宋"/>
          <w:color w:val="000000"/>
          <w:sz w:val="32"/>
          <w:szCs w:val="32"/>
          <w:lang w:eastAsia="zh-CN"/>
        </w:rPr>
        <w:drawing>
          <wp:anchor distT="0" distB="0" distL="114300" distR="114300" simplePos="0" relativeHeight="251682816" behindDoc="0" locked="0" layoutInCell="1" allowOverlap="1">
            <wp:simplePos x="0" y="0"/>
            <wp:positionH relativeFrom="column">
              <wp:posOffset>357505</wp:posOffset>
            </wp:positionH>
            <wp:positionV relativeFrom="paragraph">
              <wp:posOffset>266700</wp:posOffset>
            </wp:positionV>
            <wp:extent cx="5319395" cy="3281680"/>
            <wp:effectExtent l="4445" t="4445" r="10160" b="15875"/>
            <wp:wrapTopAndBottom/>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numPr>
          <w:ilvl w:val="0"/>
          <w:numId w:val="2"/>
        </w:numPr>
        <w:spacing w:line="600" w:lineRule="exact"/>
        <w:ind w:firstLine="640"/>
        <w:rPr>
          <w:rStyle w:val="15"/>
          <w:rFonts w:hint="eastAsia" w:ascii="仿宋" w:hAnsi="仿宋" w:eastAsia="仿宋"/>
          <w:b w:val="0"/>
          <w:bCs/>
          <w:color w:val="000000"/>
          <w:sz w:val="32"/>
          <w:szCs w:val="32"/>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w:t>
      </w:r>
      <w:r>
        <w:rPr>
          <w:rFonts w:hint="eastAsia" w:ascii="仿宋_GB2312" w:eastAsia="仿宋_GB2312"/>
          <w:color w:val="000000"/>
          <w:sz w:val="32"/>
          <w:szCs w:val="32"/>
          <w:lang w:eastAsia="zh-CN"/>
        </w:rPr>
        <w:t>元</w:t>
      </w:r>
      <w:r>
        <w:rPr>
          <w:rStyle w:val="15"/>
          <w:rFonts w:hint="eastAsia" w:ascii="仿宋" w:hAnsi="仿宋" w:eastAsia="仿宋"/>
          <w:b w:val="0"/>
          <w:bCs/>
          <w:color w:val="000000"/>
          <w:sz w:val="32"/>
          <w:szCs w:val="32"/>
        </w:rPr>
        <w:t>。</w:t>
      </w:r>
    </w:p>
    <w:p>
      <w:pPr>
        <w:numPr>
          <w:ilvl w:val="0"/>
          <w:numId w:val="2"/>
        </w:num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8.65</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99</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0.04</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04</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水上安全监管任务增大。</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hint="eastAsia" w:ascii="宋体" w:hAnsi="宋体" w:eastAsia="宋体" w:cs="宋体"/>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8.65</w:t>
      </w:r>
      <w:r>
        <w:rPr>
          <w:rFonts w:hint="eastAsia" w:ascii="仿宋_GB2312" w:eastAsia="仿宋_GB2312"/>
          <w:color w:val="000000"/>
          <w:sz w:val="32"/>
          <w:szCs w:val="32"/>
        </w:rPr>
        <w:t>万元。主要用于</w:t>
      </w:r>
      <w:r>
        <w:rPr>
          <w:rFonts w:hint="eastAsia" w:ascii="仿宋_GB2312" w:eastAsia="仿宋_GB2312"/>
          <w:sz w:val="32"/>
          <w:szCs w:val="32"/>
          <w:lang w:eastAsia="zh-CN"/>
        </w:rPr>
        <w:t>水上交通安全检查、项目建设、扶贫工作</w:t>
      </w:r>
      <w:r>
        <w:rPr>
          <w:rFonts w:hint="eastAsia" w:ascii="仿宋_GB2312" w:eastAsia="仿宋_GB2312"/>
          <w:sz w:val="32"/>
          <w:szCs w:val="32"/>
        </w:rPr>
        <w:t>等所需的公务用车燃料费、</w:t>
      </w:r>
      <w:r>
        <w:rPr>
          <w:rFonts w:hint="eastAsia" w:ascii="宋体" w:hAnsi="宋体" w:eastAsia="宋体" w:cs="宋体"/>
          <w:sz w:val="32"/>
          <w:szCs w:val="32"/>
        </w:rPr>
        <w:t>维修费、过路过桥费、保险费支出。</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b/>
          <w:color w:val="000000"/>
          <w:sz w:val="32"/>
          <w:szCs w:val="32"/>
        </w:rPr>
        <w:t>3.公务接待费支出</w:t>
      </w:r>
      <w:r>
        <w:rPr>
          <w:rFonts w:hint="eastAsia" w:ascii="宋体" w:hAnsi="宋体" w:eastAsia="宋体" w:cs="宋体"/>
          <w:color w:val="000000"/>
          <w:sz w:val="32"/>
          <w:szCs w:val="32"/>
          <w:lang w:val="en-US" w:eastAsia="zh-CN"/>
        </w:rPr>
        <w:t>0.66</w:t>
      </w:r>
      <w:r>
        <w:rPr>
          <w:rFonts w:hint="eastAsia" w:ascii="宋体" w:hAnsi="宋体" w:eastAsia="宋体" w:cs="宋体"/>
          <w:color w:val="000000"/>
          <w:sz w:val="32"/>
          <w:szCs w:val="32"/>
        </w:rPr>
        <w:t>万元，</w:t>
      </w:r>
      <w:r>
        <w:rPr>
          <w:rStyle w:val="15"/>
          <w:rFonts w:hint="eastAsia" w:ascii="宋体" w:hAnsi="宋体" w:eastAsia="宋体" w:cs="宋体"/>
          <w:b w:val="0"/>
          <w:bCs/>
          <w:color w:val="000000"/>
          <w:sz w:val="32"/>
          <w:szCs w:val="32"/>
        </w:rPr>
        <w:t>完成预算</w:t>
      </w:r>
      <w:r>
        <w:rPr>
          <w:rStyle w:val="15"/>
          <w:rFonts w:hint="eastAsia" w:ascii="宋体" w:hAnsi="宋体" w:eastAsia="宋体" w:cs="宋体"/>
          <w:b w:val="0"/>
          <w:bCs/>
          <w:color w:val="000000"/>
          <w:sz w:val="32"/>
          <w:szCs w:val="32"/>
          <w:lang w:val="en-US" w:eastAsia="zh-CN"/>
        </w:rPr>
        <w:t>71</w:t>
      </w:r>
      <w:r>
        <w:rPr>
          <w:rStyle w:val="15"/>
          <w:rFonts w:hint="eastAsia" w:ascii="宋体" w:hAnsi="宋体" w:eastAsia="宋体" w:cs="宋体"/>
          <w:b w:val="0"/>
          <w:bCs/>
          <w:color w:val="000000"/>
          <w:sz w:val="32"/>
          <w:szCs w:val="32"/>
        </w:rPr>
        <w:t>%。</w:t>
      </w:r>
      <w:r>
        <w:rPr>
          <w:rFonts w:hint="eastAsia" w:ascii="宋体" w:hAnsi="宋体" w:eastAsia="宋体" w:cs="宋体"/>
          <w:color w:val="000000"/>
          <w:sz w:val="32"/>
          <w:szCs w:val="32"/>
        </w:rPr>
        <w:t>公务接待费支出决算比2017年减少</w:t>
      </w:r>
      <w:r>
        <w:rPr>
          <w:rFonts w:hint="eastAsia" w:ascii="宋体" w:hAnsi="宋体" w:eastAsia="宋体" w:cs="宋体"/>
          <w:color w:val="000000"/>
          <w:sz w:val="32"/>
          <w:szCs w:val="32"/>
          <w:lang w:val="en-US" w:eastAsia="zh-CN"/>
        </w:rPr>
        <w:t>0.27</w:t>
      </w:r>
      <w:r>
        <w:rPr>
          <w:rFonts w:hint="eastAsia" w:ascii="宋体" w:hAnsi="宋体" w:eastAsia="宋体" w:cs="宋体"/>
          <w:color w:val="000000"/>
          <w:sz w:val="32"/>
          <w:szCs w:val="32"/>
        </w:rPr>
        <w:t>万元，下降</w:t>
      </w:r>
      <w:r>
        <w:rPr>
          <w:rFonts w:hint="eastAsia" w:ascii="宋体" w:hAnsi="宋体" w:eastAsia="宋体" w:cs="宋体"/>
          <w:color w:val="000000"/>
          <w:sz w:val="32"/>
          <w:szCs w:val="32"/>
          <w:lang w:val="en-US" w:eastAsia="zh-CN"/>
        </w:rPr>
        <w:t>27</w:t>
      </w:r>
      <w:r>
        <w:rPr>
          <w:rFonts w:hint="eastAsia" w:ascii="宋体" w:hAnsi="宋体" w:eastAsia="宋体" w:cs="宋体"/>
          <w:color w:val="000000"/>
          <w:sz w:val="32"/>
          <w:szCs w:val="32"/>
        </w:rPr>
        <w:t>%。主要原因是</w:t>
      </w:r>
      <w:r>
        <w:rPr>
          <w:rFonts w:hint="eastAsia" w:ascii="宋体" w:hAnsi="宋体" w:eastAsia="宋体" w:cs="宋体"/>
          <w:color w:val="000000"/>
          <w:sz w:val="32"/>
          <w:szCs w:val="32"/>
          <w:lang w:eastAsia="zh-CN"/>
        </w:rPr>
        <w:t>接待工作减少</w:t>
      </w:r>
      <w:r>
        <w:rPr>
          <w:rFonts w:hint="eastAsia" w:ascii="宋体" w:hAnsi="宋体" w:eastAsia="宋体" w:cs="宋体"/>
          <w:color w:val="000000"/>
          <w:sz w:val="32"/>
          <w:szCs w:val="32"/>
        </w:rPr>
        <w:t>。</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主要用于执行公务、开展业务活动开支的交通费、住宿费、用餐费等。国内公务接待</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批次，</w:t>
      </w:r>
      <w:r>
        <w:rPr>
          <w:rFonts w:hint="eastAsia" w:ascii="宋体" w:hAnsi="宋体" w:eastAsia="宋体" w:cs="宋体"/>
          <w:color w:val="000000"/>
          <w:sz w:val="32"/>
          <w:szCs w:val="32"/>
          <w:lang w:val="en-US" w:eastAsia="zh-CN"/>
        </w:rPr>
        <w:t>41</w:t>
      </w:r>
      <w:r>
        <w:rPr>
          <w:rFonts w:hint="eastAsia" w:ascii="宋体" w:hAnsi="宋体" w:eastAsia="宋体" w:cs="宋体"/>
          <w:color w:val="000000"/>
          <w:sz w:val="32"/>
          <w:szCs w:val="32"/>
        </w:rPr>
        <w:t>人次（不包括陪同人员），共计支出</w:t>
      </w:r>
      <w:r>
        <w:rPr>
          <w:rFonts w:hint="eastAsia" w:ascii="宋体" w:hAnsi="宋体" w:eastAsia="宋体" w:cs="宋体"/>
          <w:color w:val="000000"/>
          <w:sz w:val="32"/>
          <w:szCs w:val="32"/>
          <w:lang w:val="en-US" w:eastAsia="zh-CN"/>
        </w:rPr>
        <w:t>0.66</w:t>
      </w:r>
      <w:r>
        <w:rPr>
          <w:rFonts w:hint="eastAsia" w:ascii="宋体" w:hAnsi="宋体" w:eastAsia="宋体" w:cs="宋体"/>
          <w:color w:val="000000"/>
          <w:sz w:val="32"/>
          <w:szCs w:val="32"/>
        </w:rPr>
        <w:t>万元，具体内容包括：</w:t>
      </w:r>
      <w:r>
        <w:rPr>
          <w:rFonts w:hint="eastAsia" w:ascii="宋体" w:hAnsi="宋体" w:eastAsia="宋体" w:cs="宋体"/>
          <w:color w:val="000000"/>
          <w:sz w:val="32"/>
          <w:szCs w:val="32"/>
          <w:lang w:eastAsia="zh-CN"/>
        </w:rPr>
        <w:t>凉山州党建工作交流、交通条例立法评估调研和县区海事处交流学习</w:t>
      </w:r>
      <w:r>
        <w:rPr>
          <w:rFonts w:hint="eastAsia" w:ascii="宋体" w:hAnsi="宋体" w:eastAsia="宋体" w:cs="宋体"/>
          <w:color w:val="000000"/>
          <w:sz w:val="32"/>
          <w:szCs w:val="32"/>
        </w:rPr>
        <w:t>。</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其中：</w:t>
      </w:r>
      <w:r>
        <w:rPr>
          <w:rFonts w:hint="eastAsia" w:ascii="宋体" w:hAnsi="宋体" w:eastAsia="宋体" w:cs="宋体"/>
          <w:b/>
          <w:color w:val="000000"/>
          <w:sz w:val="32"/>
          <w:szCs w:val="32"/>
        </w:rPr>
        <w:t>外事接待支出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w:t>
      </w:r>
      <w:r>
        <w:rPr>
          <w:rFonts w:hint="eastAsia" w:ascii="宋体" w:hAnsi="宋体" w:eastAsia="宋体" w:cs="宋体"/>
          <w:color w:val="000000" w:themeColor="text1"/>
          <w:sz w:val="32"/>
          <w:szCs w:val="32"/>
          <w14:textFill>
            <w14:solidFill>
              <w14:schemeClr w14:val="tx1"/>
            </w14:solidFill>
          </w14:textFill>
        </w:rPr>
        <w:t>，外事接待</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批次，</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人，共计支出</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万元</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b/>
          <w:color w:val="000000"/>
          <w:sz w:val="32"/>
          <w:szCs w:val="32"/>
        </w:rPr>
        <w:t>其他国内公务接待支出</w:t>
      </w:r>
      <w:r>
        <w:rPr>
          <w:rFonts w:hint="eastAsia" w:ascii="宋体" w:hAnsi="宋体" w:eastAsia="宋体" w:cs="宋体"/>
          <w:color w:val="000000"/>
          <w:sz w:val="32"/>
          <w:szCs w:val="32"/>
          <w:lang w:val="en-US" w:eastAsia="zh-CN"/>
        </w:rPr>
        <w:t>0.66</w:t>
      </w:r>
      <w:r>
        <w:rPr>
          <w:rFonts w:hint="eastAsia" w:ascii="宋体" w:hAnsi="宋体" w:eastAsia="宋体" w:cs="宋体"/>
          <w:color w:val="000000"/>
          <w:sz w:val="32"/>
          <w:szCs w:val="32"/>
        </w:rPr>
        <w:t>万元，主要用于</w:t>
      </w:r>
      <w:bookmarkStart w:id="50" w:name="_Toc15377218"/>
      <w:r>
        <w:rPr>
          <w:rFonts w:hint="eastAsia" w:ascii="宋体" w:hAnsi="宋体" w:eastAsia="宋体" w:cs="宋体"/>
          <w:color w:val="000000"/>
          <w:sz w:val="32"/>
          <w:szCs w:val="32"/>
          <w:lang w:eastAsia="zh-CN"/>
        </w:rPr>
        <w:t>用餐费。</w:t>
      </w:r>
    </w:p>
    <w:p>
      <w:pPr>
        <w:spacing w:line="600" w:lineRule="exact"/>
        <w:ind w:firstLine="640"/>
        <w:outlineLvl w:val="1"/>
        <w:rPr>
          <w:rStyle w:val="26"/>
          <w:rFonts w:hint="eastAsia" w:ascii="宋体" w:hAnsi="宋体" w:eastAsia="宋体" w:cs="宋体"/>
          <w:b/>
          <w:bCs/>
        </w:rPr>
      </w:pPr>
      <w:bookmarkStart w:id="51" w:name="_Toc31988"/>
      <w:r>
        <w:rPr>
          <w:rFonts w:hint="eastAsia" w:ascii="宋体" w:hAnsi="宋体" w:eastAsia="宋体" w:cs="宋体"/>
          <w:b/>
          <w:bCs/>
          <w:color w:val="000000"/>
          <w:sz w:val="32"/>
          <w:szCs w:val="32"/>
        </w:rPr>
        <w:t>八、</w:t>
      </w:r>
      <w:r>
        <w:rPr>
          <w:rStyle w:val="26"/>
          <w:rFonts w:hint="eastAsia" w:ascii="宋体" w:hAnsi="宋体" w:eastAsia="宋体" w:cs="宋体"/>
          <w:b/>
          <w:bCs/>
        </w:rPr>
        <w:t>政府性基金预算支出决算情况说明</w:t>
      </w:r>
      <w:bookmarkEnd w:id="50"/>
      <w:bookmarkEnd w:id="51"/>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2018年政府性基金预算拨款支出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w:t>
      </w:r>
    </w:p>
    <w:p>
      <w:pPr>
        <w:numPr>
          <w:ilvl w:val="0"/>
          <w:numId w:val="3"/>
        </w:numPr>
        <w:spacing w:line="600" w:lineRule="exact"/>
        <w:ind w:firstLine="640"/>
        <w:outlineLvl w:val="1"/>
        <w:rPr>
          <w:rStyle w:val="26"/>
          <w:rFonts w:hint="eastAsia" w:ascii="宋体" w:hAnsi="宋体" w:eastAsia="宋体" w:cs="宋体"/>
          <w:b/>
          <w:bCs w:val="0"/>
        </w:rPr>
      </w:pPr>
      <w:bookmarkStart w:id="52" w:name="_Toc15377219"/>
      <w:bookmarkStart w:id="53" w:name="_Toc11572"/>
      <w:r>
        <w:rPr>
          <w:rStyle w:val="26"/>
          <w:rFonts w:hint="eastAsia" w:ascii="宋体" w:hAnsi="宋体" w:eastAsia="宋体" w:cs="宋体"/>
          <w:b/>
          <w:bCs w:val="0"/>
        </w:rPr>
        <w:t>国有资本经营预算支出决算情况说明</w:t>
      </w:r>
      <w:bookmarkEnd w:id="52"/>
      <w:bookmarkEnd w:id="53"/>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2018年国有资本经营预算拨款支出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w:t>
      </w:r>
    </w:p>
    <w:p>
      <w:pPr>
        <w:pStyle w:val="24"/>
        <w:numPr>
          <w:ilvl w:val="0"/>
          <w:numId w:val="4"/>
        </w:numPr>
        <w:spacing w:line="580" w:lineRule="exact"/>
        <w:ind w:firstLineChars="0"/>
        <w:rPr>
          <w:rStyle w:val="26"/>
          <w:rFonts w:hint="eastAsia" w:ascii="宋体" w:hAnsi="宋体" w:eastAsia="宋体" w:cs="宋体"/>
          <w:b/>
          <w:bCs w:val="0"/>
        </w:rPr>
      </w:pPr>
      <w:bookmarkStart w:id="54" w:name="_Toc4634"/>
      <w:r>
        <w:rPr>
          <w:rStyle w:val="26"/>
          <w:rFonts w:hint="eastAsia" w:ascii="宋体" w:hAnsi="宋体" w:eastAsia="宋体" w:cs="宋体"/>
          <w:b/>
          <w:bCs w:val="0"/>
        </w:rPr>
        <w:t>预算绩效情况说明</w:t>
      </w:r>
    </w:p>
    <w:bookmarkEnd w:id="54"/>
    <w:p>
      <w:pPr>
        <w:numPr>
          <w:ilvl w:val="0"/>
          <w:numId w:val="5"/>
        </w:numPr>
        <w:spacing w:line="580" w:lineRule="exact"/>
        <w:ind w:firstLine="642" w:firstLineChars="200"/>
        <w:rPr>
          <w:rFonts w:hint="eastAsia" w:ascii="宋体" w:hAnsi="宋体" w:eastAsia="宋体" w:cs="宋体"/>
          <w:b/>
          <w:bCs/>
          <w:sz w:val="32"/>
          <w:szCs w:val="32"/>
        </w:rPr>
      </w:pPr>
      <w:r>
        <w:rPr>
          <w:rFonts w:hint="eastAsia" w:ascii="宋体" w:hAnsi="宋体" w:eastAsia="宋体" w:cs="宋体"/>
          <w:b/>
          <w:bCs/>
          <w:sz w:val="32"/>
          <w:szCs w:val="32"/>
        </w:rPr>
        <w:t>预算绩效管理工作开展情况。</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根据预算绩效管理要求，本单位在年初预算编制阶段，组织对</w:t>
      </w:r>
      <w:r>
        <w:rPr>
          <w:rFonts w:hint="eastAsia" w:ascii="宋体" w:hAnsi="宋体" w:eastAsia="宋体" w:cs="宋体"/>
          <w:sz w:val="32"/>
          <w:szCs w:val="32"/>
          <w:lang w:eastAsia="zh-CN"/>
        </w:rPr>
        <w:t>海事执法和水上安全应急和隐患排查</w:t>
      </w:r>
      <w:r>
        <w:rPr>
          <w:rFonts w:hint="eastAsia" w:ascii="宋体" w:hAnsi="宋体" w:eastAsia="宋体" w:cs="宋体"/>
          <w:sz w:val="32"/>
          <w:szCs w:val="32"/>
        </w:rPr>
        <w:t>项目开展了预算事前绩效评估，对</w:t>
      </w:r>
      <w:r>
        <w:rPr>
          <w:rFonts w:hint="eastAsia" w:ascii="宋体" w:hAnsi="宋体" w:eastAsia="宋体" w:cs="宋体"/>
          <w:sz w:val="32"/>
          <w:szCs w:val="32"/>
          <w:lang w:val="en-US" w:eastAsia="zh-CN"/>
        </w:rPr>
        <w:t>2</w:t>
      </w:r>
      <w:r>
        <w:rPr>
          <w:rFonts w:hint="eastAsia" w:ascii="宋体" w:hAnsi="宋体" w:eastAsia="宋体" w:cs="宋体"/>
          <w:sz w:val="32"/>
          <w:szCs w:val="32"/>
        </w:rPr>
        <w:t>个项目编制了绩效目标，预算执行过程中，选取</w:t>
      </w:r>
      <w:r>
        <w:rPr>
          <w:rFonts w:hint="eastAsia" w:ascii="宋体" w:hAnsi="宋体" w:eastAsia="宋体" w:cs="宋体"/>
          <w:sz w:val="32"/>
          <w:szCs w:val="32"/>
          <w:lang w:val="en-US" w:eastAsia="zh-CN"/>
        </w:rPr>
        <w:t>2</w:t>
      </w:r>
      <w:r>
        <w:rPr>
          <w:rFonts w:hint="eastAsia" w:ascii="宋体" w:hAnsi="宋体" w:eastAsia="宋体" w:cs="宋体"/>
          <w:sz w:val="32"/>
          <w:szCs w:val="32"/>
        </w:rPr>
        <w:t>个项目开展绩效监控，年终执行完毕后，对</w:t>
      </w:r>
      <w:r>
        <w:rPr>
          <w:rFonts w:hint="eastAsia" w:ascii="宋体" w:hAnsi="宋体" w:eastAsia="宋体" w:cs="宋体"/>
          <w:sz w:val="32"/>
          <w:szCs w:val="32"/>
          <w:lang w:val="en-US" w:eastAsia="zh-CN"/>
        </w:rPr>
        <w:t>2</w:t>
      </w:r>
      <w:r>
        <w:rPr>
          <w:rFonts w:hint="eastAsia" w:ascii="宋体" w:hAnsi="宋体" w:eastAsia="宋体" w:cs="宋体"/>
          <w:sz w:val="32"/>
          <w:szCs w:val="32"/>
        </w:rPr>
        <w:t>个项目开展了绩效目标完成情况梳理填报。</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本部门按要求对2018年部门整体支出开展绩效自评，从评价情况来看</w:t>
      </w:r>
      <w:r>
        <w:rPr>
          <w:rFonts w:hint="eastAsia" w:ascii="宋体" w:hAnsi="宋体" w:eastAsia="宋体" w:cs="宋体"/>
          <w:sz w:val="32"/>
          <w:szCs w:val="32"/>
          <w:lang w:eastAsia="zh-CN"/>
        </w:rPr>
        <w:t>整体运行正常，完成良好，完成了上级部门交办的各项工作，水上安全救援工作及时有效，程序规范，航运畅通。</w:t>
      </w:r>
      <w:r>
        <w:rPr>
          <w:rFonts w:hint="eastAsia" w:ascii="宋体" w:hAnsi="宋体" w:eastAsia="宋体" w:cs="宋体"/>
          <w:sz w:val="32"/>
          <w:szCs w:val="32"/>
        </w:rPr>
        <w:t>本部门还自行组织了</w:t>
      </w:r>
      <w:r>
        <w:rPr>
          <w:rFonts w:hint="eastAsia" w:ascii="宋体" w:hAnsi="宋体" w:eastAsia="宋体" w:cs="宋体"/>
          <w:sz w:val="32"/>
          <w:szCs w:val="32"/>
          <w:lang w:val="en-US" w:eastAsia="zh-CN"/>
        </w:rPr>
        <w:t>2</w:t>
      </w:r>
      <w:r>
        <w:rPr>
          <w:rFonts w:hint="eastAsia" w:ascii="宋体" w:hAnsi="宋体" w:eastAsia="宋体" w:cs="宋体"/>
          <w:sz w:val="32"/>
          <w:szCs w:val="32"/>
        </w:rPr>
        <w:t>个项目绩效评价，从评价情况来看</w:t>
      </w:r>
      <w:r>
        <w:rPr>
          <w:rFonts w:hint="eastAsia" w:ascii="宋体" w:hAnsi="宋体" w:eastAsia="宋体" w:cs="宋体"/>
          <w:sz w:val="32"/>
          <w:szCs w:val="32"/>
          <w:lang w:eastAsia="zh-CN"/>
        </w:rPr>
        <w:t>海事执法快艇、车辆燃修费和执法宣传费用和水上安全应急及隐患排查工作，方便</w:t>
      </w:r>
      <w:r>
        <w:rPr>
          <w:rFonts w:hint="eastAsia" w:ascii="宋体" w:hAnsi="宋体" w:eastAsia="宋体" w:cs="宋体"/>
          <w:sz w:val="32"/>
          <w:szCs w:val="32"/>
          <w:lang w:val="en-US" w:eastAsia="zh-CN"/>
        </w:rPr>
        <w:t>群众，切实优化群众旅游出行选择，确保水上交通安全，提高群众满意度。</w:t>
      </w:r>
    </w:p>
    <w:p>
      <w:pPr>
        <w:numPr>
          <w:ilvl w:val="0"/>
          <w:numId w:val="5"/>
        </w:numPr>
        <w:spacing w:line="580" w:lineRule="exact"/>
        <w:ind w:firstLine="642" w:firstLineChars="200"/>
        <w:rPr>
          <w:rFonts w:hint="eastAsia" w:ascii="宋体" w:hAnsi="宋体" w:eastAsia="宋体" w:cs="宋体"/>
          <w:sz w:val="32"/>
          <w:szCs w:val="32"/>
        </w:rPr>
      </w:pPr>
      <w:r>
        <w:rPr>
          <w:rFonts w:hint="eastAsia" w:ascii="宋体" w:hAnsi="宋体" w:eastAsia="宋体" w:cs="宋体"/>
          <w:b/>
          <w:bCs/>
          <w:sz w:val="32"/>
          <w:szCs w:val="32"/>
        </w:rPr>
        <w:t>项目绩效目标完成情况。</w:t>
      </w:r>
      <w:r>
        <w:rPr>
          <w:rFonts w:hint="eastAsia" w:ascii="宋体" w:hAnsi="宋体" w:eastAsia="宋体" w:cs="宋体"/>
          <w:b/>
          <w:bCs/>
          <w:sz w:val="32"/>
          <w:szCs w:val="32"/>
        </w:rPr>
        <w:br w:type="textWrapping"/>
      </w:r>
      <w:r>
        <w:rPr>
          <w:rFonts w:hint="eastAsia" w:ascii="宋体" w:hAnsi="宋体" w:eastAsia="宋体" w:cs="宋体"/>
          <w:sz w:val="32"/>
          <w:szCs w:val="32"/>
        </w:rPr>
        <w:t xml:space="preserve">    本部门在2018年度部门决算中反映“</w:t>
      </w:r>
      <w:r>
        <w:rPr>
          <w:rFonts w:hint="eastAsia" w:ascii="宋体" w:hAnsi="宋体" w:eastAsia="宋体" w:cs="宋体"/>
          <w:sz w:val="32"/>
          <w:szCs w:val="32"/>
          <w:lang w:eastAsia="zh-CN"/>
        </w:rPr>
        <w:t>海事执法</w:t>
      </w:r>
      <w:r>
        <w:rPr>
          <w:rFonts w:hint="eastAsia" w:ascii="宋体" w:hAnsi="宋体" w:eastAsia="宋体" w:cs="宋体"/>
          <w:sz w:val="32"/>
          <w:szCs w:val="32"/>
        </w:rPr>
        <w:t>”</w:t>
      </w:r>
      <w:r>
        <w:rPr>
          <w:rFonts w:hint="eastAsia" w:ascii="宋体" w:hAnsi="宋体" w:eastAsia="宋体" w:cs="宋体"/>
          <w:sz w:val="32"/>
          <w:szCs w:val="32"/>
          <w:lang w:eastAsia="zh-CN"/>
        </w:rPr>
        <w:t>、</w:t>
      </w:r>
      <w:r>
        <w:rPr>
          <w:rFonts w:hint="eastAsia" w:ascii="宋体" w:hAnsi="宋体" w:eastAsia="宋体" w:cs="宋体"/>
          <w:sz w:val="32"/>
          <w:szCs w:val="32"/>
        </w:rPr>
        <w:t>“</w:t>
      </w:r>
      <w:r>
        <w:rPr>
          <w:rFonts w:hint="eastAsia" w:ascii="宋体" w:hAnsi="宋体" w:eastAsia="宋体" w:cs="宋体"/>
          <w:sz w:val="32"/>
          <w:szCs w:val="32"/>
          <w:lang w:eastAsia="zh-CN"/>
        </w:rPr>
        <w:t>水上安全应急及隐患排查</w:t>
      </w:r>
      <w:r>
        <w:rPr>
          <w:rFonts w:hint="eastAsia" w:ascii="宋体" w:hAnsi="宋体" w:eastAsia="宋体" w:cs="宋体"/>
          <w:sz w:val="32"/>
          <w:szCs w:val="32"/>
        </w:rPr>
        <w:t>”</w:t>
      </w:r>
      <w:r>
        <w:rPr>
          <w:rFonts w:hint="eastAsia" w:ascii="宋体" w:hAnsi="宋体" w:eastAsia="宋体" w:cs="宋体"/>
          <w:sz w:val="32"/>
          <w:szCs w:val="32"/>
          <w:lang w:val="en-US" w:eastAsia="zh-CN"/>
        </w:rPr>
        <w:t>2</w:t>
      </w:r>
      <w:r>
        <w:rPr>
          <w:rFonts w:hint="eastAsia" w:ascii="宋体" w:hAnsi="宋体" w:eastAsia="宋体" w:cs="宋体"/>
          <w:sz w:val="32"/>
          <w:szCs w:val="32"/>
        </w:rPr>
        <w:t>个项目绩效目标实际完成情况。</w:t>
      </w:r>
    </w:p>
    <w:p>
      <w:pPr>
        <w:numPr>
          <w:ilvl w:val="0"/>
          <w:numId w:val="6"/>
        </w:num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海事执法</w:t>
      </w:r>
      <w:r>
        <w:rPr>
          <w:rFonts w:hint="eastAsia" w:ascii="宋体" w:hAnsi="宋体" w:eastAsia="宋体" w:cs="宋体"/>
          <w:sz w:val="32"/>
          <w:szCs w:val="32"/>
        </w:rPr>
        <w:t>项目绩效目标完成情况综述。项目全年预算数</w:t>
      </w:r>
      <w:r>
        <w:rPr>
          <w:rFonts w:hint="eastAsia" w:ascii="宋体" w:hAnsi="宋体" w:eastAsia="宋体" w:cs="宋体"/>
          <w:sz w:val="32"/>
          <w:szCs w:val="32"/>
          <w:lang w:val="en-US" w:eastAsia="zh-CN"/>
        </w:rPr>
        <w:t>12</w:t>
      </w:r>
      <w:r>
        <w:rPr>
          <w:rFonts w:hint="eastAsia" w:ascii="宋体" w:hAnsi="宋体" w:eastAsia="宋体" w:cs="宋体"/>
          <w:sz w:val="32"/>
          <w:szCs w:val="32"/>
        </w:rPr>
        <w:t>万元，执行数为</w:t>
      </w:r>
      <w:r>
        <w:rPr>
          <w:rFonts w:hint="eastAsia" w:ascii="宋体" w:hAnsi="宋体" w:eastAsia="宋体" w:cs="宋体"/>
          <w:sz w:val="32"/>
          <w:szCs w:val="32"/>
          <w:lang w:val="en-US" w:eastAsia="zh-CN"/>
        </w:rPr>
        <w:t>12</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100</w:t>
      </w:r>
      <w:r>
        <w:rPr>
          <w:rFonts w:hint="eastAsia" w:ascii="宋体" w:hAnsi="宋体" w:eastAsia="宋体" w:cs="宋体"/>
          <w:sz w:val="32"/>
          <w:szCs w:val="32"/>
        </w:rPr>
        <w:t>%。通过项目实施，提高了</w:t>
      </w:r>
      <w:r>
        <w:rPr>
          <w:rFonts w:hint="eastAsia" w:ascii="宋体" w:hAnsi="宋体" w:eastAsia="宋体" w:cs="宋体"/>
          <w:sz w:val="32"/>
          <w:szCs w:val="32"/>
          <w:lang w:eastAsia="zh-CN"/>
        </w:rPr>
        <w:t>民众水上安全意识，杜绝水上安全事故</w:t>
      </w:r>
      <w:r>
        <w:rPr>
          <w:rFonts w:hint="eastAsia" w:ascii="宋体" w:hAnsi="宋体" w:eastAsia="宋体" w:cs="宋体"/>
          <w:sz w:val="32"/>
          <w:szCs w:val="32"/>
        </w:rPr>
        <w:t>，发现的主要问题：</w:t>
      </w:r>
      <w:r>
        <w:rPr>
          <w:rFonts w:hint="eastAsia" w:ascii="宋体" w:hAnsi="宋体" w:eastAsia="宋体" w:cs="宋体"/>
          <w:sz w:val="32"/>
          <w:szCs w:val="32"/>
          <w:lang w:eastAsia="zh-CN"/>
        </w:rPr>
        <w:t>执法力需进一步加大</w:t>
      </w:r>
      <w:r>
        <w:rPr>
          <w:rFonts w:hint="eastAsia" w:ascii="宋体" w:hAnsi="宋体" w:eastAsia="宋体" w:cs="宋体"/>
          <w:sz w:val="32"/>
          <w:szCs w:val="32"/>
        </w:rPr>
        <w:t>。下一步改进措施：</w:t>
      </w:r>
      <w:r>
        <w:rPr>
          <w:rFonts w:hint="eastAsia" w:ascii="宋体" w:hAnsi="宋体" w:eastAsia="宋体" w:cs="宋体"/>
          <w:sz w:val="32"/>
          <w:szCs w:val="32"/>
          <w:lang w:eastAsia="zh-CN"/>
        </w:rPr>
        <w:t>加强业务学习，提升海事航务船检执法力。</w:t>
      </w:r>
    </w:p>
    <w:p>
      <w:pPr>
        <w:numPr>
          <w:ilvl w:val="0"/>
          <w:numId w:val="6"/>
        </w:num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水上安全应急及隐患排查工作</w:t>
      </w:r>
      <w:r>
        <w:rPr>
          <w:rFonts w:hint="eastAsia" w:ascii="宋体" w:hAnsi="宋体" w:eastAsia="宋体" w:cs="宋体"/>
          <w:sz w:val="32"/>
          <w:szCs w:val="32"/>
        </w:rPr>
        <w:t>项目绩效目标完成情况综述。项目全年预算数</w:t>
      </w:r>
      <w:r>
        <w:rPr>
          <w:rFonts w:hint="eastAsia" w:ascii="宋体" w:hAnsi="宋体" w:eastAsia="宋体" w:cs="宋体"/>
          <w:sz w:val="32"/>
          <w:szCs w:val="32"/>
          <w:lang w:val="en-US" w:eastAsia="zh-CN"/>
        </w:rPr>
        <w:t>2</w:t>
      </w:r>
      <w:r>
        <w:rPr>
          <w:rFonts w:hint="eastAsia" w:ascii="宋体" w:hAnsi="宋体" w:eastAsia="宋体" w:cs="宋体"/>
          <w:sz w:val="32"/>
          <w:szCs w:val="32"/>
        </w:rPr>
        <w:t>元，执行数为</w:t>
      </w:r>
      <w:r>
        <w:rPr>
          <w:rFonts w:hint="eastAsia" w:ascii="宋体" w:hAnsi="宋体" w:eastAsia="宋体" w:cs="宋体"/>
          <w:sz w:val="32"/>
          <w:szCs w:val="32"/>
          <w:lang w:val="en-US" w:eastAsia="zh-CN"/>
        </w:rPr>
        <w:t>2</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100</w:t>
      </w:r>
      <w:r>
        <w:rPr>
          <w:rFonts w:hint="eastAsia" w:ascii="宋体" w:hAnsi="宋体" w:eastAsia="宋体" w:cs="宋体"/>
          <w:sz w:val="32"/>
          <w:szCs w:val="32"/>
        </w:rPr>
        <w:t>%。通过项目实施，保障</w:t>
      </w:r>
      <w:r>
        <w:rPr>
          <w:rFonts w:hint="eastAsia" w:ascii="宋体" w:hAnsi="宋体" w:eastAsia="宋体" w:cs="宋体"/>
          <w:sz w:val="32"/>
          <w:szCs w:val="32"/>
          <w:lang w:eastAsia="zh-CN"/>
        </w:rPr>
        <w:t>了水上安全救援工作及时有效，程序规范，船舶安全救生、视频监控设备运行良好，确保水上出行安全</w:t>
      </w:r>
      <w:r>
        <w:rPr>
          <w:rFonts w:hint="eastAsia" w:ascii="宋体" w:hAnsi="宋体" w:eastAsia="宋体" w:cs="宋体"/>
          <w:sz w:val="32"/>
          <w:szCs w:val="32"/>
        </w:rPr>
        <w:t>，发现的主要问题：</w:t>
      </w:r>
      <w:r>
        <w:rPr>
          <w:rFonts w:hint="eastAsia" w:ascii="宋体" w:hAnsi="宋体" w:eastAsia="宋体" w:cs="宋体"/>
          <w:sz w:val="32"/>
          <w:szCs w:val="32"/>
          <w:lang w:eastAsia="zh-CN"/>
        </w:rPr>
        <w:t>科技兴安水平需增强</w:t>
      </w:r>
      <w:r>
        <w:rPr>
          <w:rFonts w:hint="eastAsia" w:ascii="宋体" w:hAnsi="宋体" w:eastAsia="宋体" w:cs="宋体"/>
          <w:sz w:val="32"/>
          <w:szCs w:val="32"/>
        </w:rPr>
        <w:t>。下一步改进措施：</w:t>
      </w:r>
      <w:r>
        <w:rPr>
          <w:rFonts w:hint="eastAsia" w:ascii="宋体" w:hAnsi="宋体" w:eastAsia="宋体" w:cs="宋体"/>
          <w:sz w:val="32"/>
          <w:szCs w:val="32"/>
          <w:lang w:eastAsia="zh-CN"/>
        </w:rPr>
        <w:t>加大资金投入。</w:t>
      </w:r>
    </w:p>
    <w:p>
      <w:pPr>
        <w:widowControl w:val="0"/>
        <w:numPr>
          <w:ilvl w:val="0"/>
          <w:numId w:val="0"/>
        </w:numPr>
        <w:spacing w:line="580" w:lineRule="exact"/>
        <w:jc w:val="both"/>
        <w:rPr>
          <w:rFonts w:hint="eastAsia" w:ascii="宋体" w:hAnsi="宋体" w:eastAsia="宋体" w:cs="宋体"/>
          <w:sz w:val="32"/>
          <w:szCs w:val="32"/>
        </w:rPr>
      </w:pPr>
    </w:p>
    <w:p>
      <w:pPr>
        <w:widowControl w:val="0"/>
        <w:numPr>
          <w:ilvl w:val="0"/>
          <w:numId w:val="0"/>
        </w:numPr>
        <w:spacing w:line="580" w:lineRule="exact"/>
        <w:jc w:val="both"/>
        <w:rPr>
          <w:rFonts w:hint="eastAsia" w:ascii="宋体" w:hAnsi="宋体" w:eastAsia="宋体" w:cs="宋体"/>
          <w:sz w:val="32"/>
          <w:szCs w:val="32"/>
        </w:rPr>
      </w:pPr>
    </w:p>
    <w:tbl>
      <w:tblPr>
        <w:tblStyle w:val="13"/>
        <w:tblpPr w:leftFromText="180" w:rightFromText="180" w:vertAnchor="text" w:horzAnchor="page" w:tblpXSpec="center" w:tblpY="423"/>
        <w:tblOverlap w:val="never"/>
        <w:tblW w:w="9972" w:type="dxa"/>
        <w:tblInd w:w="0" w:type="dxa"/>
        <w:tblLayout w:type="fixed"/>
        <w:tblCellMar>
          <w:top w:w="0" w:type="dxa"/>
          <w:left w:w="0" w:type="dxa"/>
          <w:bottom w:w="0" w:type="dxa"/>
          <w:right w:w="0" w:type="dxa"/>
        </w:tblCellMar>
      </w:tblPr>
      <w:tblGrid>
        <w:gridCol w:w="390"/>
        <w:gridCol w:w="1367"/>
        <w:gridCol w:w="1025"/>
        <w:gridCol w:w="2392"/>
        <w:gridCol w:w="2394"/>
        <w:gridCol w:w="2404"/>
      </w:tblGrid>
      <w:tr>
        <w:tblPrEx>
          <w:tblCellMar>
            <w:top w:w="0" w:type="dxa"/>
            <w:left w:w="0" w:type="dxa"/>
            <w:bottom w:w="0" w:type="dxa"/>
            <w:right w:w="0" w:type="dxa"/>
          </w:tblCellMar>
        </w:tblPrEx>
        <w:trPr>
          <w:trHeight w:val="1034" w:hRule="atLeast"/>
        </w:trPr>
        <w:tc>
          <w:tcPr>
            <w:tcW w:w="9972"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9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海事执法</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9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四川省广元市利州区航务管理处</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12.00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12.00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12.00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12.00</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海事执法快艇、车辆燃修费和执法宣传费用</w:t>
            </w:r>
          </w:p>
        </w:tc>
        <w:tc>
          <w:tcPr>
            <w:tcW w:w="47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海事执法快艇、车辆燃修费和执法宣传费用</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水上安全知识宣传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散发水上交通安全宣传资料，引导群众不坐违章船，树立平安出行的安全理念</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Theme="majorEastAsia" w:hAnsiTheme="majorEastAsia" w:eastAsiaTheme="majorEastAsia" w:cstheme="majorEastAsia"/>
                <w:color w:val="000000"/>
                <w:sz w:val="24"/>
                <w:szCs w:val="24"/>
                <w:lang w:eastAsia="zh-CN"/>
              </w:rPr>
              <w:t>散发水上交通安全</w:t>
            </w:r>
            <w:r>
              <w:rPr>
                <w:rFonts w:hint="eastAsia" w:asciiTheme="majorEastAsia" w:hAnsiTheme="majorEastAsia" w:eastAsiaTheme="majorEastAsia" w:cstheme="majorEastAsia"/>
                <w:sz w:val="24"/>
                <w:szCs w:val="24"/>
              </w:rPr>
              <w:t>宣传资料3000余份、宣传册220余册</w:t>
            </w:r>
            <w:r>
              <w:rPr>
                <w:rFonts w:hint="eastAsia" w:asciiTheme="majorEastAsia" w:hAnsiTheme="majorEastAsia" w:eastAsiaTheme="majorEastAsia" w:cstheme="majorEastAsia"/>
                <w:sz w:val="24"/>
                <w:szCs w:val="24"/>
                <w:lang w:eastAsia="zh-CN"/>
              </w:rPr>
              <w:t>，</w:t>
            </w:r>
            <w:r>
              <w:rPr>
                <w:rFonts w:hint="eastAsia" w:ascii="宋体" w:hAnsi="宋体" w:cs="宋体"/>
                <w:color w:val="000000"/>
                <w:sz w:val="24"/>
                <w:lang w:eastAsia="zh-CN"/>
              </w:rPr>
              <w:t>树立平安出行的安全理念</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民众安全意识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水上安全意识有较大提升，不坐违章船，严防溺水事故</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Theme="majorEastAsia" w:hAnsiTheme="majorEastAsia" w:eastAsiaTheme="majorEastAsia" w:cstheme="majorEastAsia"/>
                <w:sz w:val="24"/>
                <w:szCs w:val="24"/>
              </w:rPr>
              <w:t>有效防范安全事故发生，实现了水上交通零事故、零伤亡，圆满完成了全年各项工作任务。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贯穿全年</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海事执法快艇、车辆燃油费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5万元</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海事执法快艇、车辆维修费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5万元</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执法宣传费用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2万元</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提高水上安全意识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树立平安出行</w:t>
            </w:r>
            <w:r>
              <w:rPr>
                <w:rFonts w:hint="eastAsia" w:ascii="宋体" w:hAnsi="宋体" w:cs="宋体"/>
                <w:color w:val="000000"/>
                <w:sz w:val="24"/>
                <w:lang w:val="en-US" w:eastAsia="zh-CN"/>
              </w:rPr>
              <w:t>安全理念</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提高水上安全意识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通过持续的安全宣讲，不断提高民众水上安全意识，杜绝水上安全事故</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民众满意度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95%</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98%</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部门满意度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95%</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98%</w:t>
            </w:r>
          </w:p>
        </w:tc>
      </w:tr>
    </w:tbl>
    <w:p>
      <w:pPr>
        <w:rPr>
          <w:rFonts w:ascii="Calibri" w:hAnsi="Calibri"/>
        </w:rPr>
      </w:pPr>
    </w:p>
    <w:p>
      <w:pPr>
        <w:pStyle w:val="2"/>
        <w:rPr>
          <w:rFonts w:ascii="Calibri" w:hAnsi="Calibri"/>
        </w:rPr>
      </w:pPr>
    </w:p>
    <w:p>
      <w:pPr>
        <w:pStyle w:val="2"/>
        <w:rPr>
          <w:rFonts w:ascii="Calibri" w:hAnsi="Calibri"/>
        </w:rPr>
      </w:pPr>
    </w:p>
    <w:p>
      <w:pPr>
        <w:pStyle w:val="2"/>
        <w:rPr>
          <w:rFonts w:ascii="Calibri" w:hAnsi="Calibri"/>
        </w:rPr>
      </w:pPr>
    </w:p>
    <w:tbl>
      <w:tblPr>
        <w:tblStyle w:val="13"/>
        <w:tblpPr w:leftFromText="180" w:rightFromText="180" w:vertAnchor="text" w:horzAnchor="page" w:tblpXSpec="center" w:tblpY="423"/>
        <w:tblOverlap w:val="never"/>
        <w:tblW w:w="9972" w:type="dxa"/>
        <w:tblInd w:w="0" w:type="dxa"/>
        <w:tblLayout w:type="fixed"/>
        <w:tblCellMar>
          <w:top w:w="0" w:type="dxa"/>
          <w:left w:w="0" w:type="dxa"/>
          <w:bottom w:w="0" w:type="dxa"/>
          <w:right w:w="0" w:type="dxa"/>
        </w:tblCellMar>
      </w:tblPr>
      <w:tblGrid>
        <w:gridCol w:w="390"/>
        <w:gridCol w:w="1367"/>
        <w:gridCol w:w="1025"/>
        <w:gridCol w:w="2392"/>
        <w:gridCol w:w="2394"/>
        <w:gridCol w:w="2404"/>
      </w:tblGrid>
      <w:tr>
        <w:tblPrEx>
          <w:tblCellMar>
            <w:top w:w="0" w:type="dxa"/>
            <w:left w:w="0" w:type="dxa"/>
            <w:bottom w:w="0" w:type="dxa"/>
            <w:right w:w="0" w:type="dxa"/>
          </w:tblCellMar>
        </w:tblPrEx>
        <w:trPr>
          <w:trHeight w:val="1034" w:hRule="atLeast"/>
        </w:trPr>
        <w:tc>
          <w:tcPr>
            <w:tcW w:w="9972"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9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水上安全应急及隐患排查</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9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四川省广元市利州区航务管理处</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2.00</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95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组织水上交通应急演练、救援工作，金洞、栖凤湖船载视频码头监控用电及维护，开展航道隐患排查与整治工作</w:t>
            </w:r>
            <w:r>
              <w:rPr>
                <w:rFonts w:hint="eastAsia" w:ascii="宋体" w:hAnsi="宋体" w:cs="宋体"/>
                <w:color w:val="000000"/>
                <w:sz w:val="24"/>
                <w:lang w:val="en-US" w:eastAsia="zh-CN"/>
              </w:rPr>
              <w:t>，保障辖区水上交通安全</w:t>
            </w:r>
          </w:p>
        </w:tc>
        <w:tc>
          <w:tcPr>
            <w:tcW w:w="47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组织水上交通应急演练、救援工作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水上安全救援工作及时有效，程序规范</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与市海事局共同开展水上交通应急演练工作，程序规范及时有效</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lang w:eastAsia="zh-CN"/>
              </w:rPr>
            </w:pPr>
            <w:r>
              <w:rPr>
                <w:rFonts w:hint="eastAsia" w:ascii="宋体" w:hAnsi="宋体" w:cs="宋体"/>
                <w:color w:val="000000"/>
                <w:sz w:val="24"/>
                <w:lang w:eastAsia="zh-CN"/>
              </w:rPr>
              <w:t>i</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数量完成指标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航道整治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航道无乱搭乱建或渔船堵塞航道情况</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航道运输畅通，秩序规范</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24"/>
                <w:lang w:eastAsia="zh-CN"/>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数量完成指标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船只泊位安全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船只泊位系留缆绳及防撞轮胎牢固可靠，码头视频监控工作良好</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码头泊位缆绳系固牢靠，视频监控运行良好</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24"/>
                <w:lang w:eastAsia="zh-CN"/>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数量完成指标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船舶安全救生设备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sz w:val="24"/>
                <w:lang w:eastAsia="zh-CN"/>
              </w:rPr>
            </w:pPr>
            <w:r>
              <w:rPr>
                <w:rFonts w:hint="eastAsia" w:ascii="宋体" w:hAnsi="宋体" w:cs="宋体"/>
                <w:color w:val="000000"/>
                <w:sz w:val="24"/>
                <w:lang w:eastAsia="zh-CN"/>
              </w:rPr>
              <w:t>船只配备救生衣、灭火器符合规定，性能可靠，船载视频监控工作良好</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船只配备救生衣、灭火器符合规定，性能可靠，船载视频监控工作良好</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24"/>
                <w:lang w:eastAsia="zh-CN"/>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航道畅通率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完成</w:t>
            </w:r>
            <w:r>
              <w:rPr>
                <w:rFonts w:hint="eastAsia" w:ascii="宋体" w:hAnsi="宋体" w:cs="宋体"/>
                <w:color w:val="000000"/>
                <w:sz w:val="24"/>
                <w:lang w:val="en-US" w:eastAsia="zh-CN"/>
              </w:rPr>
              <w:t>100%</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航道运输畅通，秩序规范</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24"/>
                <w:lang w:eastAsia="zh-CN"/>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船只泊位完好率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完成</w:t>
            </w:r>
            <w:r>
              <w:rPr>
                <w:rFonts w:hint="eastAsia" w:ascii="宋体" w:hAnsi="宋体" w:cs="宋体"/>
                <w:color w:val="000000"/>
                <w:sz w:val="24"/>
                <w:lang w:val="en-US" w:eastAsia="zh-CN"/>
              </w:rPr>
              <w:t>100%</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船只泊位完好</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24"/>
                <w:lang w:eastAsia="zh-CN"/>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船载救生设备完好率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完成</w:t>
            </w:r>
            <w:r>
              <w:rPr>
                <w:rFonts w:hint="eastAsia" w:ascii="宋体" w:hAnsi="宋体" w:cs="宋体"/>
                <w:color w:val="000000"/>
                <w:sz w:val="24"/>
                <w:lang w:val="en-US" w:eastAsia="zh-CN"/>
              </w:rPr>
              <w:t>100%</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船载救生设备完好</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完成时限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贯穿全年</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组织水上交通应急演练、救援工作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0.5万元</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航道整治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0.5万元</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船只泊位安全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0.5万元</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船舶安全救生设备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0.5</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优化产业结构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促进我区旅游业和水上运输业发展</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完善</w:t>
            </w:r>
            <w:r>
              <w:rPr>
                <w:rFonts w:hint="eastAsia" w:ascii="宋体" w:hAnsi="宋体" w:cs="宋体"/>
                <w:color w:val="000000"/>
                <w:sz w:val="24"/>
                <w:lang w:val="en-US" w:eastAsia="zh-CN"/>
              </w:rPr>
              <w:t>基础设施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方便群众，切实优化群众旅游出行选择</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生态效益</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减少污染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确保客船潜水净化设施安装运行，保证水质达标率</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95%</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增加民众对水上运输</w:t>
            </w:r>
            <w:r>
              <w:rPr>
                <w:rFonts w:hint="eastAsia" w:ascii="宋体" w:hAnsi="宋体" w:cs="宋体"/>
                <w:color w:val="000000"/>
                <w:sz w:val="24"/>
                <w:lang w:val="en-US" w:eastAsia="zh-CN"/>
              </w:rPr>
              <w:t xml:space="preserve"> 工作安全的 </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强化政策宣传，确保水上出行安全</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民众满意度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95%，加强服务意识，提高群众 满意度</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98%</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部门满意度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95%，完成上级部门交办的各项工作</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98%</w:t>
            </w:r>
          </w:p>
        </w:tc>
      </w:tr>
    </w:tbl>
    <w:p>
      <w:pPr>
        <w:spacing w:line="580" w:lineRule="exact"/>
        <w:rPr>
          <w:rFonts w:ascii="仿宋_GB2312" w:hAnsi="仿宋_GB2312" w:eastAsia="仿宋_GB2312" w:cs="仿宋_GB2312"/>
          <w:sz w:val="32"/>
          <w:szCs w:val="32"/>
        </w:rPr>
      </w:pPr>
    </w:p>
    <w:p>
      <w:pPr>
        <w:numPr>
          <w:ilvl w:val="0"/>
          <w:numId w:val="5"/>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区海事处</w:t>
      </w:r>
      <w:r>
        <w:rPr>
          <w:rFonts w:hint="eastAsia" w:ascii="仿宋_GB2312" w:hAnsi="仿宋_GB2312" w:eastAsia="仿宋_GB2312" w:cs="仿宋_GB2312"/>
          <w:sz w:val="32"/>
          <w:szCs w:val="32"/>
        </w:rPr>
        <w:t>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海事执法</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水上安全应急及隐患排查</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区海事处</w:t>
      </w:r>
      <w:r>
        <w:rPr>
          <w:rFonts w:hint="eastAsia" w:ascii="仿宋_GB2312" w:hAnsi="仿宋_GB2312" w:eastAsia="仿宋_GB2312" w:cs="仿宋_GB2312"/>
          <w:sz w:val="32"/>
          <w:szCs w:val="32"/>
        </w:rPr>
        <w:t>项目2018年绩效评价报告》见附件。</w:t>
      </w:r>
    </w:p>
    <w:p>
      <w:pPr>
        <w:spacing w:line="600" w:lineRule="exact"/>
        <w:ind w:firstLine="800" w:firstLineChars="250"/>
        <w:outlineLvl w:val="1"/>
        <w:rPr>
          <w:rStyle w:val="26"/>
          <w:rFonts w:ascii="黑体" w:hAnsi="黑体" w:eastAsia="黑体"/>
        </w:rPr>
      </w:pPr>
      <w:bookmarkStart w:id="55" w:name="_Toc15377221"/>
      <w:bookmarkStart w:id="56" w:name="_Toc20780"/>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5"/>
      <w:bookmarkEnd w:id="56"/>
    </w:p>
    <w:p>
      <w:pPr>
        <w:spacing w:line="600" w:lineRule="exact"/>
        <w:ind w:firstLine="642" w:firstLineChars="200"/>
        <w:outlineLvl w:val="2"/>
        <w:rPr>
          <w:rFonts w:ascii="仿宋" w:hAnsi="仿宋" w:eastAsia="仿宋"/>
          <w:color w:val="000000"/>
          <w:sz w:val="32"/>
          <w:szCs w:val="32"/>
        </w:rPr>
      </w:pPr>
      <w:bookmarkStart w:id="57" w:name="_Toc15377222"/>
      <w:r>
        <w:rPr>
          <w:rFonts w:hint="eastAsia" w:ascii="仿宋" w:hAnsi="仿宋" w:eastAsia="仿宋"/>
          <w:b/>
          <w:color w:val="000000"/>
          <w:sz w:val="32"/>
          <w:szCs w:val="32"/>
        </w:rPr>
        <w:t>（一）机关运行经费支出情况</w:t>
      </w:r>
      <w:bookmarkEnd w:id="57"/>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区海事处</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23.13</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1.71</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92</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压减开支。</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8" w:name="_Toc15377223"/>
      <w:r>
        <w:rPr>
          <w:rFonts w:hint="eastAsia" w:ascii="仿宋" w:hAnsi="仿宋" w:eastAsia="仿宋"/>
          <w:b/>
          <w:color w:val="000000"/>
          <w:sz w:val="32"/>
          <w:szCs w:val="32"/>
        </w:rPr>
        <w:t>（二）政府采购支出情况</w:t>
      </w:r>
      <w:bookmarkEnd w:id="58"/>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区海事处</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9" w:name="_Toc15377224"/>
      <w:r>
        <w:rPr>
          <w:rFonts w:hint="eastAsia" w:ascii="仿宋" w:hAnsi="仿宋" w:eastAsia="仿宋"/>
          <w:b/>
          <w:color w:val="000000"/>
          <w:sz w:val="32"/>
          <w:szCs w:val="32"/>
        </w:rPr>
        <w:t>（三）国有资产占有使用情况</w:t>
      </w:r>
      <w:bookmarkEnd w:id="59"/>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区海事处</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w:t>
      </w:r>
      <w:r>
        <w:rPr>
          <w:rFonts w:hint="eastAsia" w:ascii="仿宋_GB2312" w:eastAsia="仿宋_GB2312"/>
          <w:color w:val="000000" w:themeColor="text1"/>
          <w:sz w:val="32"/>
          <w:szCs w:val="32"/>
          <w:lang w:eastAsia="zh-CN"/>
          <w14:textFill>
            <w14:solidFill>
              <w14:schemeClr w14:val="tx1"/>
            </w14:solidFill>
          </w14:textFill>
        </w:rPr>
        <w:t>区海事处</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7"/>
        </w:numPr>
        <w:spacing w:line="600" w:lineRule="exact"/>
        <w:ind w:firstLine="662" w:firstLineChars="150"/>
        <w:jc w:val="center"/>
        <w:outlineLvl w:val="0"/>
        <w:rPr>
          <w:rStyle w:val="25"/>
          <w:rFonts w:ascii="黑体" w:hAnsi="黑体" w:eastAsia="黑体"/>
          <w:b w:val="0"/>
        </w:rPr>
      </w:pPr>
      <w:bookmarkStart w:id="60" w:name="_Toc7831"/>
      <w:bookmarkStart w:id="61" w:name="_Toc15377225"/>
      <w:r>
        <w:rPr>
          <w:rFonts w:hint="eastAsia" w:ascii="黑体" w:hAnsi="黑体" w:eastAsia="黑体"/>
          <w:b/>
          <w:color w:val="000000"/>
          <w:sz w:val="44"/>
          <w:szCs w:val="44"/>
        </w:rPr>
        <w:t>名</w:t>
      </w:r>
      <w:r>
        <w:rPr>
          <w:rStyle w:val="25"/>
          <w:rFonts w:hint="eastAsia" w:ascii="黑体" w:hAnsi="黑体" w:eastAsia="黑体"/>
          <w:b w:val="0"/>
        </w:rPr>
        <w:t>词解释</w:t>
      </w:r>
      <w:bookmarkEnd w:id="60"/>
      <w:bookmarkEnd w:id="61"/>
    </w:p>
    <w:p>
      <w:pPr>
        <w:spacing w:line="600" w:lineRule="exact"/>
        <w:jc w:val="left"/>
        <w:rPr>
          <w:rFonts w:ascii="宋体"/>
          <w:b/>
          <w:color w:val="000000"/>
          <w:sz w:val="44"/>
          <w:szCs w:val="44"/>
        </w:rPr>
      </w:pPr>
    </w:p>
    <w:p>
      <w:pPr>
        <w:spacing w:line="600" w:lineRule="exact"/>
        <w:jc w:val="left"/>
        <w:outlineLvl w:val="0"/>
        <w:rPr>
          <w:rFonts w:ascii="仿宋_GB2312" w:hAnsi="Calibri" w:eastAsia="仿宋_GB2312" w:cs="仿宋"/>
          <w:color w:val="000000"/>
          <w:kern w:val="0"/>
          <w:sz w:val="32"/>
          <w:szCs w:val="32"/>
        </w:rPr>
      </w:pPr>
      <w:bookmarkStart w:id="62" w:name="_Toc23197"/>
      <w:r>
        <w:rPr>
          <w:rFonts w:hint="eastAsia" w:ascii="仿宋_GB2312" w:hAnsi="Calibri" w:eastAsia="仿宋_GB2312" w:cs="仿宋"/>
          <w:color w:val="000000"/>
          <w:kern w:val="0"/>
          <w:sz w:val="32"/>
          <w:szCs w:val="32"/>
        </w:rPr>
        <w:t>1.财政拨款收入：指单位从同级财政部门取得的财政预算资金。</w:t>
      </w:r>
      <w:bookmarkEnd w:id="62"/>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63" w:name="_Toc11561"/>
      <w:r>
        <w:rPr>
          <w:rFonts w:hint="eastAsia" w:ascii="仿宋_GB2312" w:hAnsi="Calibri" w:eastAsia="仿宋_GB2312" w:cs="仿宋"/>
          <w:color w:val="000000"/>
          <w:kern w:val="0"/>
          <w:sz w:val="32"/>
          <w:szCs w:val="32"/>
        </w:rPr>
        <w:t>2.年初结转和结余：指以前年度尚未完成、结转到本年按有关规定继续使用的资金。</w:t>
      </w:r>
      <w:bookmarkEnd w:id="63"/>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64" w:name="_Toc1884"/>
      <w:r>
        <w:rPr>
          <w:rFonts w:hint="eastAsia" w:ascii="仿宋_GB2312" w:hAnsi="Calibri" w:eastAsia="仿宋_GB2312" w:cs="仿宋"/>
          <w:color w:val="000000"/>
          <w:kern w:val="0"/>
          <w:sz w:val="32"/>
          <w:szCs w:val="32"/>
        </w:rPr>
        <w:t>3.年末结转和结余：指单位按有关规定结转到下年或以后年度继续使用的资金。</w:t>
      </w:r>
      <w:bookmarkEnd w:id="64"/>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65" w:name="_Toc4655"/>
      <w:r>
        <w:rPr>
          <w:rFonts w:hint="eastAsia" w:ascii="仿宋_GB2312" w:hAnsi="Calibri" w:eastAsia="仿宋_GB2312" w:cs="仿宋"/>
          <w:color w:val="000000"/>
          <w:kern w:val="0"/>
          <w:sz w:val="32"/>
          <w:szCs w:val="32"/>
          <w:lang w:val="en-US" w:eastAsia="zh-CN"/>
        </w:rPr>
        <w:t>4</w:t>
      </w:r>
      <w:r>
        <w:rPr>
          <w:rFonts w:hint="eastAsia" w:ascii="仿宋_GB2312" w:hAnsi="Calibri" w:eastAsia="仿宋_GB2312" w:cs="仿宋"/>
          <w:color w:val="000000"/>
          <w:kern w:val="0"/>
          <w:sz w:val="32"/>
          <w:szCs w:val="32"/>
        </w:rPr>
        <w:t>.住房保障支出（类）住房改革支出（款）住房公积金（项）：反映行政事业单位按人力资源和社会保障部、财政部规定的基本工资和津补贴以及规定比例为职工缴纳的住房公积金。</w:t>
      </w:r>
      <w:bookmarkEnd w:id="65"/>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66" w:name="_Toc14499"/>
      <w:r>
        <w:rPr>
          <w:rFonts w:hint="eastAsia" w:ascii="仿宋_GB2312" w:hAnsi="Calibri" w:eastAsia="仿宋_GB2312" w:cs="仿宋"/>
          <w:color w:val="000000"/>
          <w:kern w:val="0"/>
          <w:sz w:val="32"/>
          <w:szCs w:val="32"/>
          <w:lang w:val="en-US" w:eastAsia="zh-CN"/>
        </w:rPr>
        <w:t>5</w:t>
      </w:r>
      <w:r>
        <w:rPr>
          <w:rFonts w:hint="eastAsia" w:ascii="仿宋_GB2312" w:hAnsi="Calibri" w:eastAsia="仿宋_GB2312" w:cs="仿宋"/>
          <w:color w:val="000000"/>
          <w:kern w:val="0"/>
          <w:sz w:val="32"/>
          <w:szCs w:val="32"/>
        </w:rPr>
        <w:t>.社会保障和就业（类）行政事业单位离退休（款）机关事业单位基本养老保险缴费支出（项）：反映机关事业单位实施养老保险制度由单位缴纳的基本养老保险支出。</w:t>
      </w:r>
      <w:bookmarkEnd w:id="66"/>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67" w:name="_Toc30444"/>
      <w:r>
        <w:rPr>
          <w:rFonts w:hint="eastAsia" w:ascii="仿宋_GB2312" w:hAnsi="Calibri" w:eastAsia="仿宋_GB2312" w:cs="仿宋"/>
          <w:color w:val="000000"/>
          <w:kern w:val="0"/>
          <w:sz w:val="32"/>
          <w:szCs w:val="32"/>
          <w:lang w:val="en-US" w:eastAsia="zh-CN"/>
        </w:rPr>
        <w:t>6</w:t>
      </w:r>
      <w:r>
        <w:rPr>
          <w:rFonts w:hint="eastAsia" w:ascii="仿宋_GB2312" w:hAnsi="Calibri" w:eastAsia="仿宋_GB2312" w:cs="仿宋"/>
          <w:color w:val="000000"/>
          <w:kern w:val="0"/>
          <w:sz w:val="32"/>
          <w:szCs w:val="32"/>
        </w:rPr>
        <w:t>.医疗卫生与计划生育（类）医疗保障（款）事业单位医疗（项）: 反映财政部门集中安排的事业单位基本医疗保险缴费经费。</w:t>
      </w:r>
      <w:bookmarkEnd w:id="67"/>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68" w:name="_Toc21462"/>
      <w:r>
        <w:rPr>
          <w:rFonts w:hint="eastAsia" w:ascii="仿宋_GB2312" w:hAnsi="Calibri" w:eastAsia="仿宋_GB2312" w:cs="仿宋"/>
          <w:color w:val="000000"/>
          <w:kern w:val="0"/>
          <w:sz w:val="32"/>
          <w:szCs w:val="32"/>
          <w:lang w:val="en-US" w:eastAsia="zh-CN"/>
        </w:rPr>
        <w:t>7</w:t>
      </w:r>
      <w:r>
        <w:rPr>
          <w:rFonts w:hint="eastAsia" w:ascii="仿宋_GB2312" w:hAnsi="Calibri" w:eastAsia="仿宋_GB2312" w:cs="仿宋"/>
          <w:color w:val="000000"/>
          <w:kern w:val="0"/>
          <w:sz w:val="32"/>
          <w:szCs w:val="32"/>
        </w:rPr>
        <w:t>.农林水支出（类）扶贫（款）其他扶贫支出（项）：反映用于农村扶贫开发等方面的支出。</w:t>
      </w:r>
      <w:bookmarkEnd w:id="68"/>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69" w:name="_Toc12216"/>
      <w:r>
        <w:rPr>
          <w:rFonts w:hint="eastAsia" w:ascii="仿宋_GB2312" w:hAnsi="Calibri" w:eastAsia="仿宋_GB2312" w:cs="仿宋"/>
          <w:color w:val="000000"/>
          <w:kern w:val="0"/>
          <w:sz w:val="32"/>
          <w:szCs w:val="32"/>
          <w:lang w:val="en-US" w:eastAsia="zh-CN"/>
        </w:rPr>
        <w:t>8</w:t>
      </w:r>
      <w:r>
        <w:rPr>
          <w:rFonts w:hint="eastAsia" w:ascii="仿宋_GB2312" w:hAnsi="Calibri" w:eastAsia="仿宋_GB2312" w:cs="仿宋"/>
          <w:color w:val="000000"/>
          <w:kern w:val="0"/>
          <w:sz w:val="32"/>
          <w:szCs w:val="32"/>
        </w:rPr>
        <w:t>.基本支出：指为保障机构正常运转、完成日常工作任务而发生的人员支出和公用支出。</w:t>
      </w:r>
      <w:bookmarkEnd w:id="69"/>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70" w:name="_Toc22118"/>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.项目支出：指在基本支出之外为完成特定行政任务和事业发展目标所发生的支出。</w:t>
      </w:r>
      <w:bookmarkEnd w:id="70"/>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71" w:name="_Toc15569"/>
      <w:r>
        <w:rPr>
          <w:rFonts w:hint="eastAsia" w:ascii="仿宋_GB2312" w:hAnsi="Calibri" w:eastAsia="仿宋_GB2312" w:cs="仿宋"/>
          <w:color w:val="000000"/>
          <w:kern w:val="0"/>
          <w:sz w:val="32"/>
          <w:szCs w:val="32"/>
          <w:lang w:val="en-US" w:eastAsia="zh-CN"/>
        </w:rPr>
        <w:t>10</w:t>
      </w:r>
      <w:r>
        <w:rPr>
          <w:rFonts w:hint="eastAsia" w:ascii="仿宋_GB2312" w:hAnsi="Calibri" w:eastAsia="仿宋_GB2312" w:cs="仿宋"/>
          <w:color w:val="000000"/>
          <w:kern w:val="0"/>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bookmarkEnd w:id="71"/>
      <w:r>
        <w:rPr>
          <w:rFonts w:hint="eastAsia" w:ascii="仿宋_GB2312" w:hAnsi="Calibri" w:eastAsia="仿宋_GB2312" w:cs="仿宋"/>
          <w:color w:val="000000"/>
          <w:kern w:val="0"/>
          <w:sz w:val="32"/>
          <w:szCs w:val="32"/>
        </w:rPr>
        <w:t xml:space="preserve"> </w:t>
      </w:r>
    </w:p>
    <w:p>
      <w:pPr>
        <w:spacing w:line="600" w:lineRule="exact"/>
        <w:jc w:val="left"/>
        <w:outlineLvl w:val="0"/>
        <w:rPr>
          <w:rFonts w:hint="eastAsia" w:ascii="仿宋_GB2312" w:hAnsi="Calibri" w:eastAsia="仿宋_GB2312" w:cs="仿宋"/>
          <w:color w:val="000000"/>
          <w:kern w:val="0"/>
          <w:sz w:val="32"/>
          <w:szCs w:val="32"/>
        </w:rPr>
      </w:pPr>
      <w:bookmarkStart w:id="72" w:name="_Toc7647"/>
      <w:r>
        <w:rPr>
          <w:rFonts w:hint="eastAsia" w:ascii="仿宋_GB2312" w:hAnsi="Calibri" w:eastAsia="仿宋_GB2312" w:cs="仿宋"/>
          <w:color w:val="000000"/>
          <w:kern w:val="0"/>
          <w:sz w:val="32"/>
          <w:szCs w:val="32"/>
          <w:lang w:val="en-US" w:eastAsia="zh-CN"/>
        </w:rPr>
        <w:t>11</w:t>
      </w:r>
      <w:r>
        <w:rPr>
          <w:rFonts w:hint="eastAsia" w:ascii="仿宋_GB2312" w:hAnsi="Calibri" w:eastAsia="仿宋_GB2312" w:cs="仿宋"/>
          <w:color w:val="000000"/>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72"/>
      <w:r>
        <w:rPr>
          <w:rFonts w:hint="eastAsia" w:ascii="仿宋_GB2312" w:hAnsi="Calibri" w:eastAsia="仿宋_GB2312" w:cs="仿宋"/>
          <w:color w:val="000000"/>
          <w:kern w:val="0"/>
          <w:sz w:val="32"/>
          <w:szCs w:val="32"/>
        </w:rPr>
        <w:t xml:space="preserve"> </w:t>
      </w:r>
    </w:p>
    <w:p>
      <w:pPr>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lang w:val="en-US" w:eastAsia="zh-CN"/>
        </w:rPr>
        <w:t>交通运输支出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公路水路运输</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行政运行</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反映行政单位（包括实行公务员管理的事业单位）的基本支出</w:t>
      </w:r>
      <w:r>
        <w:rPr>
          <w:rFonts w:hint="eastAsia" w:ascii="仿宋_GB2312" w:eastAsia="仿宋_GB2312"/>
          <w:color w:val="000000"/>
          <w:sz w:val="32"/>
          <w:szCs w:val="32"/>
        </w:rPr>
        <w:t>。</w:t>
      </w:r>
    </w:p>
    <w:p>
      <w:pPr>
        <w:pStyle w:val="2"/>
        <w:ind w:left="0" w:leftChars="0" w:firstLine="0" w:firstLineChars="0"/>
        <w:rPr>
          <w:rFonts w:hint="default" w:ascii="仿宋_GB2312"/>
          <w:color w:val="000000"/>
          <w:sz w:val="32"/>
          <w:szCs w:val="32"/>
          <w:lang w:val="en-US" w:eastAsia="zh-CN"/>
        </w:rPr>
      </w:pPr>
      <w:r>
        <w:rPr>
          <w:rFonts w:ascii="仿宋_GB2312" w:eastAsia="仿宋_GB2312"/>
          <w:color w:val="000000"/>
          <w:sz w:val="32"/>
          <w:szCs w:val="32"/>
        </w:rPr>
        <w:t>1</w:t>
      </w:r>
      <w:r>
        <w:rPr>
          <w:rFonts w:hint="eastAsia" w:ascii="仿宋_GB2312"/>
          <w:color w:val="000000"/>
          <w:sz w:val="32"/>
          <w:szCs w:val="32"/>
          <w:lang w:val="en-US" w:eastAsia="zh-CN"/>
        </w:rPr>
        <w:t>3.</w:t>
      </w:r>
      <w:r>
        <w:rPr>
          <w:rFonts w:hint="eastAsia" w:ascii="仿宋_GB2312" w:eastAsia="仿宋_GB2312"/>
          <w:color w:val="000000"/>
          <w:sz w:val="32"/>
          <w:szCs w:val="32"/>
          <w:lang w:val="en-US" w:eastAsia="zh-CN"/>
        </w:rPr>
        <w:t>交通运输支出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公路水路运输</w:t>
      </w:r>
      <w:r>
        <w:rPr>
          <w:rFonts w:hint="eastAsia" w:ascii="仿宋_GB2312" w:eastAsia="仿宋_GB2312"/>
          <w:color w:val="000000"/>
          <w:sz w:val="32"/>
          <w:szCs w:val="32"/>
        </w:rPr>
        <w:t>（款）</w:t>
      </w:r>
      <w:r>
        <w:rPr>
          <w:rFonts w:hint="eastAsia" w:ascii="仿宋_GB2312"/>
          <w:color w:val="000000"/>
          <w:sz w:val="32"/>
          <w:szCs w:val="32"/>
          <w:lang w:val="en-US" w:eastAsia="zh-CN"/>
        </w:rPr>
        <w:t>公路建设</w:t>
      </w:r>
      <w:r>
        <w:rPr>
          <w:rFonts w:hint="eastAsia" w:ascii="仿宋_GB2312" w:eastAsia="仿宋_GB2312"/>
          <w:color w:val="000000"/>
          <w:sz w:val="32"/>
          <w:szCs w:val="32"/>
        </w:rPr>
        <w:t>（项）</w:t>
      </w:r>
      <w:r>
        <w:rPr>
          <w:rFonts w:hint="eastAsia" w:ascii="仿宋_GB2312"/>
          <w:color w:val="000000"/>
          <w:sz w:val="32"/>
          <w:szCs w:val="32"/>
          <w:lang w:eastAsia="zh-CN"/>
        </w:rPr>
        <w:t>：</w:t>
      </w:r>
      <w:r>
        <w:rPr>
          <w:rFonts w:hint="eastAsia" w:ascii="仿宋_GB2312"/>
          <w:color w:val="000000"/>
          <w:sz w:val="32"/>
          <w:szCs w:val="32"/>
          <w:lang w:val="en-US" w:eastAsia="zh-CN"/>
        </w:rPr>
        <w:t>反映新建公路支出，公路改建支出，特大型桥梁建设支出，公路客货运站（场）建设支出。</w:t>
      </w:r>
    </w:p>
    <w:p>
      <w:pPr>
        <w:pStyle w:val="2"/>
        <w:ind w:left="0" w:leftChars="0" w:firstLine="0" w:firstLineChars="0"/>
        <w:rPr>
          <w:rFonts w:hint="eastAsia" w:ascii="仿宋_GB2312"/>
          <w:color w:val="000000"/>
          <w:sz w:val="32"/>
          <w:szCs w:val="32"/>
          <w:lang w:val="en-US" w:eastAsia="zh-CN"/>
        </w:rPr>
      </w:pPr>
      <w:r>
        <w:rPr>
          <w:rFonts w:hint="eastAsia" w:ascii="仿宋_GB2312"/>
          <w:color w:val="000000"/>
          <w:sz w:val="32"/>
          <w:szCs w:val="32"/>
          <w:lang w:val="en-US" w:eastAsia="zh-CN"/>
        </w:rPr>
        <w:t>14</w:t>
      </w:r>
      <w:r>
        <w:rPr>
          <w:rFonts w:hint="eastAsia" w:ascii="仿宋_GB2312" w:eastAsia="仿宋_GB2312"/>
          <w:color w:val="000000"/>
          <w:sz w:val="32"/>
          <w:szCs w:val="32"/>
          <w:lang w:val="en-US" w:eastAsia="zh-CN"/>
        </w:rPr>
        <w:t>交通运输支出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公路水路运输</w:t>
      </w:r>
      <w:r>
        <w:rPr>
          <w:rFonts w:hint="eastAsia" w:ascii="仿宋_GB2312" w:eastAsia="仿宋_GB2312"/>
          <w:color w:val="000000"/>
          <w:sz w:val="32"/>
          <w:szCs w:val="32"/>
        </w:rPr>
        <w:t>（款）</w:t>
      </w:r>
      <w:r>
        <w:rPr>
          <w:rFonts w:hint="eastAsia" w:ascii="仿宋_GB2312"/>
          <w:color w:val="000000"/>
          <w:sz w:val="32"/>
          <w:szCs w:val="32"/>
          <w:lang w:val="en-US" w:eastAsia="zh-CN"/>
        </w:rPr>
        <w:t>海事管理</w:t>
      </w:r>
      <w:r>
        <w:rPr>
          <w:rFonts w:hint="eastAsia" w:ascii="仿宋_GB2312" w:eastAsia="仿宋_GB2312"/>
          <w:color w:val="000000"/>
          <w:sz w:val="32"/>
          <w:szCs w:val="32"/>
        </w:rPr>
        <w:t>（项）</w:t>
      </w:r>
      <w:r>
        <w:rPr>
          <w:rFonts w:hint="eastAsia" w:ascii="仿宋_GB2312"/>
          <w:color w:val="000000"/>
          <w:sz w:val="32"/>
          <w:szCs w:val="32"/>
          <w:lang w:eastAsia="zh-CN"/>
        </w:rPr>
        <w:t>：</w:t>
      </w:r>
      <w:r>
        <w:rPr>
          <w:rFonts w:hint="eastAsia" w:ascii="仿宋_GB2312"/>
          <w:color w:val="000000"/>
          <w:sz w:val="32"/>
          <w:szCs w:val="32"/>
          <w:lang w:val="en-US" w:eastAsia="zh-CN"/>
        </w:rPr>
        <w:t>反映海事管理方面支出。</w:t>
      </w:r>
    </w:p>
    <w:p>
      <w:pPr>
        <w:pStyle w:val="2"/>
        <w:ind w:left="0" w:leftChars="0" w:firstLine="0" w:firstLineChars="0"/>
        <w:rPr>
          <w:rFonts w:hint="default" w:ascii="仿宋_GB2312"/>
          <w:color w:val="000000"/>
          <w:sz w:val="32"/>
          <w:szCs w:val="32"/>
          <w:lang w:val="en-US" w:eastAsia="zh-CN"/>
        </w:rPr>
      </w:pPr>
      <w:r>
        <w:rPr>
          <w:rFonts w:hint="eastAsia" w:ascii="仿宋_GB2312"/>
          <w:color w:val="000000"/>
          <w:sz w:val="32"/>
          <w:szCs w:val="32"/>
          <w:lang w:val="en-US" w:eastAsia="zh-CN"/>
        </w:rPr>
        <w:t>15、</w:t>
      </w:r>
      <w:r>
        <w:rPr>
          <w:rFonts w:hint="eastAsia" w:ascii="仿宋_GB2312" w:eastAsia="仿宋_GB2312"/>
          <w:color w:val="000000"/>
          <w:sz w:val="32"/>
          <w:szCs w:val="32"/>
          <w:lang w:val="en-US" w:eastAsia="zh-CN"/>
        </w:rPr>
        <w:t>交通运输支出</w:t>
      </w:r>
      <w:r>
        <w:rPr>
          <w:rFonts w:hint="eastAsia" w:ascii="仿宋_GB2312" w:eastAsia="仿宋_GB2312"/>
          <w:color w:val="000000"/>
          <w:sz w:val="32"/>
          <w:szCs w:val="32"/>
        </w:rPr>
        <w:t>（类）</w:t>
      </w:r>
      <w:r>
        <w:rPr>
          <w:rFonts w:hint="eastAsia" w:ascii="仿宋_GB2312"/>
          <w:color w:val="000000"/>
          <w:sz w:val="32"/>
          <w:szCs w:val="32"/>
          <w:lang w:val="en-US" w:eastAsia="zh-CN"/>
        </w:rPr>
        <w:t>成品油价格改革对交通运输的补贴</w:t>
      </w:r>
      <w:r>
        <w:rPr>
          <w:rFonts w:hint="eastAsia" w:ascii="仿宋_GB2312" w:eastAsia="仿宋_GB2312"/>
          <w:color w:val="000000"/>
          <w:sz w:val="32"/>
          <w:szCs w:val="32"/>
        </w:rPr>
        <w:t>（款）</w:t>
      </w:r>
      <w:r>
        <w:rPr>
          <w:rFonts w:hint="eastAsia" w:ascii="仿宋_GB2312"/>
          <w:color w:val="000000"/>
          <w:sz w:val="32"/>
          <w:szCs w:val="32"/>
          <w:lang w:val="en-US" w:eastAsia="zh-CN"/>
        </w:rPr>
        <w:t>对农村道路客运的补贴</w:t>
      </w:r>
      <w:r>
        <w:rPr>
          <w:rFonts w:hint="eastAsia" w:ascii="仿宋_GB2312" w:eastAsia="仿宋_GB2312"/>
          <w:color w:val="000000"/>
          <w:sz w:val="32"/>
          <w:szCs w:val="32"/>
        </w:rPr>
        <w:t>（项）</w:t>
      </w:r>
      <w:r>
        <w:rPr>
          <w:rFonts w:hint="eastAsia" w:ascii="仿宋_GB2312"/>
          <w:color w:val="000000"/>
          <w:sz w:val="32"/>
          <w:szCs w:val="32"/>
          <w:lang w:val="en-US" w:eastAsia="zh-CN"/>
        </w:rPr>
        <w:t>：反映成品油价改革财政对农村道路客运的补贴。</w:t>
      </w:r>
    </w:p>
    <w:p>
      <w:pPr>
        <w:pStyle w:val="2"/>
        <w:ind w:left="0" w:leftChars="0" w:firstLine="0" w:firstLineChars="0"/>
        <w:rPr>
          <w:rFonts w:hint="eastAsia"/>
        </w:rPr>
      </w:pPr>
    </w:p>
    <w:p>
      <w:pPr>
        <w:spacing w:line="600" w:lineRule="exact"/>
        <w:jc w:val="center"/>
        <w:outlineLvl w:val="0"/>
        <w:rPr>
          <w:rStyle w:val="25"/>
          <w:rFonts w:ascii="黑体" w:hAnsi="黑体" w:eastAsia="黑体"/>
          <w:b w:val="0"/>
        </w:rPr>
      </w:pPr>
      <w:bookmarkStart w:id="73" w:name="_Toc4788"/>
      <w:bookmarkStart w:id="74" w:name="_Toc15377226"/>
      <w:r>
        <w:rPr>
          <w:rFonts w:hint="eastAsia" w:ascii="黑体" w:hAnsi="黑体" w:eastAsia="黑体"/>
          <w:color w:val="000000"/>
          <w:sz w:val="44"/>
          <w:szCs w:val="44"/>
        </w:rPr>
        <w:t>第</w:t>
      </w:r>
      <w:r>
        <w:rPr>
          <w:rStyle w:val="25"/>
          <w:rFonts w:hint="eastAsia" w:ascii="黑体" w:hAnsi="黑体" w:eastAsia="黑体"/>
          <w:b w:val="0"/>
        </w:rPr>
        <w:t>四部分 附件</w:t>
      </w:r>
      <w:bookmarkEnd w:id="73"/>
    </w:p>
    <w:p>
      <w:pPr>
        <w:spacing w:line="600" w:lineRule="exact"/>
        <w:jc w:val="center"/>
        <w:outlineLvl w:val="0"/>
        <w:rPr>
          <w:rStyle w:val="25"/>
        </w:rPr>
      </w:pPr>
    </w:p>
    <w:p>
      <w:pPr>
        <w:pStyle w:val="4"/>
        <w:rPr>
          <w:rStyle w:val="25"/>
          <w:rFonts w:ascii="仿宋" w:hAnsi="仿宋" w:eastAsia="仿宋"/>
          <w:b w:val="0"/>
          <w:bCs w:val="0"/>
          <w:sz w:val="32"/>
          <w:szCs w:val="32"/>
        </w:rPr>
      </w:pPr>
      <w:bookmarkStart w:id="75" w:name="_Toc11626"/>
      <w:r>
        <w:rPr>
          <w:rStyle w:val="25"/>
          <w:rFonts w:hint="eastAsia" w:ascii="仿宋" w:hAnsi="仿宋" w:eastAsia="仿宋"/>
          <w:b w:val="0"/>
          <w:bCs w:val="0"/>
          <w:sz w:val="32"/>
          <w:szCs w:val="32"/>
        </w:rPr>
        <w:t>附件1</w:t>
      </w:r>
      <w:bookmarkEnd w:id="75"/>
    </w:p>
    <w:p>
      <w:pPr>
        <w:spacing w:line="600" w:lineRule="exact"/>
        <w:jc w:val="center"/>
        <w:outlineLvl w:val="0"/>
        <w:rPr>
          <w:rFonts w:ascii="黑体" w:hAnsi="黑体" w:eastAsia="黑体" w:cs="方正小标宋简体"/>
          <w:sz w:val="36"/>
          <w:szCs w:val="36"/>
        </w:rPr>
      </w:pPr>
      <w:bookmarkStart w:id="76" w:name="_Toc15396616"/>
      <w:bookmarkStart w:id="77" w:name="_Toc28186"/>
      <w:r>
        <w:rPr>
          <w:rFonts w:hint="eastAsia" w:ascii="黑体" w:hAnsi="黑体" w:eastAsia="黑体" w:cs="方正小标宋简体"/>
          <w:sz w:val="36"/>
          <w:szCs w:val="36"/>
          <w:lang w:eastAsia="zh-CN"/>
        </w:rPr>
        <w:t>区海事处</w:t>
      </w:r>
      <w:r>
        <w:rPr>
          <w:rFonts w:hint="eastAsia" w:ascii="黑体" w:hAnsi="黑体" w:eastAsia="黑体" w:cs="方正小标宋简体"/>
          <w:sz w:val="36"/>
          <w:szCs w:val="36"/>
        </w:rPr>
        <w:t>2018年部门整体支出绩效评价报告</w:t>
      </w:r>
      <w:bookmarkEnd w:id="76"/>
      <w:bookmarkEnd w:id="77"/>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一、部门（单位）概况</w:t>
      </w:r>
    </w:p>
    <w:p>
      <w:pPr>
        <w:ind w:firstLine="627" w:firstLineChars="196"/>
        <w:rPr>
          <w:rFonts w:hint="eastAsia" w:ascii="宋体" w:hAnsi="宋体" w:eastAsia="宋体" w:cs="宋体"/>
          <w:sz w:val="32"/>
          <w:szCs w:val="32"/>
        </w:rPr>
      </w:pPr>
      <w:r>
        <w:rPr>
          <w:rFonts w:hint="eastAsia" w:ascii="宋体" w:hAnsi="宋体" w:eastAsia="宋体" w:cs="宋体"/>
          <w:sz w:val="32"/>
          <w:szCs w:val="32"/>
        </w:rPr>
        <w:t>（一）机构组成。我处为区交通运输局下属二级单位，三块牌子一套班子，级别为正科级，属参照公务员管理的事业单位。处机关设有5个职能股室，即办公室、海事股、航务股、船检股、水路运政股。有一个股级下属事业单位，即广元市利州区地方海事处白龙湖海事所。</w:t>
      </w:r>
    </w:p>
    <w:p>
      <w:pPr>
        <w:spacing w:line="580" w:lineRule="exact"/>
        <w:ind w:firstLine="627" w:firstLineChars="196"/>
        <w:rPr>
          <w:rFonts w:hint="eastAsia" w:ascii="宋体" w:hAnsi="宋体" w:eastAsia="宋体" w:cs="宋体"/>
          <w:kern w:val="0"/>
          <w:sz w:val="32"/>
          <w:szCs w:val="32"/>
        </w:rPr>
      </w:pPr>
      <w:r>
        <w:rPr>
          <w:rFonts w:hint="eastAsia" w:ascii="宋体" w:hAnsi="宋体" w:eastAsia="宋体" w:cs="宋体"/>
          <w:sz w:val="32"/>
          <w:szCs w:val="32"/>
        </w:rPr>
        <w:t>（二）机构职能。</w:t>
      </w:r>
      <w:r>
        <w:rPr>
          <w:rFonts w:hint="eastAsia" w:ascii="宋体" w:hAnsi="宋体" w:eastAsia="宋体" w:cs="宋体"/>
          <w:kern w:val="0"/>
          <w:sz w:val="32"/>
          <w:szCs w:val="32"/>
        </w:rPr>
        <w:t>为航运畅通提供航务管理保障、水路运政管理、港政管理、水上安全监管、航道管理</w:t>
      </w:r>
      <w:r>
        <w:rPr>
          <w:rFonts w:hint="eastAsia" w:ascii="宋体" w:hAnsi="宋体" w:eastAsia="宋体" w:cs="宋体"/>
          <w:kern w:val="0"/>
          <w:sz w:val="32"/>
          <w:szCs w:val="32"/>
          <w:lang w:eastAsia="zh-CN"/>
        </w:rPr>
        <w:t>、</w:t>
      </w:r>
      <w:r>
        <w:rPr>
          <w:rFonts w:hint="eastAsia" w:ascii="宋体" w:hAnsi="宋体" w:eastAsia="宋体" w:cs="宋体"/>
          <w:kern w:val="0"/>
          <w:sz w:val="32"/>
          <w:szCs w:val="32"/>
        </w:rPr>
        <w:t>船舶检验与管理。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（三）人员概况。201</w:t>
      </w:r>
      <w:r>
        <w:rPr>
          <w:rFonts w:hint="eastAsia" w:ascii="宋体" w:hAnsi="宋体" w:eastAsia="宋体" w:cs="宋体"/>
          <w:sz w:val="32"/>
          <w:szCs w:val="32"/>
          <w:lang w:val="en-US" w:eastAsia="zh-CN"/>
        </w:rPr>
        <w:t>8</w:t>
      </w:r>
      <w:r>
        <w:rPr>
          <w:rFonts w:hint="eastAsia" w:ascii="宋体" w:hAnsi="宋体" w:eastAsia="宋体" w:cs="宋体"/>
          <w:sz w:val="32"/>
          <w:szCs w:val="32"/>
        </w:rPr>
        <w:t>年度，我处总编制17名，其中行政编制0名,参照公务员管理的事业编制11名，其他事业编制6名。在职人员总数1</w:t>
      </w:r>
      <w:r>
        <w:rPr>
          <w:rFonts w:hint="eastAsia" w:ascii="宋体" w:hAnsi="宋体" w:eastAsia="宋体" w:cs="宋体"/>
          <w:sz w:val="32"/>
          <w:szCs w:val="32"/>
          <w:lang w:val="en-US" w:eastAsia="zh-CN"/>
        </w:rPr>
        <w:t>4</w:t>
      </w:r>
      <w:r>
        <w:rPr>
          <w:rFonts w:hint="eastAsia" w:ascii="宋体" w:hAnsi="宋体" w:eastAsia="宋体" w:cs="宋体"/>
          <w:sz w:val="32"/>
          <w:szCs w:val="32"/>
        </w:rPr>
        <w:t>人，其中：行政人员1人，参照公务员管理的事业人员</w:t>
      </w:r>
      <w:r>
        <w:rPr>
          <w:rFonts w:hint="eastAsia" w:ascii="宋体" w:hAnsi="宋体" w:eastAsia="宋体" w:cs="宋体"/>
          <w:sz w:val="32"/>
          <w:szCs w:val="32"/>
          <w:lang w:val="en-US" w:eastAsia="zh-CN"/>
        </w:rPr>
        <w:t>7</w:t>
      </w:r>
      <w:r>
        <w:rPr>
          <w:rFonts w:hint="eastAsia" w:ascii="宋体" w:hAnsi="宋体" w:eastAsia="宋体" w:cs="宋体"/>
          <w:sz w:val="32"/>
          <w:szCs w:val="32"/>
        </w:rPr>
        <w:t>名，其他事业人员</w:t>
      </w:r>
      <w:r>
        <w:rPr>
          <w:rFonts w:hint="eastAsia" w:ascii="宋体" w:hAnsi="宋体" w:eastAsia="宋体" w:cs="宋体"/>
          <w:sz w:val="32"/>
          <w:szCs w:val="32"/>
          <w:lang w:val="en-US" w:eastAsia="zh-CN"/>
        </w:rPr>
        <w:t>7</w:t>
      </w:r>
      <w:r>
        <w:rPr>
          <w:rFonts w:hint="eastAsia" w:ascii="宋体" w:hAnsi="宋体" w:eastAsia="宋体" w:cs="宋体"/>
          <w:sz w:val="32"/>
          <w:szCs w:val="32"/>
        </w:rPr>
        <w:t>人。退休</w:t>
      </w:r>
      <w:r>
        <w:rPr>
          <w:rFonts w:hint="eastAsia" w:ascii="宋体" w:hAnsi="宋体" w:eastAsia="宋体" w:cs="宋体"/>
          <w:sz w:val="32"/>
          <w:szCs w:val="32"/>
          <w:lang w:eastAsia="zh-CN"/>
        </w:rPr>
        <w:t>干部</w:t>
      </w:r>
      <w:r>
        <w:rPr>
          <w:rFonts w:hint="eastAsia" w:ascii="宋体" w:hAnsi="宋体" w:eastAsia="宋体" w:cs="宋体"/>
          <w:sz w:val="32"/>
          <w:szCs w:val="32"/>
        </w:rPr>
        <w:t>1 人。</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二、部门财政资金收支情况</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（一）部门财政资金收入情况。</w:t>
      </w:r>
    </w:p>
    <w:p>
      <w:pPr>
        <w:spacing w:line="58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val="en-US" w:eastAsia="zh-CN"/>
        </w:rPr>
        <w:t>2018年</w:t>
      </w:r>
      <w:r>
        <w:rPr>
          <w:rFonts w:hint="eastAsia" w:ascii="宋体" w:hAnsi="宋体" w:eastAsia="宋体" w:cs="宋体"/>
          <w:sz w:val="32"/>
          <w:szCs w:val="32"/>
        </w:rPr>
        <w:t>全年财政拨款</w:t>
      </w:r>
      <w:r>
        <w:rPr>
          <w:rFonts w:hint="eastAsia" w:ascii="宋体" w:hAnsi="宋体" w:eastAsia="宋体" w:cs="宋体"/>
          <w:sz w:val="32"/>
          <w:szCs w:val="32"/>
          <w:lang w:val="en-US" w:eastAsia="zh-CN"/>
        </w:rPr>
        <w:t>3154530.4</w:t>
      </w:r>
      <w:r>
        <w:rPr>
          <w:rFonts w:hint="eastAsia" w:ascii="宋体" w:hAnsi="宋体" w:eastAsia="宋体" w:cs="宋体"/>
          <w:sz w:val="32"/>
          <w:szCs w:val="32"/>
        </w:rPr>
        <w:t>元，</w:t>
      </w:r>
      <w:r>
        <w:rPr>
          <w:rFonts w:hint="eastAsia" w:ascii="宋体" w:hAnsi="宋体" w:eastAsia="宋体" w:cs="宋体"/>
          <w:sz w:val="32"/>
          <w:szCs w:val="32"/>
          <w:lang w:eastAsia="zh-CN"/>
        </w:rPr>
        <w:t>上年</w:t>
      </w:r>
      <w:r>
        <w:rPr>
          <w:rFonts w:hint="eastAsia" w:ascii="宋体" w:hAnsi="宋体" w:eastAsia="宋体" w:cs="宋体"/>
          <w:sz w:val="32"/>
          <w:szCs w:val="32"/>
        </w:rPr>
        <w:t>财政应返还额度</w:t>
      </w:r>
      <w:r>
        <w:rPr>
          <w:rFonts w:hint="eastAsia" w:ascii="宋体" w:hAnsi="宋体" w:eastAsia="宋体" w:cs="宋体"/>
          <w:sz w:val="32"/>
          <w:szCs w:val="32"/>
          <w:lang w:val="en-US" w:eastAsia="zh-CN"/>
        </w:rPr>
        <w:t>1098026.42</w:t>
      </w:r>
      <w:r>
        <w:rPr>
          <w:rFonts w:hint="eastAsia" w:ascii="宋体" w:hAnsi="宋体" w:eastAsia="宋体" w:cs="宋体"/>
          <w:sz w:val="32"/>
          <w:szCs w:val="32"/>
        </w:rPr>
        <w:t>元，全年财政预算指标数</w:t>
      </w:r>
      <w:r>
        <w:rPr>
          <w:rFonts w:hint="eastAsia" w:ascii="宋体" w:hAnsi="宋体" w:eastAsia="宋体" w:cs="宋体"/>
          <w:sz w:val="32"/>
          <w:szCs w:val="32"/>
          <w:lang w:val="en-US" w:eastAsia="zh-CN"/>
        </w:rPr>
        <w:t>2092532</w:t>
      </w:r>
      <w:r>
        <w:rPr>
          <w:rFonts w:hint="eastAsia" w:ascii="宋体" w:hAnsi="宋体" w:eastAsia="宋体" w:cs="宋体"/>
          <w:sz w:val="32"/>
          <w:szCs w:val="32"/>
        </w:rPr>
        <w:t>.00元，年末累计财政应返还额度</w:t>
      </w:r>
      <w:r>
        <w:rPr>
          <w:rFonts w:hint="eastAsia" w:ascii="宋体" w:hAnsi="宋体" w:eastAsia="宋体" w:cs="宋体"/>
          <w:sz w:val="32"/>
          <w:szCs w:val="32"/>
          <w:lang w:val="en-US" w:eastAsia="zh-CN"/>
        </w:rPr>
        <w:t>36028.02</w:t>
      </w:r>
      <w:r>
        <w:rPr>
          <w:rFonts w:hint="eastAsia" w:ascii="宋体" w:hAnsi="宋体" w:eastAsia="宋体" w:cs="宋体"/>
          <w:sz w:val="32"/>
          <w:szCs w:val="32"/>
        </w:rPr>
        <w:t>元。全年财政拨款收入</w:t>
      </w:r>
      <w:r>
        <w:rPr>
          <w:rFonts w:hint="eastAsia" w:ascii="宋体" w:hAnsi="宋体" w:eastAsia="宋体" w:cs="宋体"/>
          <w:sz w:val="32"/>
          <w:szCs w:val="32"/>
          <w:lang w:val="en-US" w:eastAsia="zh-CN"/>
        </w:rPr>
        <w:t>2092532</w:t>
      </w:r>
      <w:r>
        <w:rPr>
          <w:rFonts w:hint="eastAsia" w:ascii="宋体" w:hAnsi="宋体" w:eastAsia="宋体" w:cs="宋体"/>
          <w:sz w:val="32"/>
          <w:szCs w:val="32"/>
        </w:rPr>
        <w:t>.00元</w:t>
      </w:r>
      <w:r>
        <w:rPr>
          <w:rFonts w:hint="eastAsia" w:ascii="宋体" w:hAnsi="宋体" w:eastAsia="宋体" w:cs="宋体"/>
          <w:sz w:val="32"/>
          <w:szCs w:val="32"/>
          <w:lang w:eastAsia="zh-CN"/>
        </w:rPr>
        <w:t>。</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（二）部门财政资金支出情况。本年支出</w:t>
      </w:r>
      <w:r>
        <w:rPr>
          <w:rFonts w:hint="eastAsia" w:ascii="宋体" w:hAnsi="宋体" w:eastAsia="宋体" w:cs="宋体"/>
          <w:sz w:val="32"/>
          <w:szCs w:val="32"/>
          <w:lang w:val="en-US" w:eastAsia="zh-CN"/>
        </w:rPr>
        <w:t>3154530.40</w:t>
      </w:r>
      <w:r>
        <w:rPr>
          <w:rFonts w:hint="eastAsia" w:ascii="宋体" w:hAnsi="宋体" w:eastAsia="宋体" w:cs="宋体"/>
          <w:sz w:val="32"/>
          <w:szCs w:val="32"/>
        </w:rPr>
        <w:t>元，其中：基本支出</w:t>
      </w:r>
      <w:r>
        <w:rPr>
          <w:rFonts w:hint="eastAsia" w:ascii="宋体" w:hAnsi="宋体" w:eastAsia="宋体" w:cs="宋体"/>
          <w:sz w:val="32"/>
          <w:szCs w:val="32"/>
          <w:lang w:val="en-US" w:eastAsia="zh-CN"/>
        </w:rPr>
        <w:t>1849215.98</w:t>
      </w:r>
      <w:r>
        <w:rPr>
          <w:rFonts w:hint="eastAsia" w:ascii="宋体" w:hAnsi="宋体" w:eastAsia="宋体" w:cs="宋体"/>
          <w:sz w:val="32"/>
          <w:szCs w:val="32"/>
        </w:rPr>
        <w:t>元（</w:t>
      </w:r>
      <w:r>
        <w:rPr>
          <w:rFonts w:hint="eastAsia" w:ascii="宋体" w:hAnsi="宋体" w:eastAsia="宋体" w:cs="宋体"/>
          <w:sz w:val="32"/>
          <w:szCs w:val="32"/>
          <w:lang w:eastAsia="zh-CN"/>
        </w:rPr>
        <w:t>基本</w:t>
      </w:r>
      <w:r>
        <w:rPr>
          <w:rFonts w:hint="eastAsia" w:ascii="宋体" w:hAnsi="宋体" w:eastAsia="宋体" w:cs="宋体"/>
          <w:sz w:val="32"/>
          <w:szCs w:val="32"/>
        </w:rPr>
        <w:t>养老保险缴费</w:t>
      </w:r>
      <w:r>
        <w:rPr>
          <w:rFonts w:hint="eastAsia" w:ascii="宋体" w:hAnsi="宋体" w:eastAsia="宋体" w:cs="宋体"/>
          <w:sz w:val="32"/>
          <w:szCs w:val="32"/>
          <w:lang w:val="en-US" w:eastAsia="zh-CN"/>
        </w:rPr>
        <w:t>189509</w:t>
      </w:r>
      <w:r>
        <w:rPr>
          <w:rFonts w:hint="eastAsia" w:ascii="宋体" w:hAnsi="宋体" w:eastAsia="宋体" w:cs="宋体"/>
          <w:sz w:val="32"/>
          <w:szCs w:val="32"/>
        </w:rPr>
        <w:t>.00元，医疗保障</w:t>
      </w:r>
      <w:r>
        <w:rPr>
          <w:rFonts w:hint="eastAsia" w:ascii="宋体" w:hAnsi="宋体" w:eastAsia="宋体" w:cs="宋体"/>
          <w:sz w:val="32"/>
          <w:szCs w:val="32"/>
          <w:lang w:eastAsia="zh-CN"/>
        </w:rPr>
        <w:t>缴</w:t>
      </w:r>
      <w:r>
        <w:rPr>
          <w:rFonts w:hint="eastAsia" w:ascii="宋体" w:hAnsi="宋体" w:eastAsia="宋体" w:cs="宋体"/>
          <w:sz w:val="32"/>
          <w:szCs w:val="32"/>
        </w:rPr>
        <w:t>费</w:t>
      </w:r>
      <w:r>
        <w:rPr>
          <w:rFonts w:hint="eastAsia" w:ascii="宋体" w:hAnsi="宋体" w:eastAsia="宋体" w:cs="宋体"/>
          <w:sz w:val="32"/>
          <w:szCs w:val="32"/>
          <w:lang w:val="en-US" w:eastAsia="zh-CN"/>
        </w:rPr>
        <w:t>70761</w:t>
      </w:r>
      <w:r>
        <w:rPr>
          <w:rFonts w:hint="eastAsia" w:ascii="宋体" w:hAnsi="宋体" w:eastAsia="宋体" w:cs="宋体"/>
          <w:sz w:val="32"/>
          <w:szCs w:val="32"/>
        </w:rPr>
        <w:t>.00元，水路运输行政运行</w:t>
      </w:r>
      <w:r>
        <w:rPr>
          <w:rFonts w:hint="eastAsia" w:ascii="宋体" w:hAnsi="宋体" w:eastAsia="宋体" w:cs="宋体"/>
          <w:sz w:val="32"/>
          <w:szCs w:val="32"/>
          <w:lang w:val="en-US" w:eastAsia="zh-CN"/>
        </w:rPr>
        <w:t>1478136.98</w:t>
      </w:r>
      <w:r>
        <w:rPr>
          <w:rFonts w:hint="eastAsia" w:ascii="宋体" w:hAnsi="宋体" w:eastAsia="宋体" w:cs="宋体"/>
          <w:sz w:val="32"/>
          <w:szCs w:val="32"/>
        </w:rPr>
        <w:t>元，住房公积金1</w:t>
      </w:r>
      <w:r>
        <w:rPr>
          <w:rFonts w:hint="eastAsia" w:ascii="宋体" w:hAnsi="宋体" w:eastAsia="宋体" w:cs="宋体"/>
          <w:sz w:val="32"/>
          <w:szCs w:val="32"/>
          <w:lang w:val="en-US" w:eastAsia="zh-CN"/>
        </w:rPr>
        <w:t>10808</w:t>
      </w:r>
      <w:r>
        <w:rPr>
          <w:rFonts w:hint="eastAsia" w:ascii="宋体" w:hAnsi="宋体" w:eastAsia="宋体" w:cs="宋体"/>
          <w:sz w:val="32"/>
          <w:szCs w:val="32"/>
        </w:rPr>
        <w:t>.00元），项目支出</w:t>
      </w:r>
      <w:r>
        <w:rPr>
          <w:rFonts w:hint="eastAsia" w:ascii="宋体" w:hAnsi="宋体" w:eastAsia="宋体" w:cs="宋体"/>
          <w:sz w:val="32"/>
          <w:szCs w:val="32"/>
          <w:lang w:val="en-US" w:eastAsia="zh-CN"/>
        </w:rPr>
        <w:t>1305314.42</w:t>
      </w:r>
      <w:r>
        <w:rPr>
          <w:rFonts w:hint="eastAsia" w:ascii="宋体" w:hAnsi="宋体" w:eastAsia="宋体" w:cs="宋体"/>
          <w:sz w:val="32"/>
          <w:szCs w:val="32"/>
        </w:rPr>
        <w:t>元（</w:t>
      </w:r>
      <w:r>
        <w:rPr>
          <w:rFonts w:hint="eastAsia" w:ascii="宋体" w:hAnsi="宋体" w:eastAsia="宋体" w:cs="宋体"/>
          <w:sz w:val="32"/>
          <w:szCs w:val="32"/>
          <w:lang w:eastAsia="zh-CN"/>
        </w:rPr>
        <w:t>非贫困村第一书记工作经费</w:t>
      </w:r>
      <w:r>
        <w:rPr>
          <w:rFonts w:hint="eastAsia" w:ascii="宋体" w:hAnsi="宋体" w:eastAsia="宋体" w:cs="宋体"/>
          <w:sz w:val="32"/>
          <w:szCs w:val="32"/>
          <w:lang w:val="en-US" w:eastAsia="zh-CN"/>
        </w:rPr>
        <w:t>5</w:t>
      </w:r>
      <w:r>
        <w:rPr>
          <w:rFonts w:hint="eastAsia" w:ascii="宋体" w:hAnsi="宋体" w:eastAsia="宋体" w:cs="宋体"/>
          <w:sz w:val="32"/>
          <w:szCs w:val="32"/>
        </w:rPr>
        <w:t>000.00元，</w:t>
      </w:r>
      <w:r>
        <w:rPr>
          <w:rFonts w:hint="eastAsia" w:ascii="宋体" w:hAnsi="宋体" w:eastAsia="宋体" w:cs="宋体"/>
          <w:sz w:val="32"/>
          <w:szCs w:val="32"/>
          <w:lang w:eastAsia="zh-CN"/>
        </w:rPr>
        <w:t>千斤滩、英家坡</w:t>
      </w:r>
      <w:r>
        <w:rPr>
          <w:rFonts w:hint="eastAsia" w:ascii="宋体" w:hAnsi="宋体" w:eastAsia="宋体" w:cs="宋体"/>
          <w:sz w:val="32"/>
          <w:szCs w:val="32"/>
        </w:rPr>
        <w:t>渡改桥建设</w:t>
      </w:r>
      <w:r>
        <w:rPr>
          <w:rFonts w:hint="eastAsia" w:ascii="宋体" w:hAnsi="宋体" w:eastAsia="宋体" w:cs="宋体"/>
          <w:sz w:val="32"/>
          <w:szCs w:val="32"/>
          <w:lang w:val="en-US" w:eastAsia="zh-CN"/>
        </w:rPr>
        <w:t>952880.42</w:t>
      </w:r>
      <w:r>
        <w:rPr>
          <w:rFonts w:hint="eastAsia" w:ascii="宋体" w:hAnsi="宋体" w:eastAsia="宋体" w:cs="宋体"/>
          <w:sz w:val="32"/>
          <w:szCs w:val="32"/>
        </w:rPr>
        <w:t>元，</w:t>
      </w:r>
      <w:r>
        <w:rPr>
          <w:rFonts w:hint="eastAsia" w:ascii="宋体" w:hAnsi="宋体" w:eastAsia="宋体" w:cs="宋体"/>
          <w:sz w:val="32"/>
          <w:szCs w:val="32"/>
          <w:lang w:eastAsia="zh-CN"/>
        </w:rPr>
        <w:t>海事</w:t>
      </w:r>
      <w:r>
        <w:rPr>
          <w:rFonts w:hint="eastAsia" w:ascii="宋体" w:hAnsi="宋体" w:eastAsia="宋体" w:cs="宋体"/>
          <w:sz w:val="32"/>
          <w:szCs w:val="32"/>
        </w:rPr>
        <w:t>管理</w:t>
      </w:r>
      <w:r>
        <w:rPr>
          <w:rFonts w:hint="eastAsia" w:ascii="宋体" w:hAnsi="宋体" w:eastAsia="宋体" w:cs="宋体"/>
          <w:sz w:val="32"/>
          <w:szCs w:val="32"/>
          <w:lang w:eastAsia="zh-CN"/>
        </w:rPr>
        <w:t>支出</w:t>
      </w:r>
      <w:r>
        <w:rPr>
          <w:rFonts w:hint="eastAsia" w:ascii="宋体" w:hAnsi="宋体" w:eastAsia="宋体" w:cs="宋体"/>
          <w:sz w:val="32"/>
          <w:szCs w:val="32"/>
          <w:lang w:val="en-US" w:eastAsia="zh-CN"/>
        </w:rPr>
        <w:t>140000.00</w:t>
      </w:r>
      <w:r>
        <w:rPr>
          <w:rFonts w:hint="eastAsia" w:ascii="宋体" w:hAnsi="宋体" w:eastAsia="宋体" w:cs="宋体"/>
          <w:sz w:val="32"/>
          <w:szCs w:val="32"/>
        </w:rPr>
        <w:t>元，</w:t>
      </w:r>
      <w:r>
        <w:rPr>
          <w:rFonts w:hint="eastAsia" w:ascii="宋体" w:hAnsi="宋体" w:eastAsia="宋体" w:cs="宋体"/>
          <w:sz w:val="32"/>
          <w:szCs w:val="32"/>
          <w:lang w:val="en-US" w:eastAsia="zh-CN"/>
        </w:rPr>
        <w:t>2014年、2016年及2017年水路石油价格财政补贴207434.00</w:t>
      </w:r>
      <w:r>
        <w:rPr>
          <w:rFonts w:hint="eastAsia" w:ascii="宋体" w:hAnsi="宋体" w:eastAsia="宋体" w:cs="宋体"/>
          <w:sz w:val="32"/>
          <w:szCs w:val="32"/>
        </w:rPr>
        <w:t>元）。</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三、部门整体预算绩效管理情况（根据适用指标体系进行调整）</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（一）部门预算管理。</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包括部门绩效目标制定、目标完成、预算编制准确、支出控制、预算动态调整、执行进度、预算完成情况和违规记录等情况。</w:t>
      </w:r>
    </w:p>
    <w:p>
      <w:pPr>
        <w:pStyle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四川省广元市利州区地方海事处绩效目标制定明确，目标完成情况较好，支出控制、预算动态调整严格按照要求执行，无违规记录。</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（二）专项预算管理。</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包括专项预算项目程序严密、规划合理、结果符合、分配科学、分配及时、专项预算绩效目标完成、实施绩效、违规记录等情况。</w:t>
      </w:r>
    </w:p>
    <w:p>
      <w:pPr>
        <w:pStyle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专项预算程序严格按照标准执行，规划合理，结果符合要求，分配科学及时专项预算绩效目标完成情况较好，实施绩效良好，无违规记录</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（三）结果应用情况。</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包括部门自评质量、绩效目标公开和自评公开、评价结果整改和应用结果反馈等情况。</w:t>
      </w:r>
    </w:p>
    <w:p>
      <w:pPr>
        <w:pStyle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根据综合绩效自评结果，我处严格按照预算全部要求完成绩效目标。</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四、评价结论及建议</w:t>
      </w:r>
    </w:p>
    <w:p>
      <w:pPr>
        <w:pStyle w:val="2"/>
        <w:rPr>
          <w:rFonts w:hint="eastAsia" w:ascii="宋体" w:hAnsi="宋体" w:eastAsia="宋体" w:cs="宋体"/>
          <w:sz w:val="32"/>
          <w:szCs w:val="32"/>
        </w:rPr>
      </w:pPr>
      <w:r>
        <w:rPr>
          <w:rFonts w:hint="eastAsia" w:ascii="宋体" w:hAnsi="宋体" w:eastAsia="宋体" w:cs="宋体"/>
          <w:sz w:val="32"/>
          <w:szCs w:val="32"/>
        </w:rPr>
        <w:t>（一）评价结论。</w:t>
      </w:r>
    </w:p>
    <w:p>
      <w:pPr>
        <w:pStyle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预算执行情况良好</w:t>
      </w:r>
    </w:p>
    <w:p>
      <w:pPr>
        <w:numPr>
          <w:ilvl w:val="0"/>
          <w:numId w:val="8"/>
        </w:num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存在问题。</w:t>
      </w:r>
    </w:p>
    <w:p>
      <w:pPr>
        <w:pStyle w:val="2"/>
        <w:numPr>
          <w:ilvl w:val="0"/>
          <w:numId w:val="0"/>
        </w:numPr>
        <w:ind w:left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项目进度未按照进度执行</w:t>
      </w:r>
    </w:p>
    <w:p>
      <w:pPr>
        <w:numPr>
          <w:ilvl w:val="0"/>
          <w:numId w:val="8"/>
        </w:numPr>
        <w:spacing w:line="580" w:lineRule="exact"/>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改进建议。</w:t>
      </w:r>
    </w:p>
    <w:p>
      <w:pPr>
        <w:pStyle w:val="2"/>
        <w:numPr>
          <w:ilvl w:val="0"/>
          <w:numId w:val="0"/>
        </w:numPr>
        <w:ind w:leftChars="200"/>
        <w:rPr>
          <w:rFonts w:hint="eastAsia" w:ascii="宋体" w:hAnsi="宋体" w:eastAsia="宋体" w:cs="宋体"/>
          <w:kern w:val="2"/>
          <w:sz w:val="32"/>
          <w:szCs w:val="32"/>
          <w:lang w:val="en-US" w:eastAsia="zh-CN" w:bidi="ar-SA"/>
        </w:rPr>
      </w:pPr>
      <w:r>
        <w:rPr>
          <w:rFonts w:hint="eastAsia" w:ascii="宋体" w:hAnsi="宋体" w:eastAsia="宋体" w:cs="宋体"/>
          <w:sz w:val="32"/>
          <w:szCs w:val="32"/>
          <w:lang w:val="en-US" w:eastAsia="zh-CN"/>
        </w:rPr>
        <w:t xml:space="preserve"> </w:t>
      </w:r>
      <w:r>
        <w:rPr>
          <w:rFonts w:hint="eastAsia" w:ascii="宋体" w:hAnsi="宋体" w:eastAsia="宋体" w:cs="宋体"/>
          <w:kern w:val="2"/>
          <w:sz w:val="32"/>
          <w:szCs w:val="32"/>
          <w:lang w:val="en-US" w:eastAsia="zh-CN" w:bidi="ar-SA"/>
        </w:rPr>
        <w:t>严格按照预算进度实施项目</w:t>
      </w:r>
    </w:p>
    <w:p>
      <w:pPr>
        <w:spacing w:line="580" w:lineRule="exact"/>
        <w:ind w:firstLine="640" w:firstLineChars="200"/>
        <w:rPr>
          <w:rFonts w:hint="eastAsia" w:ascii="宋体" w:hAnsi="宋体" w:eastAsia="宋体" w:cs="宋体"/>
          <w:sz w:val="32"/>
          <w:szCs w:val="32"/>
        </w:rPr>
      </w:pPr>
    </w:p>
    <w:p>
      <w:pPr>
        <w:widowControl/>
        <w:jc w:val="left"/>
        <w:rPr>
          <w:rFonts w:ascii="仿宋_GB2312" w:hAnsi="仿宋_GB2312" w:eastAsia="仿宋_GB2312" w:cs="仿宋_GB2312"/>
          <w:sz w:val="32"/>
          <w:szCs w:val="32"/>
        </w:rPr>
      </w:pPr>
      <w:r>
        <w:rPr>
          <w:rFonts w:hint="eastAsia" w:ascii="宋体" w:hAnsi="宋体" w:eastAsia="宋体" w:cs="宋体"/>
          <w:sz w:val="32"/>
          <w:szCs w:val="32"/>
        </w:rPr>
        <w:br w:type="page"/>
      </w:r>
    </w:p>
    <w:p>
      <w:pPr>
        <w:pStyle w:val="4"/>
        <w:rPr>
          <w:rStyle w:val="25"/>
          <w:rFonts w:ascii="仿宋" w:hAnsi="仿宋" w:eastAsia="仿宋"/>
          <w:b w:val="0"/>
          <w:bCs w:val="0"/>
          <w:sz w:val="32"/>
          <w:szCs w:val="32"/>
        </w:rPr>
      </w:pPr>
      <w:bookmarkStart w:id="78" w:name="_Toc17474"/>
      <w:r>
        <w:rPr>
          <w:rStyle w:val="25"/>
          <w:rFonts w:hint="eastAsia" w:ascii="仿宋" w:hAnsi="仿宋" w:eastAsia="仿宋"/>
          <w:b w:val="0"/>
          <w:bCs w:val="0"/>
          <w:sz w:val="32"/>
          <w:szCs w:val="32"/>
        </w:rPr>
        <w:t>附件2</w:t>
      </w:r>
      <w:bookmarkEnd w:id="78"/>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海事执法</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一是精心制订水上安全预警应急预案。结合我区水上工作实际，制定了《2018年冰冻雨雪灾害天气水上运输应急救援预案》、《2018年春运水路交通应急预案》、《2018年趸船防汛工作预案》、</w:t>
      </w:r>
      <w:r>
        <w:rPr>
          <w:rFonts w:hint="eastAsia" w:ascii="宋体" w:hAnsi="宋体" w:eastAsia="宋体" w:cs="宋体"/>
          <w:bCs/>
          <w:sz w:val="32"/>
          <w:szCs w:val="32"/>
        </w:rPr>
        <w:t>《2018年全区水上交通防汛抢险应急预案》及《扫黑除恶专项斗争工作方案》，确保水上安全监管有序推进。二</w:t>
      </w:r>
      <w:r>
        <w:rPr>
          <w:rFonts w:hint="eastAsia" w:ascii="宋体" w:hAnsi="宋体" w:eastAsia="宋体" w:cs="宋体"/>
          <w:sz w:val="32"/>
          <w:szCs w:val="32"/>
        </w:rPr>
        <w:t>是加强重点时段安全监管。认真抓好春运、“两会”、“清明”、“五一”、“端午”和“中秋”、“国庆”等重点时段、渡运高峰期、恶劣天气情况下重点船舶、重点航道的水上安全监管工作。三是排查并及时整治安全隐患。扎实开展水上交通执法大检查和安全隐患大排查，实行全覆盖，逐船逐点检查到位，整改到位。四是加强日常巡逻和巡查，严格水上执法，确保辖区水上安全。</w:t>
      </w:r>
      <w:r>
        <w:rPr>
          <w:rFonts w:hint="eastAsia" w:ascii="宋体" w:hAnsi="宋体" w:eastAsia="宋体" w:cs="宋体"/>
          <w:kern w:val="0"/>
          <w:sz w:val="32"/>
          <w:szCs w:val="32"/>
          <w:lang w:bidi="ar"/>
        </w:rPr>
        <w:t>全</w:t>
      </w:r>
      <w:r>
        <w:rPr>
          <w:rFonts w:hint="eastAsia" w:ascii="宋体" w:hAnsi="宋体" w:eastAsia="宋体" w:cs="宋体"/>
          <w:sz w:val="32"/>
          <w:szCs w:val="32"/>
        </w:rPr>
        <w:t>年，共安全检查240余次，出动检查车（艇）150艘次，参加检查人员</w:t>
      </w:r>
      <w:r>
        <w:rPr>
          <w:rFonts w:hint="eastAsia" w:ascii="宋体" w:hAnsi="宋体" w:eastAsia="宋体" w:cs="宋体"/>
          <w:sz w:val="32"/>
          <w:szCs w:val="32"/>
          <w:lang w:val="en-US" w:eastAsia="zh-CN"/>
        </w:rPr>
        <w:t>700</w:t>
      </w:r>
      <w:r>
        <w:rPr>
          <w:rFonts w:hint="eastAsia" w:ascii="宋体" w:hAnsi="宋体" w:eastAsia="宋体" w:cs="宋体"/>
          <w:sz w:val="32"/>
          <w:szCs w:val="32"/>
        </w:rPr>
        <w:t>余人</w:t>
      </w:r>
      <w:r>
        <w:rPr>
          <w:rFonts w:hint="eastAsia" w:ascii="宋体" w:hAnsi="宋体" w:eastAsia="宋体" w:cs="宋体"/>
          <w:sz w:val="32"/>
          <w:szCs w:val="32"/>
          <w:lang w:eastAsia="zh-CN"/>
        </w:rPr>
        <w:t>次</w:t>
      </w:r>
      <w:r>
        <w:rPr>
          <w:rFonts w:hint="eastAsia" w:ascii="宋体" w:hAnsi="宋体" w:eastAsia="宋体" w:cs="宋体"/>
          <w:sz w:val="32"/>
          <w:szCs w:val="32"/>
        </w:rPr>
        <w:t>，检查各类船舶</w:t>
      </w:r>
      <w:r>
        <w:rPr>
          <w:rFonts w:hint="eastAsia" w:ascii="宋体" w:hAnsi="宋体" w:eastAsia="宋体" w:cs="宋体"/>
          <w:sz w:val="32"/>
          <w:szCs w:val="32"/>
          <w:lang w:val="en-US" w:eastAsia="zh-CN"/>
        </w:rPr>
        <w:t>8</w:t>
      </w:r>
      <w:r>
        <w:rPr>
          <w:rFonts w:hint="eastAsia" w:ascii="宋体" w:hAnsi="宋体" w:eastAsia="宋体" w:cs="宋体"/>
          <w:sz w:val="32"/>
          <w:szCs w:val="32"/>
        </w:rPr>
        <w:t>00余艘，</w:t>
      </w:r>
      <w:r>
        <w:rPr>
          <w:rFonts w:hint="eastAsia" w:ascii="宋体" w:hAnsi="宋体" w:eastAsia="宋体" w:cs="宋体"/>
          <w:sz w:val="32"/>
          <w:szCs w:val="32"/>
          <w:lang w:eastAsia="zh-CN"/>
        </w:rPr>
        <w:t>现场检查</w:t>
      </w:r>
      <w:r>
        <w:rPr>
          <w:rFonts w:hint="eastAsia" w:ascii="宋体" w:hAnsi="宋体" w:eastAsia="宋体" w:cs="宋体"/>
          <w:sz w:val="32"/>
          <w:szCs w:val="32"/>
        </w:rPr>
        <w:t>发</w:t>
      </w:r>
      <w:r>
        <w:rPr>
          <w:rFonts w:hint="eastAsia" w:ascii="宋体" w:hAnsi="宋体" w:eastAsia="宋体" w:cs="宋体"/>
          <w:sz w:val="32"/>
          <w:szCs w:val="32"/>
          <w:lang w:eastAsia="zh-CN"/>
        </w:rPr>
        <w:t>现安全</w:t>
      </w:r>
      <w:r>
        <w:rPr>
          <w:rFonts w:hint="eastAsia" w:ascii="宋体" w:hAnsi="宋体" w:eastAsia="宋体" w:cs="宋体"/>
          <w:sz w:val="32"/>
          <w:szCs w:val="32"/>
        </w:rPr>
        <w:t>隐患</w:t>
      </w:r>
      <w:r>
        <w:rPr>
          <w:rFonts w:hint="eastAsia" w:ascii="宋体" w:hAnsi="宋体" w:eastAsia="宋体" w:cs="宋体"/>
          <w:sz w:val="32"/>
          <w:szCs w:val="32"/>
          <w:lang w:val="en-US" w:eastAsia="zh-CN"/>
        </w:rPr>
        <w:t>8</w:t>
      </w:r>
      <w:r>
        <w:rPr>
          <w:rFonts w:hint="eastAsia" w:ascii="宋体" w:hAnsi="宋体" w:eastAsia="宋体" w:cs="宋体"/>
          <w:sz w:val="32"/>
          <w:szCs w:val="32"/>
        </w:rPr>
        <w:t>起，现场整改</w:t>
      </w:r>
      <w:r>
        <w:rPr>
          <w:rFonts w:hint="eastAsia" w:ascii="宋体" w:hAnsi="宋体" w:eastAsia="宋体" w:cs="宋体"/>
          <w:sz w:val="32"/>
          <w:szCs w:val="32"/>
          <w:lang w:val="en-US" w:eastAsia="zh-CN"/>
        </w:rPr>
        <w:t>8</w:t>
      </w:r>
      <w:r>
        <w:rPr>
          <w:rFonts w:hint="eastAsia" w:ascii="宋体" w:hAnsi="宋体" w:eastAsia="宋体" w:cs="宋体"/>
          <w:sz w:val="32"/>
          <w:szCs w:val="32"/>
        </w:rPr>
        <w:t>起，悬挂安全标语13幅，环境整治标语10幅</w:t>
      </w:r>
      <w:r>
        <w:rPr>
          <w:rFonts w:hint="eastAsia" w:ascii="宋体" w:hAnsi="宋体" w:eastAsia="宋体" w:cs="宋体"/>
          <w:sz w:val="32"/>
          <w:szCs w:val="32"/>
          <w:lang w:eastAsia="zh-CN"/>
        </w:rPr>
        <w:t>，</w:t>
      </w:r>
      <w:r>
        <w:rPr>
          <w:rFonts w:hint="eastAsia" w:ascii="宋体" w:hAnsi="宋体" w:eastAsia="宋体" w:cs="宋体"/>
          <w:sz w:val="32"/>
          <w:szCs w:val="32"/>
        </w:rPr>
        <w:t>水源保护警示牌3幅</w:t>
      </w:r>
      <w:r>
        <w:rPr>
          <w:rFonts w:hint="eastAsia" w:ascii="宋体" w:hAnsi="宋体" w:eastAsia="宋体" w:cs="宋体"/>
          <w:sz w:val="32"/>
          <w:szCs w:val="32"/>
          <w:lang w:eastAsia="zh-CN"/>
        </w:rPr>
        <w:t>，</w:t>
      </w:r>
      <w:r>
        <w:rPr>
          <w:rFonts w:hint="eastAsia" w:ascii="宋体" w:hAnsi="宋体" w:eastAsia="宋体" w:cs="宋体"/>
          <w:sz w:val="32"/>
          <w:szCs w:val="32"/>
        </w:rPr>
        <w:t>安全宣传展板3幅</w:t>
      </w:r>
      <w:r>
        <w:rPr>
          <w:rFonts w:hint="eastAsia" w:ascii="宋体" w:hAnsi="宋体" w:eastAsia="宋体" w:cs="宋体"/>
          <w:sz w:val="32"/>
          <w:szCs w:val="32"/>
          <w:lang w:eastAsia="zh-CN"/>
        </w:rPr>
        <w:t>，</w:t>
      </w:r>
      <w:r>
        <w:rPr>
          <w:rFonts w:hint="eastAsia" w:ascii="宋体" w:hAnsi="宋体" w:eastAsia="宋体" w:cs="宋体"/>
          <w:sz w:val="32"/>
          <w:szCs w:val="32"/>
        </w:rPr>
        <w:t>安全风险源管控1幅，发放</w:t>
      </w:r>
      <w:r>
        <w:rPr>
          <w:rFonts w:hint="eastAsia" w:ascii="宋体" w:hAnsi="宋体" w:eastAsia="宋体" w:cs="宋体"/>
          <w:sz w:val="32"/>
          <w:szCs w:val="32"/>
          <w:lang w:eastAsia="zh-CN"/>
        </w:rPr>
        <w:t>水上交通</w:t>
      </w:r>
      <w:r>
        <w:rPr>
          <w:rFonts w:hint="eastAsia" w:ascii="宋体" w:hAnsi="宋体" w:eastAsia="宋体" w:cs="宋体"/>
          <w:sz w:val="32"/>
          <w:szCs w:val="32"/>
        </w:rPr>
        <w:t>安全宣传资料600余份，为群众提供法律咨询服务7余人次。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（一）评价结论（包括项目评价得分表）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引导群众不坐违章船，树立平安出行的安全理念，严防溺水事故发生，保障水上交通安全。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pStyle w:val="2"/>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本项目是保障水上交通安全执法宣传、检查车辆、快艇用油和维修、维护费，不断提高民众水上安全意识，杜绝水上安全事故发生，促进我区旅游业和水上运输业的需要。</w:t>
      </w:r>
    </w:p>
    <w:p>
      <w:pPr>
        <w:pStyle w:val="2"/>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可行性方面一是领导高度重视，二是组织机构健全，三是国家及地方大力支持，四是政府高度重视水上交通安全，六是群众平安出行意识提高。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w:t>
      </w:r>
      <w:r>
        <w:rPr>
          <w:rFonts w:hint="eastAsia" w:ascii="仿宋" w:hAnsi="仿宋" w:eastAsia="仿宋" w:cs="仿宋_GB2312"/>
          <w:sz w:val="32"/>
          <w:szCs w:val="32"/>
          <w:lang w:eastAsia="zh-CN"/>
        </w:rPr>
        <w:t>，</w:t>
      </w:r>
      <w:r>
        <w:rPr>
          <w:rFonts w:ascii="仿宋" w:hAnsi="仿宋" w:eastAsia="仿宋" w:cs="仿宋_GB2312"/>
          <w:sz w:val="32"/>
          <w:szCs w:val="32"/>
        </w:rPr>
        <w:t>资金使用情况（项目、资金管理的科学规范性）</w:t>
      </w:r>
    </w:p>
    <w:p>
      <w:pPr>
        <w:pStyle w:val="2"/>
        <w:rPr>
          <w:rFonts w:hint="eastAsia" w:eastAsia="仿宋"/>
          <w:lang w:eastAsia="zh-CN"/>
        </w:rPr>
      </w:pPr>
      <w:r>
        <w:rPr>
          <w:rFonts w:hint="eastAsia" w:eastAsia="仿宋"/>
          <w:lang w:eastAsia="zh-CN"/>
        </w:rPr>
        <w:t>海事执法快艇、车辆燃油费投入</w:t>
      </w:r>
      <w:r>
        <w:rPr>
          <w:rFonts w:hint="eastAsia" w:eastAsia="仿宋"/>
          <w:lang w:val="en-US" w:eastAsia="zh-CN"/>
        </w:rPr>
        <w:t>5万元，</w:t>
      </w:r>
      <w:r>
        <w:rPr>
          <w:rFonts w:hint="eastAsia" w:eastAsia="仿宋"/>
          <w:lang w:eastAsia="zh-CN"/>
        </w:rPr>
        <w:t>海事执法快艇、车辆维修费投入</w:t>
      </w:r>
      <w:r>
        <w:rPr>
          <w:rFonts w:hint="eastAsia" w:eastAsia="仿宋"/>
          <w:lang w:val="en-US" w:eastAsia="zh-CN"/>
        </w:rPr>
        <w:t>5万元，执法安全宣传费用投入2万元。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ind w:firstLine="640" w:firstLineChars="200"/>
        <w:rPr>
          <w:rFonts w:hint="eastAsia" w:ascii="仿宋_GB2312" w:hAnsi="仿宋_GB2312" w:eastAsia="仿宋_GB2312" w:cs="仿宋_GB2312"/>
          <w:sz w:val="32"/>
          <w:szCs w:val="32"/>
        </w:rPr>
      </w:pPr>
      <w:r>
        <w:rPr>
          <w:rFonts w:hint="eastAsia" w:asciiTheme="minorEastAsia" w:hAnsiTheme="minorEastAsia" w:eastAsiaTheme="minorEastAsia" w:cstheme="minorEastAsia"/>
          <w:color w:val="000000"/>
          <w:sz w:val="32"/>
          <w:szCs w:val="32"/>
          <w:lang w:eastAsia="zh-CN"/>
        </w:rPr>
        <w:t>散发水上交通安全</w:t>
      </w:r>
      <w:r>
        <w:rPr>
          <w:rFonts w:hint="eastAsia" w:asciiTheme="minorEastAsia" w:hAnsiTheme="minorEastAsia" w:eastAsiaTheme="minorEastAsia" w:cstheme="minorEastAsia"/>
          <w:sz w:val="32"/>
          <w:szCs w:val="32"/>
        </w:rPr>
        <w:t>宣传资料3000余份、宣传册220余册</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color w:val="000000"/>
          <w:sz w:val="32"/>
          <w:szCs w:val="32"/>
          <w:lang w:eastAsia="zh-CN"/>
        </w:rPr>
        <w:t>树立平安出行的安全理念</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全年</w:t>
      </w:r>
      <w:r>
        <w:rPr>
          <w:rFonts w:hint="eastAsia" w:asciiTheme="minorEastAsia" w:hAnsiTheme="minorEastAsia" w:eastAsiaTheme="minorEastAsia" w:cstheme="minorEastAsia"/>
          <w:sz w:val="32"/>
          <w:szCs w:val="32"/>
        </w:rPr>
        <w:t>共安全检查240余次，出动检查车（艇）150艘次，参加检查人员</w:t>
      </w:r>
      <w:r>
        <w:rPr>
          <w:rFonts w:hint="eastAsia" w:asciiTheme="minorEastAsia" w:hAnsiTheme="minorEastAsia" w:eastAsiaTheme="minorEastAsia" w:cstheme="minorEastAsia"/>
          <w:sz w:val="32"/>
          <w:szCs w:val="32"/>
          <w:lang w:val="en-US" w:eastAsia="zh-CN"/>
        </w:rPr>
        <w:t>700</w:t>
      </w:r>
      <w:r>
        <w:rPr>
          <w:rFonts w:hint="eastAsia" w:asciiTheme="minorEastAsia" w:hAnsiTheme="minorEastAsia" w:eastAsiaTheme="minorEastAsia" w:cstheme="minorEastAsia"/>
          <w:sz w:val="32"/>
          <w:szCs w:val="32"/>
        </w:rPr>
        <w:t>余人</w:t>
      </w:r>
      <w:r>
        <w:rPr>
          <w:rFonts w:hint="eastAsia" w:asciiTheme="minorEastAsia" w:hAnsiTheme="minorEastAsia" w:eastAsiaTheme="minorEastAsia" w:cstheme="minorEastAsia"/>
          <w:sz w:val="32"/>
          <w:szCs w:val="32"/>
          <w:lang w:eastAsia="zh-CN"/>
        </w:rPr>
        <w:t>次</w:t>
      </w:r>
      <w:r>
        <w:rPr>
          <w:rFonts w:hint="eastAsia" w:asciiTheme="minorEastAsia" w:hAnsiTheme="minorEastAsia" w:eastAsiaTheme="minorEastAsia" w:cstheme="minorEastAsia"/>
          <w:sz w:val="32"/>
          <w:szCs w:val="32"/>
        </w:rPr>
        <w:t>，检查各类船舶</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00余艘，</w:t>
      </w:r>
      <w:r>
        <w:rPr>
          <w:rFonts w:hint="eastAsia" w:asciiTheme="minorEastAsia" w:hAnsiTheme="minorEastAsia" w:eastAsiaTheme="minorEastAsia" w:cstheme="minorEastAsia"/>
          <w:sz w:val="32"/>
          <w:szCs w:val="32"/>
          <w:lang w:eastAsia="zh-CN"/>
        </w:rPr>
        <w:t>现场检查</w:t>
      </w:r>
      <w:r>
        <w:rPr>
          <w:rFonts w:hint="eastAsia" w:asciiTheme="minorEastAsia" w:hAnsiTheme="minorEastAsia" w:eastAsiaTheme="minorEastAsia" w:cstheme="minorEastAsia"/>
          <w:sz w:val="32"/>
          <w:szCs w:val="32"/>
        </w:rPr>
        <w:t>发</w:t>
      </w:r>
      <w:r>
        <w:rPr>
          <w:rFonts w:hint="eastAsia" w:asciiTheme="minorEastAsia" w:hAnsiTheme="minorEastAsia" w:eastAsiaTheme="minorEastAsia" w:cstheme="minorEastAsia"/>
          <w:sz w:val="32"/>
          <w:szCs w:val="32"/>
          <w:lang w:eastAsia="zh-CN"/>
        </w:rPr>
        <w:t>现安全</w:t>
      </w:r>
      <w:r>
        <w:rPr>
          <w:rFonts w:hint="eastAsia" w:asciiTheme="minorEastAsia" w:hAnsiTheme="minorEastAsia" w:eastAsiaTheme="minorEastAsia" w:cstheme="minorEastAsia"/>
          <w:sz w:val="32"/>
          <w:szCs w:val="32"/>
        </w:rPr>
        <w:t>隐患</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起，现场整改</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起，悬挂安全标语13幅，环境整治标语10幅</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水源保护警示牌3幅</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安全宣传展板3幅</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安全风险源管控1幅，发放</w:t>
      </w:r>
      <w:r>
        <w:rPr>
          <w:rFonts w:hint="eastAsia" w:asciiTheme="minorEastAsia" w:hAnsiTheme="minorEastAsia" w:eastAsiaTheme="minorEastAsia" w:cstheme="minorEastAsia"/>
          <w:sz w:val="32"/>
          <w:szCs w:val="32"/>
          <w:lang w:eastAsia="zh-CN"/>
        </w:rPr>
        <w:t>水上交通</w:t>
      </w:r>
      <w:r>
        <w:rPr>
          <w:rFonts w:hint="eastAsia" w:asciiTheme="minorEastAsia" w:hAnsiTheme="minorEastAsia" w:eastAsiaTheme="minorEastAsia" w:cstheme="minorEastAsia"/>
          <w:sz w:val="32"/>
          <w:szCs w:val="32"/>
        </w:rPr>
        <w:t>安全宣传资料600余份，为群众提供法律咨询服务7余人次。</w:t>
      </w:r>
      <w:r>
        <w:rPr>
          <w:rFonts w:hint="eastAsia" w:asciiTheme="minorEastAsia" w:hAnsiTheme="minorEastAsia" w:eastAsiaTheme="minorEastAsia" w:cstheme="minorEastAsia"/>
          <w:sz w:val="32"/>
          <w:szCs w:val="32"/>
          <w:lang w:eastAsia="zh-CN"/>
        </w:rPr>
        <w:t>民众安全意识得到提高，严防了溺水事故，保障了全区水上交通安全，得到了过渡群众好评。</w:t>
      </w:r>
    </w:p>
    <w:p>
      <w:pPr>
        <w:numPr>
          <w:ilvl w:val="0"/>
          <w:numId w:val="9"/>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存在主要问题</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Theme="majorEastAsia" w:hAnsiTheme="majorEastAsia" w:eastAsiaTheme="majorEastAsia" w:cstheme="majorEastAsia"/>
          <w:sz w:val="32"/>
          <w:szCs w:val="32"/>
          <w:lang w:val="en-US" w:eastAsia="zh-CN"/>
        </w:rPr>
        <w:t>海事</w:t>
      </w:r>
      <w:r>
        <w:rPr>
          <w:rFonts w:hint="eastAsia" w:asciiTheme="majorEastAsia" w:hAnsiTheme="majorEastAsia" w:eastAsiaTheme="majorEastAsia" w:cstheme="majorEastAsia"/>
          <w:sz w:val="32"/>
          <w:szCs w:val="32"/>
          <w:lang w:eastAsia="zh-CN"/>
        </w:rPr>
        <w:t>执法力需进一步加大</w:t>
      </w:r>
      <w:r>
        <w:rPr>
          <w:rFonts w:hint="eastAsia" w:asciiTheme="majorEastAsia" w:hAnsiTheme="majorEastAsia" w:eastAsiaTheme="majorEastAsia" w:cstheme="majorEastAsia"/>
          <w:sz w:val="32"/>
          <w:szCs w:val="32"/>
        </w:rPr>
        <w:t>。</w:t>
      </w:r>
    </w:p>
    <w:p>
      <w:pPr>
        <w:numPr>
          <w:ilvl w:val="0"/>
          <w:numId w:val="9"/>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相关措施建议</w:t>
      </w:r>
    </w:p>
    <w:p>
      <w:pPr>
        <w:numPr>
          <w:ilvl w:val="0"/>
          <w:numId w:val="0"/>
        </w:num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加强业务学习，提升海事航务船检执法力。</w:t>
      </w:r>
    </w:p>
    <w:p>
      <w:pPr>
        <w:pStyle w:val="2"/>
        <w:numPr>
          <w:ilvl w:val="0"/>
          <w:numId w:val="0"/>
        </w:numPr>
        <w:rPr>
          <w:rFonts w:hint="eastAsia" w:eastAsia="仿宋_GB2312"/>
          <w:lang w:val="en-US" w:eastAsia="zh-CN"/>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水上安全应急及隐患排查</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numPr>
          <w:ilvl w:val="0"/>
          <w:numId w:val="10"/>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评价工作开展及项目情况</w:t>
      </w:r>
    </w:p>
    <w:p>
      <w:pPr>
        <w:tabs>
          <w:tab w:val="left" w:pos="1127"/>
        </w:tabs>
        <w:ind w:firstLine="800" w:firstLineChars="25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切实加强防汛组织领导，明确任务，落实责任，成立汛期水上交通防汛抢险领导小组，检查和督促各有船乡镇、辖区航运企业、船舶所有人防汛预案的落实，防汛人员、物资和车船的准备，备齐备足抢险应急物质及器材，确保关键时刻救灾物资及时到位；在紫兰湖组织开展水上交通突发事件的应急救援训练，公布了防汛值班电话（3241555）和海事求助电话12395，为今年汛期船舶安全度汛奠定了坚实的基础。</w:t>
      </w:r>
    </w:p>
    <w:p>
      <w:pPr>
        <w:tabs>
          <w:tab w:val="left" w:pos="1127"/>
        </w:tabs>
        <w:ind w:firstLine="800" w:firstLineChars="250"/>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扎实开展了辖区水上交通防汛大检查、大执法、大整改、大落实和隐患再排查，逐船逐点都清查到位，逐船落实安全泊位，督促船舶所有人、经营人制定切实有效的防汛预案，明确工作职责及工作任务。在嘉陵江流域和金洞渡口选择合理的位置新建高、中、低防洪桩20处，为船舶安全度汛提供了保障。</w:t>
      </w:r>
    </w:p>
    <w:p>
      <w:pPr>
        <w:tabs>
          <w:tab w:val="left" w:pos="1127"/>
        </w:tabs>
        <w:ind w:firstLine="800" w:firstLineChars="250"/>
        <w:rPr>
          <w:rFonts w:hint="eastAsia" w:ascii="宋体" w:hAnsi="宋体" w:eastAsia="宋体" w:cs="宋体"/>
          <w:sz w:val="32"/>
          <w:szCs w:val="32"/>
          <w:lang w:eastAsia="zh-CN"/>
        </w:rPr>
      </w:pPr>
      <w:r>
        <w:rPr>
          <w:rFonts w:hint="eastAsia" w:ascii="宋体" w:hAnsi="宋体" w:eastAsia="宋体" w:cs="宋体"/>
          <w:sz w:val="32"/>
          <w:szCs w:val="32"/>
          <w:lang w:val="en-US" w:eastAsia="zh-CN"/>
        </w:rPr>
        <w:t>3、</w:t>
      </w:r>
      <w:r>
        <w:rPr>
          <w:rFonts w:hint="eastAsia" w:ascii="宋体" w:hAnsi="宋体" w:eastAsia="宋体" w:cs="宋体"/>
          <w:sz w:val="32"/>
          <w:szCs w:val="32"/>
        </w:rPr>
        <w:t>汛期严格执行领导带班和24小时值班制度，及时同各防汛部门沟通联系，及时掌握辖区的水情、汛情、雨情和水流等情况，充分利用微信、短信、超级信使平台及时有效传递各种防汛预报信息；严格执行客渡船停航封渡、减载和“六不发航”等规章制度，坚决执行救生衣“两个100%”穿戴；汛期洪峰过境期间，海事处全体职工全部昼夜坚</w:t>
      </w:r>
      <w:r>
        <w:rPr>
          <w:rFonts w:hint="eastAsia" w:ascii="宋体" w:hAnsi="宋体" w:eastAsia="宋体" w:cs="宋体"/>
          <w:sz w:val="32"/>
          <w:szCs w:val="32"/>
          <w:lang w:eastAsia="zh-CN"/>
        </w:rPr>
        <w:t>守</w:t>
      </w:r>
      <w:r>
        <w:rPr>
          <w:rFonts w:hint="eastAsia" w:ascii="宋体" w:hAnsi="宋体" w:eastAsia="宋体" w:cs="宋体"/>
          <w:sz w:val="32"/>
          <w:szCs w:val="32"/>
        </w:rPr>
        <w:t>在抗洪抢险第一线，及时巡逻查看水情，合理调配力量，加固船舶缆绳，确保了今年在几十年不遇的大洪水</w:t>
      </w:r>
      <w:r>
        <w:rPr>
          <w:rFonts w:hint="eastAsia" w:ascii="宋体" w:hAnsi="宋体" w:eastAsia="宋体" w:cs="宋体"/>
          <w:sz w:val="32"/>
          <w:szCs w:val="32"/>
          <w:lang w:eastAsia="zh-CN"/>
        </w:rPr>
        <w:t>前</w:t>
      </w:r>
      <w:r>
        <w:rPr>
          <w:rFonts w:hint="eastAsia" w:ascii="宋体" w:hAnsi="宋体" w:eastAsia="宋体" w:cs="宋体"/>
          <w:sz w:val="32"/>
          <w:szCs w:val="32"/>
        </w:rPr>
        <w:t>船舶实现了安全度汛，并出动海事船艇配合区</w:t>
      </w:r>
      <w:r>
        <w:rPr>
          <w:rFonts w:hint="eastAsia" w:ascii="宋体" w:hAnsi="宋体" w:eastAsia="宋体" w:cs="宋体"/>
          <w:sz w:val="32"/>
          <w:szCs w:val="32"/>
          <w:lang w:eastAsia="zh-CN"/>
        </w:rPr>
        <w:t>级</w:t>
      </w:r>
      <w:r>
        <w:rPr>
          <w:rFonts w:hint="eastAsia" w:ascii="宋体" w:hAnsi="宋体" w:eastAsia="宋体" w:cs="宋体"/>
          <w:sz w:val="32"/>
          <w:szCs w:val="32"/>
        </w:rPr>
        <w:t>相关部门对白龙湖、紫兰湖、栖凤湖湖面垃圾进行清理打捞，及时排除航道安全隐患</w:t>
      </w:r>
      <w:r>
        <w:rPr>
          <w:rFonts w:hint="eastAsia" w:ascii="宋体" w:hAnsi="宋体" w:eastAsia="宋体" w:cs="宋体"/>
          <w:sz w:val="32"/>
          <w:szCs w:val="32"/>
          <w:lang w:eastAsia="zh-CN"/>
        </w:rPr>
        <w:t>，确保航道畅通。</w:t>
      </w:r>
    </w:p>
    <w:p>
      <w:pPr>
        <w:ind w:firstLine="633" w:firstLineChars="198"/>
        <w:rPr>
          <w:rFonts w:hint="eastAsia" w:ascii="宋体" w:hAnsi="宋体" w:eastAsia="宋体" w:cs="宋体"/>
          <w:bCs/>
          <w:kern w:val="0"/>
          <w:sz w:val="32"/>
          <w:szCs w:val="32"/>
        </w:rPr>
      </w:pPr>
      <w:r>
        <w:rPr>
          <w:rFonts w:hint="eastAsia" w:ascii="宋体" w:hAnsi="宋体" w:eastAsia="宋体" w:cs="宋体"/>
          <w:bCs/>
          <w:color w:val="000000"/>
          <w:sz w:val="32"/>
          <w:szCs w:val="32"/>
          <w:lang w:val="en-US" w:eastAsia="zh-CN"/>
        </w:rPr>
        <w:t>4、</w:t>
      </w:r>
      <w:r>
        <w:rPr>
          <w:rFonts w:hint="eastAsia" w:ascii="宋体" w:hAnsi="宋体" w:eastAsia="宋体" w:cs="宋体"/>
          <w:bCs/>
          <w:kern w:val="0"/>
          <w:sz w:val="32"/>
          <w:szCs w:val="32"/>
        </w:rPr>
        <w:t>加强船舶管理</w:t>
      </w:r>
      <w:r>
        <w:rPr>
          <w:rFonts w:hint="eastAsia" w:ascii="宋体" w:hAnsi="宋体" w:eastAsia="宋体" w:cs="宋体"/>
          <w:bCs/>
          <w:kern w:val="0"/>
          <w:sz w:val="32"/>
          <w:szCs w:val="32"/>
          <w:lang w:eastAsia="zh-CN"/>
        </w:rPr>
        <w:t>，</w:t>
      </w:r>
      <w:r>
        <w:rPr>
          <w:rFonts w:hint="eastAsia" w:ascii="宋体" w:hAnsi="宋体" w:eastAsia="宋体" w:cs="宋体"/>
          <w:bCs/>
          <w:kern w:val="0"/>
          <w:sz w:val="32"/>
          <w:szCs w:val="32"/>
        </w:rPr>
        <w:t>规范水路运输市场</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一是因辖区内营运船舶数量减少关系，今年共检验营运船舶</w:t>
      </w:r>
      <w:r>
        <w:rPr>
          <w:rFonts w:hint="eastAsia" w:ascii="宋体" w:hAnsi="宋体" w:eastAsia="宋体" w:cs="宋体"/>
          <w:sz w:val="32"/>
          <w:szCs w:val="32"/>
          <w:lang w:val="en-US" w:eastAsia="zh-CN"/>
        </w:rPr>
        <w:t>6</w:t>
      </w:r>
      <w:r>
        <w:rPr>
          <w:rFonts w:hint="eastAsia" w:ascii="宋体" w:hAnsi="宋体" w:eastAsia="宋体" w:cs="宋体"/>
          <w:sz w:val="32"/>
          <w:szCs w:val="32"/>
        </w:rPr>
        <w:t>艘（次），同时对菖溪河200余艘漂流艇进行了年度认证。共整理、归档了船检档案</w:t>
      </w:r>
      <w:r>
        <w:rPr>
          <w:rFonts w:hint="eastAsia" w:ascii="宋体" w:hAnsi="宋体" w:eastAsia="宋体" w:cs="宋体"/>
          <w:sz w:val="32"/>
          <w:szCs w:val="32"/>
          <w:lang w:val="en-US" w:eastAsia="zh-CN"/>
        </w:rPr>
        <w:t>6</w:t>
      </w:r>
      <w:r>
        <w:rPr>
          <w:rFonts w:hint="eastAsia" w:ascii="宋体" w:hAnsi="宋体" w:eastAsia="宋体" w:cs="宋体"/>
          <w:sz w:val="32"/>
          <w:szCs w:val="32"/>
        </w:rPr>
        <w:t>份，检验数据均在省船检系统、市海事网络平台上进行了更新，确保了申请检验的船舶适航。二是</w:t>
      </w:r>
      <w:r>
        <w:rPr>
          <w:rFonts w:hint="eastAsia" w:ascii="宋体" w:hAnsi="宋体" w:eastAsia="宋体" w:cs="宋体"/>
          <w:sz w:val="32"/>
          <w:szCs w:val="32"/>
          <w:lang w:eastAsia="zh-CN"/>
        </w:rPr>
        <w:t>进一步规范辖区运输船舶，核查了运输船舶实有数，确保数据和信息准确，共撤解证书过期搁置船舶</w:t>
      </w:r>
      <w:r>
        <w:rPr>
          <w:rFonts w:hint="eastAsia" w:ascii="宋体" w:hAnsi="宋体" w:eastAsia="宋体" w:cs="宋体"/>
          <w:sz w:val="32"/>
          <w:szCs w:val="32"/>
          <w:lang w:val="en-US" w:eastAsia="zh-CN"/>
        </w:rPr>
        <w:t>60艘。</w:t>
      </w:r>
      <w:r>
        <w:rPr>
          <w:rFonts w:hint="eastAsia" w:ascii="宋体" w:hAnsi="宋体" w:eastAsia="宋体" w:cs="宋体"/>
          <w:sz w:val="32"/>
          <w:szCs w:val="32"/>
        </w:rPr>
        <w:t>三是完成辖区水路运输</w:t>
      </w:r>
      <w:r>
        <w:rPr>
          <w:rFonts w:hint="eastAsia" w:ascii="宋体" w:hAnsi="宋体" w:eastAsia="宋体" w:cs="宋体"/>
          <w:sz w:val="32"/>
          <w:szCs w:val="32"/>
          <w:lang w:eastAsia="zh-CN"/>
        </w:rPr>
        <w:t>企业</w:t>
      </w:r>
      <w:r>
        <w:rPr>
          <w:rFonts w:hint="eastAsia" w:ascii="宋体" w:hAnsi="宋体" w:eastAsia="宋体" w:cs="宋体"/>
          <w:sz w:val="32"/>
          <w:szCs w:val="32"/>
        </w:rPr>
        <w:t>核查工作，共核查企业2个，运输船舶10艘；四是在金洞码头设立了“非洲猪瘟”水上运输检查点，实现了健康水运；五是结合水上</w:t>
      </w:r>
      <w:r>
        <w:rPr>
          <w:rFonts w:hint="eastAsia" w:ascii="宋体" w:hAnsi="宋体" w:cs="宋体"/>
          <w:sz w:val="32"/>
          <w:szCs w:val="32"/>
          <w:lang w:eastAsia="zh-CN"/>
        </w:rPr>
        <w:t>扫黑除恶专项斗争</w:t>
      </w:r>
      <w:r>
        <w:rPr>
          <w:rFonts w:hint="eastAsia" w:ascii="宋体" w:hAnsi="宋体" w:eastAsia="宋体" w:cs="宋体"/>
          <w:sz w:val="32"/>
          <w:szCs w:val="32"/>
        </w:rPr>
        <w:t>的开展，保障了水路运输市场的规范和有序。</w:t>
      </w:r>
      <w:r>
        <w:rPr>
          <w:rFonts w:hint="eastAsia" w:ascii="宋体" w:hAnsi="宋体" w:eastAsia="宋体" w:cs="宋体"/>
          <w:kern w:val="0"/>
          <w:sz w:val="32"/>
          <w:szCs w:val="32"/>
        </w:rPr>
        <w:t>全年，完成水路旅客运输量12万人次，旅客周转量144万人公里，货运量61万吨，货运周转量72万吨公里</w:t>
      </w:r>
      <w:r>
        <w:rPr>
          <w:rFonts w:hint="eastAsia" w:ascii="宋体" w:hAnsi="宋体" w:eastAsia="宋体" w:cs="宋体"/>
          <w:sz w:val="32"/>
          <w:szCs w:val="32"/>
        </w:rPr>
        <w:t>（由于辖区运沙驳船全部撤解，货运量比去年同期大幅降低）。</w:t>
      </w:r>
    </w:p>
    <w:p>
      <w:pPr>
        <w:pStyle w:val="2"/>
        <w:numPr>
          <w:ilvl w:val="0"/>
          <w:numId w:val="0"/>
        </w:numPr>
        <w:rPr>
          <w:rFonts w:hint="eastAsia" w:ascii="宋体" w:hAnsi="宋体" w:eastAsia="宋体" w:cs="宋体"/>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（一）评价结论（包括项目评价得分表）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水上安全救援工作及时有效，程序规范，船只泊位系固牢靠，救生设备运行良好，促进我区旅游业和水上运输业发展，增加收入渠道，方便群众，确保水上出行安全。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pStyle w:val="2"/>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本项目是保障水上交通安全应急救援，航道通畅通，船舶安全救生设备良好执法宣传、检查车辆、快艇用油和维修、维护费，不断提高民众水上安全意识，杜绝水上安全事故发生，促进我区旅游业和水上运输业的发展。</w:t>
      </w:r>
    </w:p>
    <w:p>
      <w:pPr>
        <w:pStyle w:val="2"/>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可行性方面一是领导高度重视，二是组织机构健全，三是国家及地方大力支持，四是政府高度重视水上交通安全，六是群众平安出行意识提高。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w:t>
      </w:r>
      <w:r>
        <w:rPr>
          <w:rFonts w:hint="eastAsia" w:ascii="仿宋" w:hAnsi="仿宋" w:eastAsia="仿宋" w:cs="仿宋_GB2312"/>
          <w:sz w:val="32"/>
          <w:szCs w:val="32"/>
          <w:lang w:eastAsia="zh-CN"/>
        </w:rPr>
        <w:t>，</w:t>
      </w:r>
      <w:r>
        <w:rPr>
          <w:rFonts w:ascii="仿宋" w:hAnsi="仿宋" w:eastAsia="仿宋" w:cs="仿宋_GB2312"/>
          <w:sz w:val="32"/>
          <w:szCs w:val="32"/>
        </w:rPr>
        <w:t>资金使用情况（项目、资金管理的科学规范性）</w:t>
      </w:r>
    </w:p>
    <w:p>
      <w:pPr>
        <w:pStyle w:val="2"/>
        <w:rPr>
          <w:rFonts w:hint="eastAsia" w:eastAsia="仿宋"/>
          <w:lang w:eastAsia="zh-CN"/>
        </w:rPr>
      </w:pPr>
      <w:r>
        <w:rPr>
          <w:rFonts w:hint="eastAsia" w:eastAsia="仿宋"/>
          <w:lang w:eastAsia="zh-CN"/>
        </w:rPr>
        <w:t>项目全年预算数</w:t>
      </w:r>
      <w:r>
        <w:rPr>
          <w:rFonts w:hint="eastAsia" w:eastAsia="仿宋"/>
          <w:lang w:val="en-US" w:eastAsia="zh-CN"/>
        </w:rPr>
        <w:t>2万元，</w:t>
      </w:r>
      <w:r>
        <w:rPr>
          <w:rFonts w:hint="eastAsia" w:eastAsia="仿宋"/>
          <w:lang w:eastAsia="zh-CN"/>
        </w:rPr>
        <w:t>水上安全应急演练、救援工作投入</w:t>
      </w:r>
      <w:r>
        <w:rPr>
          <w:rFonts w:hint="eastAsia" w:eastAsia="仿宋"/>
          <w:lang w:val="en-US" w:eastAsia="zh-CN"/>
        </w:rPr>
        <w:t>0.5万元，航道整投入0.5万元，船只泊位安全投入0.5万元，船只安全救生设备投入0.5万元。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水上安全救援工作安全规范有序，船舶安全救生设备良好，水上交通运输畅通，切实优化了群众旅游出行选择，促进我区旅游和水上运输业发展，保证水质达标，加强了服务意识，提高了群众满意度。</w:t>
      </w:r>
    </w:p>
    <w:p>
      <w:pPr>
        <w:numPr>
          <w:ilvl w:val="0"/>
          <w:numId w:val="9"/>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存在主要问题</w:t>
      </w:r>
    </w:p>
    <w:p>
      <w:pPr>
        <w:pStyle w:val="2"/>
        <w:rPr>
          <w:rFonts w:hint="eastAsia" w:eastAsia="仿宋"/>
          <w:lang w:eastAsia="zh-CN"/>
        </w:rPr>
      </w:pPr>
      <w:r>
        <w:rPr>
          <w:rFonts w:hint="eastAsia" w:ascii="仿宋" w:hAnsi="仿宋" w:eastAsia="仿宋" w:cs="仿宋_GB2312"/>
          <w:sz w:val="32"/>
          <w:szCs w:val="32"/>
          <w:lang w:eastAsia="zh-CN"/>
        </w:rPr>
        <w:t>水上交通科技兴安水平需增强。</w:t>
      </w:r>
    </w:p>
    <w:p>
      <w:pPr>
        <w:numPr>
          <w:ilvl w:val="0"/>
          <w:numId w:val="9"/>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相关措施建议</w:t>
      </w:r>
    </w:p>
    <w:p>
      <w:pPr>
        <w:numPr>
          <w:ilvl w:val="0"/>
          <w:numId w:val="0"/>
        </w:num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吸取其他县区先进管理经验。</w:t>
      </w:r>
    </w:p>
    <w:p>
      <w:pPr>
        <w:pStyle w:val="2"/>
        <w:numPr>
          <w:ilvl w:val="0"/>
          <w:numId w:val="0"/>
        </w:numPr>
        <w:rPr>
          <w:rFonts w:hint="eastAsia" w:eastAsia="仿宋_GB2312"/>
          <w:lang w:val="en-US" w:eastAsia="zh-CN"/>
        </w:rPr>
      </w:pPr>
    </w:p>
    <w:p>
      <w:pPr>
        <w:spacing w:line="600" w:lineRule="exact"/>
        <w:jc w:val="center"/>
        <w:outlineLvl w:val="0"/>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5"/>
          <w:rFonts w:ascii="黑体" w:hAnsi="黑体" w:eastAsia="黑体"/>
          <w:b w:val="0"/>
        </w:rPr>
      </w:pPr>
      <w:bookmarkStart w:id="79" w:name="_Toc22804"/>
      <w:r>
        <w:rPr>
          <w:rFonts w:hint="eastAsia" w:ascii="黑体" w:hAnsi="黑体" w:eastAsia="黑体"/>
          <w:color w:val="000000"/>
          <w:sz w:val="44"/>
          <w:szCs w:val="44"/>
        </w:rPr>
        <w:t>第</w:t>
      </w:r>
      <w:r>
        <w:rPr>
          <w:rStyle w:val="25"/>
          <w:rFonts w:hint="eastAsia" w:ascii="黑体" w:hAnsi="黑体" w:eastAsia="黑体"/>
          <w:b w:val="0"/>
        </w:rPr>
        <w:t>五部分 附表</w:t>
      </w:r>
      <w:bookmarkEnd w:id="74"/>
      <w:bookmarkEnd w:id="79"/>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80" w:name="_Toc29933"/>
      <w:r>
        <w:rPr>
          <w:rFonts w:hint="eastAsia" w:ascii="仿宋" w:hAnsi="仿宋" w:eastAsia="仿宋"/>
          <w:b w:val="0"/>
          <w:color w:val="000000"/>
        </w:rPr>
        <w:t>一、收</w:t>
      </w:r>
      <w:r>
        <w:rPr>
          <w:rStyle w:val="26"/>
          <w:rFonts w:hint="eastAsia" w:ascii="仿宋" w:hAnsi="仿宋" w:eastAsia="仿宋"/>
          <w:b w:val="0"/>
          <w:bCs w:val="0"/>
        </w:rPr>
        <w:t>入支出决算总表</w:t>
      </w:r>
      <w:bookmarkEnd w:id="80"/>
    </w:p>
    <w:p>
      <w:pPr>
        <w:pStyle w:val="4"/>
        <w:rPr>
          <w:rFonts w:ascii="仿宋" w:hAnsi="仿宋" w:eastAsia="仿宋"/>
          <w:color w:val="000000"/>
        </w:rPr>
      </w:pPr>
      <w:bookmarkStart w:id="81" w:name="_Toc29152"/>
      <w:r>
        <w:rPr>
          <w:rFonts w:hint="eastAsia" w:ascii="仿宋" w:hAnsi="仿宋" w:eastAsia="仿宋"/>
          <w:b w:val="0"/>
          <w:color w:val="000000"/>
        </w:rPr>
        <w:t>二、收</w:t>
      </w:r>
      <w:r>
        <w:rPr>
          <w:rStyle w:val="26"/>
          <w:rFonts w:hint="eastAsia" w:ascii="仿宋" w:hAnsi="仿宋" w:eastAsia="仿宋"/>
          <w:b w:val="0"/>
          <w:bCs w:val="0"/>
        </w:rPr>
        <w:t>入总表</w:t>
      </w:r>
      <w:bookmarkEnd w:id="81"/>
    </w:p>
    <w:p>
      <w:pPr>
        <w:pStyle w:val="4"/>
        <w:rPr>
          <w:rFonts w:ascii="仿宋" w:hAnsi="仿宋" w:eastAsia="仿宋"/>
          <w:color w:val="000000"/>
        </w:rPr>
      </w:pPr>
      <w:bookmarkStart w:id="82" w:name="_Toc11074"/>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82"/>
    </w:p>
    <w:p>
      <w:pPr>
        <w:pStyle w:val="4"/>
        <w:rPr>
          <w:rFonts w:ascii="仿宋" w:hAnsi="仿宋" w:eastAsia="仿宋"/>
          <w:b w:val="0"/>
          <w:color w:val="000000"/>
        </w:rPr>
      </w:pPr>
      <w:bookmarkStart w:id="83" w:name="_Toc18780"/>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83"/>
    </w:p>
    <w:p>
      <w:pPr>
        <w:pStyle w:val="4"/>
        <w:rPr>
          <w:rFonts w:ascii="仿宋" w:hAnsi="仿宋" w:eastAsia="仿宋"/>
          <w:color w:val="000000"/>
        </w:rPr>
      </w:pPr>
      <w:bookmarkStart w:id="84" w:name="_Toc16248"/>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84"/>
    </w:p>
    <w:p>
      <w:pPr>
        <w:pStyle w:val="4"/>
        <w:rPr>
          <w:rFonts w:ascii="仿宋" w:hAnsi="仿宋" w:eastAsia="仿宋"/>
          <w:color w:val="000000"/>
        </w:rPr>
      </w:pPr>
      <w:bookmarkStart w:id="85" w:name="_Toc7767"/>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85"/>
    </w:p>
    <w:p>
      <w:pPr>
        <w:pStyle w:val="4"/>
        <w:rPr>
          <w:rFonts w:ascii="仿宋" w:hAnsi="仿宋" w:eastAsia="仿宋"/>
          <w:color w:val="000000"/>
        </w:rPr>
      </w:pPr>
      <w:bookmarkStart w:id="86" w:name="_Toc26324"/>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86"/>
    </w:p>
    <w:p>
      <w:pPr>
        <w:pStyle w:val="4"/>
        <w:rPr>
          <w:rFonts w:ascii="仿宋" w:hAnsi="仿宋" w:eastAsia="仿宋"/>
          <w:color w:val="000000"/>
        </w:rPr>
      </w:pPr>
      <w:bookmarkStart w:id="87" w:name="_Toc9219"/>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87"/>
    </w:p>
    <w:p>
      <w:pPr>
        <w:pStyle w:val="4"/>
        <w:rPr>
          <w:rFonts w:ascii="仿宋" w:hAnsi="仿宋" w:eastAsia="仿宋"/>
          <w:color w:val="000000"/>
        </w:rPr>
      </w:pPr>
      <w:bookmarkStart w:id="88" w:name="_Toc5813"/>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88"/>
    </w:p>
    <w:p>
      <w:pPr>
        <w:pStyle w:val="4"/>
        <w:rPr>
          <w:rFonts w:ascii="仿宋" w:hAnsi="仿宋" w:eastAsia="仿宋"/>
          <w:color w:val="000000"/>
        </w:rPr>
      </w:pPr>
      <w:bookmarkStart w:id="89" w:name="_Toc13651"/>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89"/>
    </w:p>
    <w:p>
      <w:pPr>
        <w:pStyle w:val="4"/>
        <w:rPr>
          <w:rFonts w:ascii="仿宋" w:hAnsi="仿宋" w:eastAsia="仿宋"/>
          <w:color w:val="000000"/>
        </w:rPr>
      </w:pPr>
      <w:bookmarkStart w:id="90" w:name="_Toc21771"/>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90"/>
    </w:p>
    <w:p>
      <w:pPr>
        <w:pStyle w:val="4"/>
        <w:rPr>
          <w:rFonts w:ascii="仿宋" w:hAnsi="仿宋" w:eastAsia="仿宋"/>
          <w:color w:val="000000"/>
        </w:rPr>
      </w:pPr>
      <w:bookmarkStart w:id="91" w:name="_Toc924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91"/>
    </w:p>
    <w:p>
      <w:pPr>
        <w:pStyle w:val="4"/>
        <w:rPr>
          <w:rFonts w:ascii="仿宋" w:hAnsi="仿宋" w:eastAsia="仿宋"/>
          <w:color w:val="000000" w:themeColor="text1"/>
          <w14:textFill>
            <w14:solidFill>
              <w14:schemeClr w14:val="tx1"/>
            </w14:solidFill>
          </w14:textFill>
        </w:rPr>
      </w:pPr>
      <w:bookmarkStart w:id="92" w:name="_Toc2432"/>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9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10</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794DAAC"/>
    <w:multiLevelType w:val="singleLevel"/>
    <w:tmpl w:val="E794DAAC"/>
    <w:lvl w:ilvl="0" w:tentative="0">
      <w:start w:val="2"/>
      <w:numFmt w:val="chineseCounting"/>
      <w:suff w:val="nothing"/>
      <w:lvlText w:val="（%1）"/>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5D79DCC4"/>
    <w:multiLevelType w:val="singleLevel"/>
    <w:tmpl w:val="5D79DCC4"/>
    <w:lvl w:ilvl="0" w:tentative="0">
      <w:start w:val="3"/>
      <w:numFmt w:val="chineseCounting"/>
      <w:suff w:val="nothing"/>
      <w:lvlText w:val="%1、"/>
      <w:lvlJc w:val="left"/>
    </w:lvl>
  </w:abstractNum>
  <w:abstractNum w:abstractNumId="8">
    <w:nsid w:val="5D79DEDD"/>
    <w:multiLevelType w:val="singleLevel"/>
    <w:tmpl w:val="5D79DEDD"/>
    <w:lvl w:ilvl="0" w:tentative="0">
      <w:start w:val="1"/>
      <w:numFmt w:val="chineseCounting"/>
      <w:suff w:val="nothing"/>
      <w:lvlText w:val="%1、"/>
      <w:lvlJc w:val="left"/>
    </w:lvl>
  </w:abstractNum>
  <w:abstractNum w:abstractNumId="9">
    <w:nsid w:val="5D79E600"/>
    <w:multiLevelType w:val="singleLevel"/>
    <w:tmpl w:val="5D79E600"/>
    <w:lvl w:ilvl="0" w:tentative="0">
      <w:start w:val="1"/>
      <w:numFmt w:val="decimal"/>
      <w:suff w:val="nothing"/>
      <w:lvlText w:val="%1."/>
      <w:lvlJc w:val="left"/>
    </w:lvl>
  </w:abstractNum>
  <w:num w:numId="1">
    <w:abstractNumId w:val="5"/>
  </w:num>
  <w:num w:numId="2">
    <w:abstractNumId w:val="9"/>
  </w:num>
  <w:num w:numId="3">
    <w:abstractNumId w:val="1"/>
  </w:num>
  <w:num w:numId="4">
    <w:abstractNumId w:val="6"/>
  </w:num>
  <w:num w:numId="5">
    <w:abstractNumId w:val="4"/>
  </w:num>
  <w:num w:numId="6">
    <w:abstractNumId w:val="0"/>
  </w:num>
  <w:num w:numId="7">
    <w:abstractNumId w:val="2"/>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4E310C1"/>
    <w:rsid w:val="05AD7785"/>
    <w:rsid w:val="09E9743F"/>
    <w:rsid w:val="0BFF4199"/>
    <w:rsid w:val="0C247BE9"/>
    <w:rsid w:val="10C055FF"/>
    <w:rsid w:val="129C7533"/>
    <w:rsid w:val="16BB723D"/>
    <w:rsid w:val="19A47030"/>
    <w:rsid w:val="19F45229"/>
    <w:rsid w:val="1A29223A"/>
    <w:rsid w:val="1C7044D3"/>
    <w:rsid w:val="1EFE63C5"/>
    <w:rsid w:val="232E7A78"/>
    <w:rsid w:val="240371BF"/>
    <w:rsid w:val="25313D10"/>
    <w:rsid w:val="2605780B"/>
    <w:rsid w:val="26572343"/>
    <w:rsid w:val="289C34A3"/>
    <w:rsid w:val="29FD04D3"/>
    <w:rsid w:val="2A3B3C16"/>
    <w:rsid w:val="2A8A0CF5"/>
    <w:rsid w:val="2C2078A3"/>
    <w:rsid w:val="2CF947B9"/>
    <w:rsid w:val="319F7F4E"/>
    <w:rsid w:val="36153DF1"/>
    <w:rsid w:val="399A578E"/>
    <w:rsid w:val="407100B5"/>
    <w:rsid w:val="412E45C2"/>
    <w:rsid w:val="43491667"/>
    <w:rsid w:val="44C5005D"/>
    <w:rsid w:val="47070C7A"/>
    <w:rsid w:val="52DB353E"/>
    <w:rsid w:val="53A97D02"/>
    <w:rsid w:val="5E080959"/>
    <w:rsid w:val="60FA1737"/>
    <w:rsid w:val="62765DA1"/>
    <w:rsid w:val="6728683B"/>
    <w:rsid w:val="67F53363"/>
    <w:rsid w:val="6BA830BE"/>
    <w:rsid w:val="6C7D78FB"/>
    <w:rsid w:val="6D451F2A"/>
    <w:rsid w:val="79265658"/>
    <w:rsid w:val="7B32649A"/>
    <w:rsid w:val="7C29560D"/>
    <w:rsid w:val="FBFF7F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540" w:lineRule="exact"/>
      <w:ind w:firstLine="600"/>
    </w:pPr>
    <w:rPr>
      <w:rFonts w:ascii="Times New Roman" w:hAnsi="Times New Roman" w:eastAsia="仿宋_GB2312" w:cs="Times New Roman"/>
      <w:sz w:val="30"/>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收入支出决算总体情况图</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delete val="true"/>
          </c:dLbls>
          <c:cat>
            <c:numRef>
              <c:extLst>
                <c:ext xmlns:c15="http://schemas.microsoft.com/office/drawing/2012/chart" uri="{02D57815-91ED-43cb-92C2-25804820EDAC}">
                  <c15:fullRef>
                    <c15:sqref>Sheet1!$A$2:$A$3</c15:sqref>
                  </c15:fullRef>
                </c:ext>
              </c:extLst>
              <c:f>Sheet1!$A$2:$A$3</c:f>
              <c:numCache>
                <c:formatCode>General</c:formatCode>
                <c:ptCount val="2"/>
                <c:pt idx="0">
                  <c:v>2017</c:v>
                </c:pt>
                <c:pt idx="1">
                  <c:v>2018</c:v>
                </c:pt>
              </c:numCache>
            </c:numRef>
          </c:cat>
          <c:val>
            <c:numRef>
              <c:extLst>
                <c:ext xmlns:c15="http://schemas.microsoft.com/office/drawing/2012/chart" uri="{02D57815-91ED-43cb-92C2-25804820EDAC}">
                  <c15:fullRef>
                    <c15:sqref>Sheet1!$B$2:$B$3</c15:sqref>
                  </c15:fullRef>
                </c:ext>
              </c:extLst>
              <c:f>Sheet1!$B$2:$B$3</c:f>
              <c:numCache>
                <c:formatCode>General</c:formatCode>
                <c:ptCount val="2"/>
                <c:pt idx="0">
                  <c:v>226.37</c:v>
                </c:pt>
                <c:pt idx="1">
                  <c:v>209.25</c:v>
                </c:pt>
              </c:numCache>
            </c:numRef>
          </c:val>
        </c:ser>
        <c:ser>
          <c:idx val="1"/>
          <c:order val="1"/>
          <c:tx>
            <c:strRef>
              <c:f>Sheet1!$C$1</c:f>
              <c:strCache>
                <c:ptCount val="1"/>
                <c:pt idx="0">
                  <c:v>支出</c:v>
                </c:pt>
              </c:strCache>
            </c:strRef>
          </c:tx>
          <c:spPr>
            <a:solidFill>
              <a:schemeClr val="accent2"/>
            </a:solidFill>
            <a:ln>
              <a:noFill/>
            </a:ln>
            <a:effectLst/>
          </c:spPr>
          <c:invertIfNegative val="false"/>
          <c:dLbls>
            <c:delete val="true"/>
          </c:dLbls>
          <c:cat>
            <c:numRef>
              <c:extLst>
                <c:ext xmlns:c15="http://schemas.microsoft.com/office/drawing/2012/chart" uri="{02D57815-91ED-43cb-92C2-25804820EDAC}">
                  <c15:fullRef>
                    <c15:sqref>Sheet1!$A$2:$A$3</c15:sqref>
                  </c15:fullRef>
                </c:ext>
              </c:extLst>
              <c:f>Sheet1!$A$2:$A$3</c:f>
              <c:numCache>
                <c:formatCode>General</c:formatCode>
                <c:ptCount val="2"/>
                <c:pt idx="0">
                  <c:v>2017</c:v>
                </c:pt>
                <c:pt idx="1">
                  <c:v>2018</c:v>
                </c:pt>
              </c:numCache>
            </c:numRef>
          </c:cat>
          <c:val>
            <c:numRef>
              <c:extLst>
                <c:ext xmlns:c15="http://schemas.microsoft.com/office/drawing/2012/chart" uri="{02D57815-91ED-43cb-92C2-25804820EDAC}">
                  <c15:fullRef>
                    <c15:sqref>Sheet1!$C$2:$C$3</c15:sqref>
                  </c15:fullRef>
                </c:ext>
              </c:extLst>
              <c:f>Sheet1!$C$2:$C$3</c:f>
              <c:numCache>
                <c:formatCode>General</c:formatCode>
                <c:ptCount val="2"/>
                <c:pt idx="0">
                  <c:v>1051.05</c:v>
                </c:pt>
                <c:pt idx="1">
                  <c:v>315.45</c:v>
                </c:pt>
              </c:numCache>
            </c:numRef>
          </c:val>
        </c:ser>
        <c:dLbls>
          <c:showLegendKey val="false"/>
          <c:showVal val="false"/>
          <c:showCatName val="false"/>
          <c:showSerName val="false"/>
          <c:showPercent val="false"/>
          <c:showBubbleSize val="false"/>
        </c:dLbls>
        <c:gapWidth val="219"/>
        <c:overlap val="-27"/>
        <c:axId val="645061732"/>
        <c:axId val="740996365"/>
      </c:barChart>
      <c:catAx>
        <c:axId val="64506173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0996365"/>
        <c:crosses val="autoZero"/>
        <c:auto val="true"/>
        <c:lblAlgn val="ctr"/>
        <c:lblOffset val="100"/>
        <c:noMultiLvlLbl val="false"/>
      </c:catAx>
      <c:valAx>
        <c:axId val="740996365"/>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506173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rPr altLang="en-US"/>
              <a:t>收入决算结构图</a:t>
            </a:r>
            <a:endParaRPr lang="en-US" altLang="zh-CN"/>
          </a:p>
        </c:rich>
      </c:tx>
      <c:layout>
        <c:manualLayout>
          <c:xMode val="edge"/>
          <c:yMode val="edge"/>
          <c:x val="0.441816204458945"/>
          <c:y val="0.0229797012638836"/>
        </c:manualLayout>
      </c:layout>
      <c:overlay val="false"/>
      <c:spPr>
        <a:noFill/>
        <a:ln>
          <a:noFill/>
        </a:ln>
        <a:effectLst/>
      </c:spPr>
    </c:title>
    <c:autoTitleDeleted val="false"/>
    <c:plotArea>
      <c:layout/>
      <c:pieChart>
        <c:varyColors val="true"/>
        <c:ser>
          <c:idx val="0"/>
          <c:order val="0"/>
          <c:tx>
            <c:strRef>
              <c:f>Sheet1!$B$1</c:f>
              <c:strCache>
                <c:ptCount val="1"/>
                <c:pt idx="0">
                  <c:v>收入情况</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Pt>
            <c:idx val="4"/>
            <c:bubble3D val="false"/>
            <c:spPr>
              <a:solidFill>
                <a:schemeClr val="accent5"/>
              </a:solidFill>
              <a:ln>
                <a:noFill/>
              </a:ln>
              <a:effectLst>
                <a:outerShdw blurRad="254000" sx="102000" sy="102000" algn="ctr" rotWithShape="0">
                  <a:prstClr val="black">
                    <a:alpha val="20000"/>
                  </a:prstClr>
                </a:outerShdw>
              </a:effectLst>
            </c:spPr>
          </c:dPt>
          <c:dPt>
            <c:idx val="5"/>
            <c:bubble3D val="false"/>
            <c:spPr>
              <a:solidFill>
                <a:schemeClr val="accent6"/>
              </a:solidFill>
              <a:ln>
                <a:noFill/>
              </a:ln>
              <a:effectLst>
                <a:outerShdw blurRad="254000" sx="102000" sy="102000" algn="ctr" rotWithShape="0">
                  <a:prstClr val="black">
                    <a:alpha val="20000"/>
                  </a:prstClr>
                </a:outerShdw>
              </a:effectLst>
            </c:spPr>
          </c:dPt>
          <c:dPt>
            <c:idx val="6"/>
            <c:bubble3D val="false"/>
            <c:spPr>
              <a:solidFill>
                <a:schemeClr val="accent1">
                  <a:lumMod val="60000"/>
                </a:schemeClr>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Sheet1!$B$2:$B$8</c:f>
              <c:numCache>
                <c:formatCode>General</c:formatCode>
                <c:ptCount val="7"/>
                <c:pt idx="0">
                  <c:v>209.25</c:v>
                </c:pt>
                <c:pt idx="1">
                  <c:v>0</c:v>
                </c:pt>
                <c:pt idx="2">
                  <c:v>0</c:v>
                </c:pt>
                <c:pt idx="3">
                  <c:v>0</c:v>
                </c:pt>
                <c:pt idx="4">
                  <c:v>0</c:v>
                </c:pt>
                <c:pt idx="5">
                  <c:v>0</c:v>
                </c:pt>
                <c:pt idx="6">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支出决算结构图</a:t>
            </a:r>
          </a:p>
        </c:rich>
      </c:tx>
      <c:layout>
        <c:manualLayout>
          <c:xMode val="edge"/>
          <c:yMode val="edge"/>
          <c:x val="0.534155363748459"/>
          <c:y val="0.0326504481434059"/>
        </c:manualLayout>
      </c:layout>
      <c:overlay val="false"/>
      <c:spPr>
        <a:noFill/>
        <a:ln>
          <a:noFill/>
        </a:ln>
        <a:effectLst/>
      </c:spPr>
    </c:title>
    <c:autoTitleDeleted val="false"/>
    <c:plotArea>
      <c:layout>
        <c:manualLayout>
          <c:layoutTarget val="inner"/>
          <c:xMode val="edge"/>
          <c:yMode val="edge"/>
          <c:x val="0.0577065351418002"/>
          <c:y val="0.111609048228767"/>
          <c:w val="0.482120838471023"/>
          <c:h val="0.834400341442595"/>
        </c:manualLayout>
      </c:layout>
      <c:pieChart>
        <c:varyColors val="true"/>
        <c:ser>
          <c:idx val="0"/>
          <c:order val="0"/>
          <c:tx>
            <c:strRef>
              <c:f>Sheet1!$B$1</c:f>
              <c:strCache>
                <c:ptCount val="1"/>
                <c:pt idx="0">
                  <c:v>收入情况</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explosion val="0"/>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Pt>
            <c:idx val="4"/>
            <c:bubble3D val="false"/>
            <c:spPr>
              <a:solidFill>
                <a:schemeClr val="accent5"/>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184.92</c:v>
                </c:pt>
                <c:pt idx="1">
                  <c:v>130.53</c:v>
                </c:pt>
                <c:pt idx="2">
                  <c:v>0</c:v>
                </c:pt>
                <c:pt idx="3">
                  <c:v>0</c:v>
                </c:pt>
                <c:pt idx="4">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收入支出决算总体情况图</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delete val="true"/>
          </c:dLbls>
          <c:cat>
            <c:numRef>
              <c:extLst>
                <c:ext xmlns:c15="http://schemas.microsoft.com/office/drawing/2012/chart" uri="{02D57815-91ED-43cb-92C2-25804820EDAC}">
                  <c15:fullRef>
                    <c15:sqref>Sheet1!$A$2:$A$3</c15:sqref>
                  </c15:fullRef>
                </c:ext>
              </c:extLst>
              <c:f>Sheet1!$A$2:$A$3</c:f>
              <c:numCache>
                <c:formatCode>General</c:formatCode>
                <c:ptCount val="2"/>
                <c:pt idx="0">
                  <c:v>2017</c:v>
                </c:pt>
                <c:pt idx="1">
                  <c:v>2018</c:v>
                </c:pt>
              </c:numCache>
            </c:numRef>
          </c:cat>
          <c:val>
            <c:numRef>
              <c:extLst>
                <c:ext xmlns:c15="http://schemas.microsoft.com/office/drawing/2012/chart" uri="{02D57815-91ED-43cb-92C2-25804820EDAC}">
                  <c15:fullRef>
                    <c15:sqref>Sheet1!$B$2:$B$3</c15:sqref>
                  </c15:fullRef>
                </c:ext>
              </c:extLst>
              <c:f>Sheet1!$B$2:$B$3</c:f>
              <c:numCache>
                <c:formatCode>General</c:formatCode>
                <c:ptCount val="2"/>
                <c:pt idx="0">
                  <c:v>226.37</c:v>
                </c:pt>
                <c:pt idx="1">
                  <c:v>209.25</c:v>
                </c:pt>
              </c:numCache>
            </c:numRef>
          </c:val>
        </c:ser>
        <c:ser>
          <c:idx val="1"/>
          <c:order val="1"/>
          <c:tx>
            <c:strRef>
              <c:f>Sheet1!$C$1</c:f>
              <c:strCache>
                <c:ptCount val="1"/>
                <c:pt idx="0">
                  <c:v>支出</c:v>
                </c:pt>
              </c:strCache>
            </c:strRef>
          </c:tx>
          <c:spPr>
            <a:solidFill>
              <a:schemeClr val="accent2"/>
            </a:solidFill>
            <a:ln>
              <a:noFill/>
            </a:ln>
            <a:effectLst/>
          </c:spPr>
          <c:invertIfNegative val="false"/>
          <c:dLbls>
            <c:delete val="true"/>
          </c:dLbls>
          <c:cat>
            <c:numRef>
              <c:extLst>
                <c:ext xmlns:c15="http://schemas.microsoft.com/office/drawing/2012/chart" uri="{02D57815-91ED-43cb-92C2-25804820EDAC}">
                  <c15:fullRef>
                    <c15:sqref>Sheet1!$A$2:$A$3</c15:sqref>
                  </c15:fullRef>
                </c:ext>
              </c:extLst>
              <c:f>Sheet1!$A$2:$A$3</c:f>
              <c:numCache>
                <c:formatCode>General</c:formatCode>
                <c:ptCount val="2"/>
                <c:pt idx="0">
                  <c:v>2017</c:v>
                </c:pt>
                <c:pt idx="1">
                  <c:v>2018</c:v>
                </c:pt>
              </c:numCache>
            </c:numRef>
          </c:cat>
          <c:val>
            <c:numRef>
              <c:extLst>
                <c:ext xmlns:c15="http://schemas.microsoft.com/office/drawing/2012/chart" uri="{02D57815-91ED-43cb-92C2-25804820EDAC}">
                  <c15:fullRef>
                    <c15:sqref>Sheet1!$C$2:$C$3</c15:sqref>
                  </c15:fullRef>
                </c:ext>
              </c:extLst>
              <c:f>Sheet1!$C$2:$C$3</c:f>
              <c:numCache>
                <c:formatCode>General</c:formatCode>
                <c:ptCount val="2"/>
                <c:pt idx="0">
                  <c:v>1051.05</c:v>
                </c:pt>
                <c:pt idx="1">
                  <c:v>315.45</c:v>
                </c:pt>
              </c:numCache>
            </c:numRef>
          </c:val>
        </c:ser>
        <c:dLbls>
          <c:showLegendKey val="false"/>
          <c:showVal val="false"/>
          <c:showCatName val="false"/>
          <c:showSerName val="false"/>
          <c:showPercent val="false"/>
          <c:showBubbleSize val="false"/>
        </c:dLbls>
        <c:gapWidth val="219"/>
        <c:overlap val="-27"/>
        <c:axId val="645061732"/>
        <c:axId val="740996365"/>
      </c:barChart>
      <c:catAx>
        <c:axId val="64506173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0996365"/>
        <c:crosses val="autoZero"/>
        <c:auto val="true"/>
        <c:lblAlgn val="ctr"/>
        <c:lblOffset val="100"/>
        <c:noMultiLvlLbl val="false"/>
      </c:catAx>
      <c:valAx>
        <c:axId val="740996365"/>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506173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一般公共服务预算支出</c:v>
                </c:pt>
              </c:strCache>
            </c:strRef>
          </c:tx>
          <c:spPr>
            <a:solidFill>
              <a:schemeClr val="accent1"/>
            </a:solidFill>
            <a:ln>
              <a:noFill/>
            </a:ln>
            <a:effectLst/>
          </c:spPr>
          <c:invertIfNegative val="false"/>
          <c:dLbls>
            <c:delete val="true"/>
          </c:dLbls>
          <c:cat>
            <c:numRef>
              <c:extLst>
                <c:ext xmlns:c15="http://schemas.microsoft.com/office/drawing/2012/chart" uri="{02D57815-91ED-43cb-92C2-25804820EDAC}">
                  <c15:fullRef>
                    <c15:sqref>Sheet1!$A$2:$A$3</c15:sqref>
                  </c15:fullRef>
                </c:ext>
              </c:extLst>
              <c:f>Sheet1!$A$2:$A$3</c:f>
              <c:numCache>
                <c:formatCode>General</c:formatCode>
                <c:ptCount val="2"/>
                <c:pt idx="0">
                  <c:v>2017</c:v>
                </c:pt>
                <c:pt idx="1">
                  <c:v>2018</c:v>
                </c:pt>
              </c:numCache>
            </c:numRef>
          </c:cat>
          <c:val>
            <c:numRef>
              <c:extLst>
                <c:ext xmlns:c15="http://schemas.microsoft.com/office/drawing/2012/chart" uri="{02D57815-91ED-43cb-92C2-25804820EDAC}">
                  <c15:fullRef>
                    <c15:sqref>Sheet1!$B$2:$B$3</c15:sqref>
                  </c15:fullRef>
                </c:ext>
              </c:extLst>
              <c:f>Sheet1!$B$2:$B$3</c:f>
              <c:numCache>
                <c:formatCode>General</c:formatCode>
                <c:ptCount val="2"/>
                <c:pt idx="0">
                  <c:v>315.45</c:v>
                </c:pt>
                <c:pt idx="1">
                  <c:v>1051.05</c:v>
                </c:pt>
              </c:numCache>
            </c:numRef>
          </c:val>
        </c:ser>
        <c:dLbls>
          <c:showLegendKey val="false"/>
          <c:showVal val="false"/>
          <c:showCatName val="false"/>
          <c:showSerName val="false"/>
          <c:showPercent val="false"/>
          <c:showBubbleSize val="false"/>
        </c:dLbls>
        <c:gapWidth val="219"/>
        <c:overlap val="-27"/>
        <c:axId val="438935992"/>
        <c:axId val="977560557"/>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系列 2</c:v>
                      </c:pt>
                    </c:strCache>
                  </c:strRef>
                </c:tx>
                <c:spPr>
                  <a:solidFill>
                    <a:schemeClr val="bg1"/>
                  </a:solidFill>
                  <a:ln>
                    <a:noFill/>
                  </a:ln>
                  <a:effectLst/>
                </c:spPr>
                <c:invertIfNegative val="false"/>
                <c:dLbls>
                  <c:delete val="true"/>
                </c:dLbls>
                <c:cat>
                  <c:numRef>
                    <c:extLst>
                      <c:ext uri="{02D57815-91ED-43cb-92C2-25804820EDAC}">
                        <c15:fullRef>
                          <c15:sqref>Sheet1!$A$2:$A$3</c15:sqref>
                        </c15:fullRef>
                        <c15:formulaRef>
                          <c15:sqref>Sheet1!$A$2:$A$3</c15:sqref>
                        </c15:formulaRef>
                      </c:ext>
                    </c:extLst>
                    <c:numCache>
                      <c:formatCode>General</c:formatCode>
                      <c:ptCount val="2"/>
                      <c:pt idx="0">
                        <c:v>2017</c:v>
                      </c:pt>
                      <c:pt idx="1">
                        <c:v>2018</c:v>
                      </c:pt>
                    </c:numCache>
                  </c:numRef>
                </c:cat>
                <c:val>
                  <c:numRef>
                    <c:extLst>
                      <c:ext uri="{02D57815-91ED-43cb-92C2-25804820EDAC}">
                        <c15:fullRef>
                          <c15:sqref>Sheet1!$C$2:$C$5</c15:sqref>
                        </c15:fullRef>
                        <c15:formulaRef>
                          <c15:sqref>Sheet1!$C$2:$C$3</c15:sqref>
                        </c15:formulaRef>
                      </c:ext>
                    </c:extLst>
                    <c:numCache>
                      <c:formatCode>General</c:formatCode>
                      <c:ptCount val="2"/>
                      <c:pt idx="0">
                        <c:v>0</c:v>
                      </c:pt>
                      <c:pt idx="1">
                        <c:v>0</c:v>
                      </c:pt>
                    </c:numCache>
                  </c:numRef>
                </c:val>
              </c15:ser>
            </c15:filteredBarSeries>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bg1"/>
                  </a:solidFill>
                  <a:ln>
                    <a:noFill/>
                  </a:ln>
                  <a:effectLst/>
                </c:spPr>
                <c:invertIfNegative val="false"/>
                <c:dLbls>
                  <c:delete val="true"/>
                </c:dLbls>
                <c:cat>
                  <c:numRef>
                    <c:extLst>
                      <c:ext uri="{02D57815-91ED-43cb-92C2-25804820EDAC}">
                        <c15:fullRef>
                          <c15:sqref>Sheet1!$A$2:$A$3</c15:sqref>
                        </c15:fullRef>
                        <c15:formulaRef>
                          <c15:sqref>Sheet1!$A$2:$A$3</c15:sqref>
                        </c15:formulaRef>
                      </c:ext>
                    </c:extLst>
                    <c:numCache>
                      <c:formatCode>General</c:formatCode>
                      <c:ptCount val="2"/>
                      <c:pt idx="0">
                        <c:v>2017</c:v>
                      </c:pt>
                      <c:pt idx="1">
                        <c:v>2018</c:v>
                      </c:pt>
                    </c:numCache>
                  </c:num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43893599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77560557"/>
        <c:crosses val="autoZero"/>
        <c:auto val="true"/>
        <c:lblAlgn val="ctr"/>
        <c:lblOffset val="100"/>
        <c:noMultiLvlLbl val="false"/>
      </c:catAx>
      <c:valAx>
        <c:axId val="97756055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3893599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一般公共预算财政拨款支出情况</a:t>
            </a: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Pt>
            <c:idx val="4"/>
            <c:bubble3D val="false"/>
            <c:spPr>
              <a:solidFill>
                <a:schemeClr val="accent5"/>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Sheet1!$A$2:$A$6</c:f>
              <c:strCache>
                <c:ptCount val="5"/>
                <c:pt idx="0">
                  <c:v>社会保障和就业（类）</c:v>
                </c:pt>
                <c:pt idx="1">
                  <c:v>医疗卫生支出（类）</c:v>
                </c:pt>
                <c:pt idx="2">
                  <c:v>住房保障支出（类）</c:v>
                </c:pt>
                <c:pt idx="3">
                  <c:v>交通运输（类）支出</c:v>
                </c:pt>
                <c:pt idx="4">
                  <c:v>农林水（类）支出</c:v>
                </c:pt>
              </c:strCache>
            </c:strRef>
          </c:cat>
          <c:val>
            <c:numRef>
              <c:f>Sheet1!$B$2:$B$6</c:f>
              <c:numCache>
                <c:formatCode>General</c:formatCode>
                <c:ptCount val="5"/>
                <c:pt idx="0">
                  <c:v>18.95</c:v>
                </c:pt>
                <c:pt idx="1">
                  <c:v>7.07</c:v>
                </c:pt>
                <c:pt idx="2">
                  <c:v>11.08</c:v>
                </c:pt>
                <c:pt idx="3">
                  <c:v>277.84</c:v>
                </c:pt>
                <c:pt idx="4">
                  <c:v>0.5</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三公经费财政拨款支出结构</a:t>
            </a: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8.65</c:v>
                </c:pt>
                <c:pt idx="2">
                  <c:v>0.66</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0</TotalTime>
  <ScaleCrop>false</ScaleCrop>
  <LinksUpToDate>false</LinksUpToDate>
  <CharactersWithSpaces>9641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2019-08-01T08:48:00Z</cp:lastPrinted>
  <dcterms:modified xsi:type="dcterms:W3CDTF">2023-08-12T15:56:00Z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