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76" w:lineRule="exact"/>
        <w:ind w:left="0" w:leftChars="0"/>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广元市利州区回龙小学</w:t>
      </w:r>
    </w:p>
    <w:p>
      <w:pPr>
        <w:keepNext w:val="0"/>
        <w:keepLines w:val="0"/>
        <w:pageBreakBefore w:val="0"/>
        <w:widowControl w:val="0"/>
        <w:kinsoku/>
        <w:wordWrap/>
        <w:overflowPunct/>
        <w:topLinePunct w:val="0"/>
        <w:autoSpaceDE/>
        <w:autoSpaceDN/>
        <w:bidi w:val="0"/>
        <w:snapToGrid w:val="0"/>
        <w:spacing w:line="576" w:lineRule="exact"/>
        <w:ind w:left="0" w:leftChars="0"/>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2021年部门预算情况说明</w:t>
      </w:r>
    </w:p>
    <w:p>
      <w:pPr>
        <w:keepNext w:val="0"/>
        <w:keepLines w:val="0"/>
        <w:pageBreakBefore w:val="0"/>
        <w:widowControl w:val="0"/>
        <w:kinsoku/>
        <w:wordWrap/>
        <w:overflowPunct/>
        <w:topLinePunct w:val="0"/>
        <w:autoSpaceDE/>
        <w:autoSpaceDN/>
        <w:bidi w:val="0"/>
        <w:snapToGrid w:val="0"/>
        <w:spacing w:line="576" w:lineRule="exact"/>
        <w:ind w:left="0" w:leftChars="0" w:firstLine="642" w:firstLineChars="200"/>
        <w:jc w:val="both"/>
        <w:textAlignment w:val="baseline"/>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广元市利州区回龙小学编制49名，事业编制49名,工勤0人。在职人员总数46人，空编3人，退休人员24人，临聘人员2人，遗属补助3人，学生人数588人。固定资产总额636.71万元。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二、主要职能职责</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sz w:val="32"/>
          <w:szCs w:val="32"/>
          <w:lang w:eastAsia="zh-CN"/>
        </w:rPr>
        <w:t>（一）</w:t>
      </w:r>
      <w:r>
        <w:rPr>
          <w:rFonts w:hint="eastAsia" w:ascii="仿宋" w:hAnsi="仿宋" w:eastAsia="仿宋" w:cs="仿宋"/>
          <w:color w:val="000000"/>
          <w:sz w:val="32"/>
          <w:szCs w:val="32"/>
        </w:rPr>
        <w:t>贯彻执行党和国家关于教育改革和发展的各项方针、政策。</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维护学校的教育教学教学秩序，为学生营造良好的学习环境；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积极稳妥地推进教育改革，按教育规律办事，不断提高教育质量，办让家长满意的学校。</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根据学校规模，设置学校管理机构，建立健全各项规章制度和岗位责任制，保障学校各类教学活动正常开展。</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 xml:space="preserve">加强对学生的思想品德教育，使学生的德、智、体、美、劳全面发展。坚持教书育人，服务育人，环境育人方针。 </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抓好师资队伍建设，加大教师培训，使每个教师都热心于教育事业；</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做好校园安全防范，保障全校师生的</w:t>
      </w:r>
      <w:bookmarkStart w:id="0" w:name="_GoBack"/>
      <w:bookmarkEnd w:id="0"/>
      <w:r>
        <w:rPr>
          <w:rFonts w:hint="eastAsia" w:ascii="仿宋" w:hAnsi="仿宋" w:eastAsia="仿宋" w:cs="仿宋"/>
          <w:color w:val="000000"/>
          <w:sz w:val="32"/>
          <w:szCs w:val="32"/>
          <w:lang w:eastAsia="zh-CN"/>
        </w:rPr>
        <w:t>人身安全。</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广元市利州区回龙小学2021年部门预算收入总数586.01万元，较2020年部门预算收入总数592.32万元减少1.07%。2021年部门预算支出总数586.01万元，较2020年部门预算支出总数592.32万元减少1.07%。</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广元市利州区回龙小学2021年部门基本支出预算总数586.01万元，其中人员支出532.52万元，公用支出16.91万元,个人和家庭补助支出36.58万元。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广元市利州区回龙小学2021年部门预算安排项目支出(专项资金)0万元。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（明细项目见附表）。</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回龙小学2021年部门预算财政拨款收入总数586.01万元，较2020年部门预算财政拨款收入总数592.32万元减少1.07%；2021年部门预算财政拨款支出总数586.01万元，较2020年部门预算财政拨款支出总数592.32万元减少1.07%。</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黑体" w:hAnsi="黑体" w:eastAsia="黑体" w:cs="黑体"/>
          <w:b w:val="0"/>
          <w:bCs/>
          <w:sz w:val="32"/>
          <w:szCs w:val="32"/>
        </w:rPr>
        <w:t>五、一般公共预算当年拨款情况说明</w:t>
      </w:r>
      <w:r>
        <w:rPr>
          <w:rFonts w:hint="eastAsia" w:ascii="黑体" w:hAnsi="黑体" w:eastAsia="黑体" w:cs="黑体"/>
          <w:b w:val="0"/>
          <w:bCs/>
          <w:sz w:val="32"/>
          <w:szCs w:val="32"/>
        </w:rPr>
        <w:br w:type="textWrapping"/>
      </w:r>
      <w:r>
        <w:rPr>
          <w:rFonts w:hint="eastAsia" w:ascii="仿宋" w:hAnsi="仿宋" w:eastAsia="仿宋" w:cs="仿宋"/>
          <w:sz w:val="32"/>
          <w:szCs w:val="32"/>
        </w:rPr>
        <w:t>　　</w:t>
      </w:r>
      <w:r>
        <w:rPr>
          <w:rFonts w:hint="eastAsia" w:ascii="楷体" w:hAnsi="楷体" w:eastAsia="楷体" w:cs="楷体"/>
          <w:b w:val="0"/>
          <w:bCs/>
          <w:color w:val="000000"/>
          <w:sz w:val="32"/>
          <w:szCs w:val="32"/>
        </w:rPr>
        <w:t>（一）一般公共预算当年拨款规模变化情况</w:t>
      </w:r>
      <w:r>
        <w:rPr>
          <w:rStyle w:val="7"/>
          <w:rFonts w:hint="eastAsia" w:ascii="楷体" w:hAnsi="楷体" w:eastAsia="楷体" w:cs="楷体"/>
          <w:b w:val="0"/>
          <w:bCs/>
          <w:sz w:val="32"/>
          <w:szCs w:val="32"/>
        </w:rPr>
        <w:br w:type="textWrapping"/>
      </w:r>
      <w:r>
        <w:rPr>
          <w:rFonts w:hint="eastAsia" w:ascii="仿宋" w:hAnsi="仿宋" w:eastAsia="仿宋" w:cs="仿宋"/>
          <w:b/>
          <w:sz w:val="32"/>
          <w:szCs w:val="32"/>
        </w:rPr>
        <w:t xml:space="preserve">    </w:t>
      </w:r>
      <w:r>
        <w:rPr>
          <w:rFonts w:hint="eastAsia" w:ascii="仿宋" w:hAnsi="仿宋" w:eastAsia="仿宋" w:cs="仿宋"/>
          <w:color w:val="000000"/>
          <w:sz w:val="32"/>
          <w:szCs w:val="32"/>
        </w:rPr>
        <w:t>2021年一般公共预算当年拨款586.01万元，比2020年预算数减少6.31万元，主要原因：是人员经费减少。</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476" w:firstLineChars="149"/>
        <w:jc w:val="both"/>
        <w:rPr>
          <w:rFonts w:hint="eastAsia" w:ascii="仿宋" w:hAnsi="仿宋" w:eastAsia="仿宋" w:cs="仿宋"/>
          <w:color w:val="000000"/>
          <w:sz w:val="32"/>
          <w:szCs w:val="32"/>
        </w:rPr>
      </w:pPr>
      <w:r>
        <w:rPr>
          <w:rFonts w:hint="eastAsia" w:ascii="仿宋" w:hAnsi="仿宋" w:eastAsia="仿宋" w:cs="仿宋"/>
          <w:color w:val="000000"/>
          <w:sz w:val="32"/>
          <w:szCs w:val="32"/>
        </w:rPr>
        <w:t>教育支出464.44万元，占79.26%；社会保障和就业支出54.19万元，占9.25%；卫生健康支出29.38万元，占5.01%；住房保障支出37.99万元，占6.48%。</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2" w:firstLineChars="200"/>
        <w:jc w:val="both"/>
        <w:rPr>
          <w:rFonts w:hint="eastAsia" w:ascii="仿宋" w:hAnsi="仿宋" w:eastAsia="仿宋" w:cs="仿宋"/>
          <w:color w:val="000000"/>
          <w:sz w:val="32"/>
          <w:szCs w:val="32"/>
        </w:rPr>
      </w:pPr>
      <w:r>
        <w:rPr>
          <w:rFonts w:hint="eastAsia" w:ascii="仿宋" w:hAnsi="仿宋" w:eastAsia="仿宋" w:cs="仿宋"/>
          <w:b/>
          <w:bCs/>
          <w:sz w:val="32"/>
          <w:szCs w:val="32"/>
        </w:rPr>
        <w:t>1.教育支出（类）普通教育（款）小学教育（项）和学前教育(项)：</w:t>
      </w:r>
      <w:r>
        <w:rPr>
          <w:rFonts w:hint="eastAsia" w:ascii="仿宋" w:hAnsi="仿宋" w:eastAsia="仿宋" w:cs="仿宋"/>
          <w:color w:val="000000"/>
          <w:sz w:val="32"/>
          <w:szCs w:val="32"/>
        </w:rPr>
        <w:t>2021年预算数为464.44万元，主要用于：学校正常运转的基本支出，包括基本工资、津贴补贴、基础绩效奖等人员经费以及工会经费、福利费等日常公用经费,保障部门正常运转。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2" w:firstLineChars="200"/>
        <w:jc w:val="both"/>
        <w:rPr>
          <w:rFonts w:hint="eastAsia" w:ascii="仿宋" w:hAnsi="仿宋" w:eastAsia="仿宋" w:cs="仿宋"/>
          <w:sz w:val="32"/>
          <w:szCs w:val="32"/>
        </w:rPr>
      </w:pPr>
      <w:r>
        <w:rPr>
          <w:rFonts w:hint="eastAsia" w:ascii="仿宋" w:hAnsi="仿宋" w:eastAsia="仿宋" w:cs="仿宋"/>
          <w:b/>
          <w:bCs/>
          <w:sz w:val="32"/>
          <w:szCs w:val="32"/>
        </w:rPr>
        <w:t>2.社会保障和就业支出（类）行政事业单位离退休（款）机关事业单位基本养老保险缴费支出（项）：</w:t>
      </w:r>
      <w:r>
        <w:rPr>
          <w:rFonts w:hint="eastAsia" w:ascii="仿宋" w:hAnsi="仿宋" w:eastAsia="仿宋" w:cs="仿宋"/>
          <w:color w:val="000000"/>
          <w:sz w:val="32"/>
          <w:szCs w:val="32"/>
        </w:rPr>
        <w:t>2021年预算数为50.71万元，主要用于：学校基本养老保险缴费支出。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2" w:firstLineChars="200"/>
        <w:jc w:val="both"/>
        <w:rPr>
          <w:rFonts w:hint="eastAsia" w:ascii="仿宋" w:hAnsi="仿宋" w:eastAsia="仿宋" w:cs="仿宋"/>
          <w:color w:val="000000"/>
          <w:sz w:val="32"/>
          <w:szCs w:val="32"/>
        </w:rPr>
      </w:pPr>
      <w:r>
        <w:rPr>
          <w:rFonts w:hint="eastAsia" w:ascii="仿宋" w:hAnsi="仿宋" w:eastAsia="仿宋" w:cs="仿宋"/>
          <w:b/>
          <w:bCs/>
          <w:sz w:val="32"/>
          <w:szCs w:val="32"/>
        </w:rPr>
        <w:t>3.社会保障和就业支出（类）其它社会保障和就业支出（款）其它社会保障和就业支出（项）：</w:t>
      </w:r>
      <w:r>
        <w:rPr>
          <w:rFonts w:hint="eastAsia" w:ascii="仿宋" w:hAnsi="仿宋" w:eastAsia="仿宋" w:cs="仿宋"/>
          <w:color w:val="000000"/>
          <w:sz w:val="32"/>
          <w:szCs w:val="32"/>
        </w:rPr>
        <w:t>2021年预算数为3.48万元，主要用于：学校工伤、失业等社保缴费支出。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2" w:firstLineChars="200"/>
        <w:jc w:val="both"/>
        <w:rPr>
          <w:rFonts w:hint="eastAsia" w:ascii="仿宋" w:hAnsi="仿宋" w:eastAsia="仿宋" w:cs="仿宋"/>
          <w:sz w:val="32"/>
          <w:szCs w:val="32"/>
        </w:rPr>
      </w:pPr>
      <w:r>
        <w:rPr>
          <w:rFonts w:hint="eastAsia" w:ascii="仿宋" w:hAnsi="仿宋" w:eastAsia="仿宋" w:cs="仿宋"/>
          <w:b/>
          <w:bCs/>
          <w:sz w:val="32"/>
          <w:szCs w:val="32"/>
        </w:rPr>
        <w:t>4.卫生健康支出（类）行政事业单位医疗（款）事业单位医疗（项）：</w:t>
      </w:r>
      <w:r>
        <w:rPr>
          <w:rFonts w:hint="eastAsia" w:ascii="仿宋" w:hAnsi="仿宋" w:eastAsia="仿宋" w:cs="仿宋"/>
          <w:color w:val="000000"/>
          <w:sz w:val="32"/>
          <w:szCs w:val="32"/>
        </w:rPr>
        <w:t>2021年预算数为29.38万元，主要用于：学校基本医疗保险缴费支出。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2" w:firstLineChars="200"/>
        <w:jc w:val="both"/>
        <w:rPr>
          <w:rFonts w:hint="eastAsia" w:ascii="仿宋" w:hAnsi="仿宋" w:eastAsia="仿宋" w:cs="仿宋"/>
          <w:color w:val="000000"/>
          <w:sz w:val="32"/>
          <w:szCs w:val="32"/>
        </w:rPr>
      </w:pPr>
      <w:r>
        <w:rPr>
          <w:rFonts w:hint="eastAsia" w:ascii="仿宋" w:hAnsi="仿宋" w:eastAsia="仿宋" w:cs="仿宋"/>
          <w:b/>
          <w:bCs/>
          <w:sz w:val="32"/>
          <w:szCs w:val="32"/>
        </w:rPr>
        <w:t>5.住房保障（类）住房改革支出（款）住房公积金（项）</w:t>
      </w:r>
      <w:r>
        <w:rPr>
          <w:rFonts w:hint="eastAsia" w:ascii="仿宋" w:hAnsi="仿宋" w:eastAsia="仿宋" w:cs="仿宋"/>
          <w:color w:val="000000"/>
          <w:sz w:val="32"/>
          <w:szCs w:val="32"/>
        </w:rPr>
        <w:t>2021年预算数为37.99万元，主要用于：部门按人力资源和社会保障部、财政部规定的基本工资和津贴补贴以及规定比例为职工缴纳的住房公积金支出。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黑体" w:hAnsi="黑体" w:eastAsia="黑体" w:cs="黑体"/>
          <w:b w:val="0"/>
          <w:bCs/>
          <w:sz w:val="32"/>
          <w:szCs w:val="32"/>
        </w:rPr>
        <w:t>六、一般公共预算基本支出情况说明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广元市利州区回龙小学2021年一般公共预算基本支出586.01万元，其中：人员经费532.52万元，主要包括：基本工资、津贴补贴、奖金、社会保险缴费等支出。公用经费16.91万元，主要包括：办公费、水费、电费、邮电费、印刷费、差旅费、维修（护）费、物业管理费、劳务费等支出。对个人和家庭补助支出36.58万元。</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七、“三公”经费财政拨款预算安排情况说明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无</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黑体" w:hAnsi="黑体" w:eastAsia="黑体" w:cs="黑体"/>
          <w:b w:val="0"/>
          <w:bCs/>
          <w:sz w:val="32"/>
          <w:szCs w:val="32"/>
        </w:rPr>
        <w:t>八、政府性基金预算支出情况说明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广元市利州区回龙小学2021年没有使用政府性基金预算拨款安排的支出。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九、国有资本经营预算支出情况说明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广元市利州区回龙小学2021年没有使用国有资本经营预算拨款安排的支出。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十、其他重要事项的情况说明</w:t>
      </w:r>
      <w:r>
        <w:rPr>
          <w:rFonts w:hint="eastAsia" w:ascii="黑体" w:hAnsi="黑体" w:eastAsia="黑体" w:cs="黑体"/>
          <w:b w:val="0"/>
          <w:bCs/>
          <w:sz w:val="32"/>
          <w:szCs w:val="32"/>
        </w:rPr>
        <w:br w:type="textWrapping"/>
      </w:r>
      <w:r>
        <w:rPr>
          <w:rFonts w:hint="eastAsia" w:ascii="楷体" w:hAnsi="楷体" w:eastAsia="楷体" w:cs="楷体"/>
          <w:b w:val="0"/>
          <w:bCs/>
          <w:color w:val="000000"/>
          <w:sz w:val="32"/>
          <w:szCs w:val="32"/>
        </w:rPr>
        <w:t>　　（一）政府采购情况</w:t>
      </w:r>
      <w:r>
        <w:rPr>
          <w:rFonts w:hint="eastAsia" w:ascii="楷体" w:hAnsi="楷体" w:eastAsia="楷体" w:cs="楷体"/>
          <w:b w:val="0"/>
          <w:bCs/>
          <w:color w:val="000000"/>
          <w:sz w:val="32"/>
          <w:szCs w:val="32"/>
        </w:rPr>
        <w:br w:type="textWrapping"/>
      </w:r>
      <w:r>
        <w:rPr>
          <w:rFonts w:hint="eastAsia" w:ascii="仿宋" w:hAnsi="仿宋" w:eastAsia="仿宋" w:cs="仿宋"/>
          <w:color w:val="000000"/>
          <w:sz w:val="32"/>
          <w:szCs w:val="32"/>
        </w:rPr>
        <w:t>　　2021年，回龙小学未安排政府采购预算</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楷体" w:hAnsi="楷体" w:eastAsia="楷体" w:cs="楷体"/>
          <w:b w:val="0"/>
          <w:bCs/>
          <w:color w:val="000000"/>
          <w:sz w:val="32"/>
          <w:szCs w:val="32"/>
        </w:rPr>
        <w:t>（二）国有资产占有使用情况</w:t>
      </w:r>
      <w:r>
        <w:rPr>
          <w:rFonts w:hint="eastAsia" w:ascii="楷体" w:hAnsi="楷体" w:eastAsia="楷体" w:cs="楷体"/>
          <w:b w:val="0"/>
          <w:bCs/>
          <w:color w:val="000000"/>
          <w:sz w:val="32"/>
          <w:szCs w:val="32"/>
        </w:rPr>
        <w:br w:type="textWrapping"/>
      </w:r>
      <w:r>
        <w:rPr>
          <w:rFonts w:hint="eastAsia" w:ascii="仿宋" w:hAnsi="仿宋" w:eastAsia="仿宋" w:cs="仿宋"/>
          <w:color w:val="000000"/>
          <w:sz w:val="32"/>
          <w:szCs w:val="32"/>
        </w:rPr>
        <w:t>　　截至2021年底，广元市利州区回龙小学共有车辆0辆。单位价值10万元以上大型设备0台（套）。</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2021年部门预算未安排(安排）购置车辆及单位价值20万元以上大型设备。</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sz w:val="32"/>
          <w:szCs w:val="32"/>
        </w:rPr>
      </w:pPr>
      <w:r>
        <w:rPr>
          <w:rFonts w:hint="eastAsia" w:ascii="楷体" w:hAnsi="楷体" w:eastAsia="楷体" w:cs="楷体"/>
          <w:b w:val="0"/>
          <w:bCs/>
          <w:color w:val="000000"/>
          <w:sz w:val="32"/>
          <w:szCs w:val="32"/>
        </w:rPr>
        <w:t>（三）绩效目标设置情况</w:t>
      </w:r>
      <w:r>
        <w:rPr>
          <w:rFonts w:hint="eastAsia" w:ascii="楷体" w:hAnsi="楷体" w:eastAsia="楷体" w:cs="楷体"/>
          <w:b w:val="0"/>
          <w:bCs/>
          <w:color w:val="000000"/>
          <w:sz w:val="32"/>
          <w:szCs w:val="32"/>
        </w:rPr>
        <w:br w:type="textWrapping"/>
      </w:r>
      <w:r>
        <w:rPr>
          <w:rFonts w:hint="eastAsia" w:ascii="仿宋" w:hAnsi="仿宋" w:eastAsia="仿宋" w:cs="仿宋"/>
          <w:color w:val="000000"/>
          <w:sz w:val="32"/>
          <w:szCs w:val="32"/>
        </w:rPr>
        <w:t>　　绩效目标是预算编制的前提和基础，按照“费随事定”的原则，2021年广元市利州区回龙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十一、名词解释</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（一）一般公共预算拨款收入：指区级财政当年拨付的资金。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（二）上年结转：指以前年度尚未完成，结转到本年仍按原规定用途继续使用的资金。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（三）一般公共服务（类）财政事务（款）行政运行（项）：指局机关及参公管理事业单位用于保障机构正常运行、开展日常工作的基本支出。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（四）社会保障和就业（类）行政事业单位离退休（款）未归口管理的行政单位离退休（项）：指局机关离退休人员的支出。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（七）卫生健康（类）行政事业单位医疗（款）行政单位医疗（项）：指局机关及参公管理事业单位用于缴纳单位基本医疗保险支出。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（八）卫生健康（类）行政事业单位医疗（款）事业单位医疗（项）：指事业单位用于缴纳单位基本医疗保险支出。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（九）住房保障（类）住房改革支出（款）住房公积金（项）：指按照《住房公积金管理条例》的规定，由单位及其在职职工缴存的长期住房储金。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（十）基本支出：指为保证机构正常运转，完成日常工作任务而发生的人员支出和公用支出。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（十一）项目支出：指在基本支出之外为完成特定行政任务和事业发展目标所发生的支出。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（十二）“三公”经费：</w:t>
      </w:r>
      <w:r>
        <w:rPr>
          <w:rFonts w:hint="eastAsia" w:ascii="仿宋" w:hAnsi="仿宋" w:eastAsia="仿宋" w:cs="仿宋"/>
          <w:b w:val="0"/>
          <w:i w:val="0"/>
          <w:caps w:val="0"/>
          <w:color w:val="000000"/>
          <w:spacing w:val="0"/>
          <w:w w:val="100"/>
          <w:sz w:val="32"/>
          <w:szCs w:val="32"/>
        </w:rPr>
        <w:t>纳入财政预算管理的“三公”经费</w:t>
      </w:r>
      <w:r>
        <w:rPr>
          <w:rFonts w:hint="eastAsia" w:ascii="仿宋" w:hAnsi="仿宋" w:eastAsia="仿宋" w:cs="仿宋"/>
          <w:color w:val="000000"/>
          <w:sz w:val="32"/>
          <w:szCs w:val="32"/>
        </w:rPr>
        <w:t>，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br w:type="textWrapping"/>
      </w:r>
    </w:p>
    <w:p>
      <w:pPr>
        <w:keepNext w:val="0"/>
        <w:keepLines w:val="0"/>
        <w:pageBreakBefore w:val="0"/>
        <w:widowControl w:val="0"/>
        <w:tabs>
          <w:tab w:val="left" w:pos="4815"/>
        </w:tabs>
        <w:kinsoku/>
        <w:wordWrap/>
        <w:overflowPunct/>
        <w:topLinePunct w:val="0"/>
        <w:autoSpaceDE/>
        <w:autoSpaceDN/>
        <w:bidi w:val="0"/>
        <w:snapToGrid w:val="0"/>
        <w:spacing w:line="576" w:lineRule="exact"/>
        <w:ind w:left="0" w:leftChars="0"/>
        <w:jc w:val="both"/>
        <w:rPr>
          <w:rFonts w:hint="eastAsia"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广元市利州区回龙小学</w:t>
      </w:r>
    </w:p>
    <w:p>
      <w:pPr>
        <w:keepNext w:val="0"/>
        <w:keepLines w:val="0"/>
        <w:pageBreakBefore w:val="0"/>
        <w:widowControl w:val="0"/>
        <w:tabs>
          <w:tab w:val="left" w:pos="5305"/>
        </w:tabs>
        <w:kinsoku/>
        <w:wordWrap/>
        <w:overflowPunct/>
        <w:topLinePunct w:val="0"/>
        <w:autoSpaceDE/>
        <w:autoSpaceDN/>
        <w:bidi w:val="0"/>
        <w:snapToGrid w:val="0"/>
        <w:spacing w:line="576" w:lineRule="exact"/>
        <w:ind w:firstLine="5120" w:firstLineChars="1600"/>
        <w:jc w:val="left"/>
        <w:rPr>
          <w:rFonts w:hint="eastAsia" w:ascii="仿宋" w:hAnsi="仿宋" w:eastAsia="仿宋" w:cs="仿宋"/>
          <w:color w:val="000000"/>
          <w:sz w:val="32"/>
          <w:szCs w:val="32"/>
        </w:rPr>
      </w:pPr>
      <w:r>
        <w:rPr>
          <w:rFonts w:hint="eastAsia" w:ascii="仿宋" w:hAnsi="仿宋" w:eastAsia="仿宋" w:cs="仿宋"/>
          <w:color w:val="000000"/>
          <w:sz w:val="32"/>
          <w:szCs w:val="32"/>
        </w:rPr>
        <w:t>2021年3月</w:t>
      </w:r>
      <w:r>
        <w:rPr>
          <w:rFonts w:hint="eastAsia" w:ascii="仿宋" w:hAnsi="仿宋" w:eastAsia="仿宋" w:cs="仿宋"/>
          <w:color w:val="000000"/>
          <w:sz w:val="32"/>
          <w:szCs w:val="32"/>
          <w:lang w:val="en-US" w:eastAsia="zh-CN"/>
        </w:rPr>
        <w:t>29</w:t>
      </w:r>
      <w:r>
        <w:rPr>
          <w:rFonts w:hint="eastAsia" w:ascii="仿宋" w:hAnsi="仿宋" w:eastAsia="仿宋" w:cs="仿宋"/>
          <w:color w:val="000000"/>
          <w:sz w:val="32"/>
          <w:szCs w:val="32"/>
        </w:rPr>
        <w:t>日</w:t>
      </w:r>
    </w:p>
    <w:sectPr>
      <w:footerReference r:id="rId3" w:type="default"/>
      <w:pgSz w:w="11906" w:h="16838"/>
      <w:pgMar w:top="1701" w:right="1474" w:bottom="1701" w:left="1587" w:header="851"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FkYzlmOTc4YmRhZmY2YTBjOWZhYzBiYjQyMzAifQ=="/>
  </w:docVars>
  <w:rsids>
    <w:rsidRoot w:val="004F514A"/>
    <w:rsid w:val="000234F0"/>
    <w:rsid w:val="000F7E8B"/>
    <w:rsid w:val="0012484D"/>
    <w:rsid w:val="0019321F"/>
    <w:rsid w:val="002002DA"/>
    <w:rsid w:val="0020247B"/>
    <w:rsid w:val="00204A7A"/>
    <w:rsid w:val="0022157B"/>
    <w:rsid w:val="0022790D"/>
    <w:rsid w:val="0024385F"/>
    <w:rsid w:val="0026122B"/>
    <w:rsid w:val="002D1E95"/>
    <w:rsid w:val="00312142"/>
    <w:rsid w:val="003A690F"/>
    <w:rsid w:val="003F084C"/>
    <w:rsid w:val="004C01BC"/>
    <w:rsid w:val="004F514A"/>
    <w:rsid w:val="006669E2"/>
    <w:rsid w:val="006A476B"/>
    <w:rsid w:val="006A7B11"/>
    <w:rsid w:val="007359EB"/>
    <w:rsid w:val="007D2FDC"/>
    <w:rsid w:val="007E0D7C"/>
    <w:rsid w:val="0086021F"/>
    <w:rsid w:val="00886C02"/>
    <w:rsid w:val="008D7D71"/>
    <w:rsid w:val="009073AE"/>
    <w:rsid w:val="00931DAA"/>
    <w:rsid w:val="009D4063"/>
    <w:rsid w:val="00A565DC"/>
    <w:rsid w:val="00A923C1"/>
    <w:rsid w:val="00AC2EAA"/>
    <w:rsid w:val="00B119AC"/>
    <w:rsid w:val="00B84337"/>
    <w:rsid w:val="00C06BFD"/>
    <w:rsid w:val="00C94ABD"/>
    <w:rsid w:val="00CD4B04"/>
    <w:rsid w:val="00CE5135"/>
    <w:rsid w:val="00D33725"/>
    <w:rsid w:val="00E14578"/>
    <w:rsid w:val="00E40709"/>
    <w:rsid w:val="00EA4825"/>
    <w:rsid w:val="00EE6D91"/>
    <w:rsid w:val="00FB1A43"/>
    <w:rsid w:val="00FD2341"/>
    <w:rsid w:val="012E766D"/>
    <w:rsid w:val="044F5BC4"/>
    <w:rsid w:val="099A6EBD"/>
    <w:rsid w:val="0B974E68"/>
    <w:rsid w:val="0E1168EA"/>
    <w:rsid w:val="0ED54B8C"/>
    <w:rsid w:val="160776AB"/>
    <w:rsid w:val="1A4B3E10"/>
    <w:rsid w:val="1E0E19CB"/>
    <w:rsid w:val="1ED53AE3"/>
    <w:rsid w:val="1F746947"/>
    <w:rsid w:val="237F1682"/>
    <w:rsid w:val="24C90A2A"/>
    <w:rsid w:val="25C96B17"/>
    <w:rsid w:val="260A4F3C"/>
    <w:rsid w:val="281C3144"/>
    <w:rsid w:val="2DBA1E53"/>
    <w:rsid w:val="30806273"/>
    <w:rsid w:val="43644D8C"/>
    <w:rsid w:val="45BE2AED"/>
    <w:rsid w:val="55860D15"/>
    <w:rsid w:val="578919DC"/>
    <w:rsid w:val="600105C9"/>
    <w:rsid w:val="64D9486F"/>
    <w:rsid w:val="67D245BF"/>
    <w:rsid w:val="74AB75CC"/>
    <w:rsid w:val="785F0829"/>
    <w:rsid w:val="78F82E26"/>
    <w:rsid w:val="7BD06D36"/>
    <w:rsid w:val="7FE93CF6"/>
    <w:rsid w:val="EDF3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2583</Words>
  <Characters>2835</Characters>
  <Lines>21</Lines>
  <Paragraphs>5</Paragraphs>
  <TotalTime>5</TotalTime>
  <ScaleCrop>false</ScaleCrop>
  <LinksUpToDate>false</LinksUpToDate>
  <CharactersWithSpaces>2905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user</cp:lastModifiedBy>
  <cp:lastPrinted>2019-07-23T10:42:00Z</cp:lastPrinted>
  <dcterms:modified xsi:type="dcterms:W3CDTF">2023-07-17T17:53:37Z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55DA4BBF7164427CB761560300703C67</vt:lpwstr>
  </property>
</Properties>
</file>