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58"/>
          <w:szCs w:val="58"/>
        </w:rPr>
      </w:pPr>
    </w:p>
    <w:bookmarkEnd w:id="0"/>
    <w:p>
      <w:pPr>
        <w:adjustRightInd w:val="0"/>
        <w:snapToGrid w:val="0"/>
        <w:spacing w:line="360" w:lineRule="auto"/>
        <w:jc w:val="center"/>
        <w:outlineLvl w:val="0"/>
        <w:rPr>
          <w:rFonts w:ascii="方正小标宋简体" w:hAnsi="宋体" w:eastAsia="方正小标宋简体"/>
          <w:sz w:val="58"/>
          <w:szCs w:val="58"/>
        </w:rPr>
      </w:pPr>
      <w:bookmarkStart w:id="1" w:name="_Toc15377425"/>
      <w:bookmarkStart w:id="2" w:name="_Toc15378441"/>
      <w:bookmarkStart w:id="3" w:name="_Toc15396475"/>
      <w:bookmarkStart w:id="4" w:name="_Toc19089858"/>
      <w:bookmarkStart w:id="5" w:name="_Toc15396597"/>
      <w:bookmarkStart w:id="6" w:name="_Toc15377193"/>
      <w:r>
        <w:rPr>
          <w:rFonts w:ascii="黑体" w:hAnsi="黑体" w:eastAsia="黑体"/>
          <w:sz w:val="58"/>
          <w:szCs w:val="58"/>
        </w:rPr>
        <w:t>201</w:t>
      </w:r>
      <w:r>
        <w:rPr>
          <w:rFonts w:hint="eastAsia" w:ascii="黑体" w:hAnsi="黑体" w:eastAsia="黑体"/>
          <w:sz w:val="58"/>
          <w:szCs w:val="58"/>
        </w:rPr>
        <w:t>9</w:t>
      </w:r>
      <w:r>
        <w:rPr>
          <w:rFonts w:hint="eastAsia" w:ascii="方正小标宋简体" w:hAnsi="宋体" w:eastAsia="方正小标宋简体"/>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8"/>
          <w:szCs w:val="58"/>
        </w:rPr>
      </w:pPr>
      <w:bookmarkStart w:id="7" w:name="_Toc19089859"/>
      <w:bookmarkStart w:id="8" w:name="_Toc15378442"/>
      <w:bookmarkStart w:id="9" w:name="_Toc15377426"/>
      <w:bookmarkStart w:id="10" w:name="_Toc15396476"/>
      <w:bookmarkStart w:id="11" w:name="_Toc15396598"/>
      <w:bookmarkStart w:id="12" w:name="_Toc15377194"/>
      <w:r>
        <w:rPr>
          <w:rFonts w:hint="eastAsia" w:ascii="方正小标宋简体" w:hAnsi="宋体" w:eastAsia="方正小标宋简体"/>
          <w:sz w:val="58"/>
          <w:szCs w:val="58"/>
        </w:rPr>
        <w:t>四川省</w:t>
      </w:r>
      <w:bookmarkStart w:id="13" w:name="_Toc15306268"/>
      <w:r>
        <w:rPr>
          <w:rFonts w:hint="eastAsia" w:ascii="方正小标宋简体" w:hAnsi="宋体" w:eastAsia="方正小标宋简体"/>
          <w:sz w:val="58"/>
          <w:szCs w:val="58"/>
          <w:lang w:eastAsia="zh-CN"/>
        </w:rPr>
        <w:t>广元市</w:t>
      </w:r>
      <w:r>
        <w:rPr>
          <w:rFonts w:hint="eastAsia" w:ascii="方正小标宋简体" w:hAnsi="宋体" w:eastAsia="方正小标宋简体"/>
          <w:sz w:val="58"/>
          <w:szCs w:val="58"/>
        </w:rPr>
        <w:t>利州区</w:t>
      </w:r>
      <w:bookmarkEnd w:id="7"/>
      <w:r>
        <w:rPr>
          <w:rFonts w:hint="eastAsia" w:ascii="方正小标宋简体" w:hAnsi="宋体" w:eastAsia="方正小标宋简体"/>
          <w:sz w:val="58"/>
          <w:szCs w:val="58"/>
        </w:rPr>
        <w:t>嘉陵小学</w:t>
      </w:r>
    </w:p>
    <w:p>
      <w:pPr>
        <w:adjustRightInd w:val="0"/>
        <w:snapToGrid w:val="0"/>
        <w:spacing w:line="360" w:lineRule="auto"/>
        <w:jc w:val="center"/>
        <w:outlineLvl w:val="0"/>
        <w:rPr>
          <w:rFonts w:ascii="方正小标宋简体" w:hAnsi="宋体" w:eastAsia="方正小标宋简体"/>
          <w:sz w:val="58"/>
          <w:szCs w:val="58"/>
        </w:rPr>
      </w:pPr>
      <w:bookmarkStart w:id="14" w:name="_Toc19089860"/>
      <w:r>
        <w:rPr>
          <w:rFonts w:hint="eastAsia" w:ascii="方正小标宋简体" w:hAnsi="宋体" w:eastAsia="方正小标宋简体"/>
          <w:sz w:val="58"/>
          <w:szCs w:val="58"/>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widowControl/>
        <w:jc w:val="center"/>
        <w:rPr>
          <w:rFonts w:ascii="黑体" w:hAnsi="黑体" w:eastAsia="黑体"/>
          <w:sz w:val="48"/>
          <w:szCs w:val="48"/>
        </w:rPr>
      </w:pP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sz w:val="28"/>
          <w:szCs w:val="28"/>
        </w:rPr>
      </w:pPr>
      <w:r>
        <w:rPr>
          <w:rFonts w:hint="eastAsia" w:ascii="黑体" w:hAnsi="黑体" w:eastAsia="黑体"/>
          <w:sz w:val="28"/>
          <w:szCs w:val="28"/>
        </w:rPr>
        <w:t>第一部分 部门概况</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二、机构设置</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sz w:val="28"/>
          <w:szCs w:val="28"/>
        </w:rPr>
      </w:pPr>
      <w:r>
        <w:rPr>
          <w:rFonts w:hint="eastAsia" w:ascii="黑体" w:hAnsi="黑体" w:eastAsia="黑体"/>
          <w:sz w:val="28"/>
          <w:szCs w:val="28"/>
        </w:rPr>
        <w:t>第二部分 2019年度部门决算情况说明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十一、其他重要事项的情况说明</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黑体" w:hAnsi="黑体" w:eastAsia="黑体"/>
          <w:sz w:val="28"/>
          <w:szCs w:val="28"/>
        </w:rPr>
      </w:pPr>
      <w:r>
        <w:rPr>
          <w:rFonts w:hint="eastAsia" w:ascii="黑体" w:hAnsi="黑体" w:eastAsia="黑体"/>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sz w:val="28"/>
          <w:szCs w:val="28"/>
        </w:rPr>
      </w:pPr>
      <w:r>
        <w:rPr>
          <w:rFonts w:hint="eastAsia" w:ascii="黑体" w:hAnsi="黑体" w:eastAsia="黑体"/>
          <w:sz w:val="28"/>
          <w:szCs w:val="28"/>
        </w:rPr>
        <w:t>第五部分 附表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一、收入支出决算总表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二、收入总表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三、支出总表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四、财政拨款收入支出决算总表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五、财政拨款支出决算明细表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十三、国有资本经营预算支出决算表</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黑体" w:hAnsi="黑体" w:eastAsia="黑体"/>
          <w:sz w:val="28"/>
          <w:szCs w:val="28"/>
        </w:rPr>
      </w:pP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黑体" w:hAnsi="黑体" w:eastAsia="黑体"/>
          <w:sz w:val="28"/>
          <w:szCs w:val="28"/>
        </w:rPr>
      </w:pPr>
      <w:r>
        <w:rPr>
          <w:rFonts w:ascii="黑体" w:hAnsi="黑体" w:eastAsia="黑体"/>
          <w:sz w:val="28"/>
          <w:szCs w:val="28"/>
        </w:rPr>
        <w:t> </w:t>
      </w:r>
    </w:p>
    <w:p>
      <w:pPr>
        <w:pStyle w:val="2"/>
        <w:jc w:val="center"/>
        <w:rPr>
          <w:rFonts w:hint="eastAsia" w:ascii="方正小标宋简体" w:hAnsi="方正小标宋简体" w:eastAsia="方正小标宋简体" w:cs="方正小标宋简体"/>
          <w:b w:val="0"/>
        </w:rPr>
        <w:sectPr>
          <w:headerReference r:id="rId3" w:type="default"/>
          <w:pgSz w:w="11906" w:h="16838"/>
          <w:pgMar w:top="1701" w:right="1474" w:bottom="1701" w:left="1587" w:header="851" w:footer="992" w:gutter="0"/>
          <w:pgNumType w:start="1"/>
          <w:cols w:space="425" w:num="1"/>
          <w:titlePg/>
          <w:docGrid w:type="lines" w:linePitch="312" w:charSpace="0"/>
        </w:sectPr>
      </w:pPr>
      <w:bookmarkStart w:id="15" w:name="_Toc19089861"/>
      <w:bookmarkStart w:id="16" w:name="_Toc15377196"/>
    </w:p>
    <w:p>
      <w:pPr>
        <w:pStyle w:val="2"/>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 xml:space="preserve">第一部分 </w:t>
      </w:r>
      <w:r>
        <w:rPr>
          <w:rStyle w:val="25"/>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numPr>
          <w:ilvl w:val="0"/>
          <w:numId w:val="1"/>
        </w:numPr>
        <w:kinsoku/>
        <w:wordWrap/>
        <w:overflowPunct/>
        <w:topLinePunct w:val="0"/>
        <w:autoSpaceDE/>
        <w:autoSpaceDN/>
        <w:bidi w:val="0"/>
        <w:adjustRightInd/>
        <w:snapToGrid w:val="0"/>
        <w:spacing w:before="0" w:after="0" w:line="520" w:lineRule="exact"/>
        <w:ind w:left="0" w:firstLine="560" w:firstLineChars="200"/>
        <w:textAlignment w:val="auto"/>
        <w:rPr>
          <w:rStyle w:val="26"/>
          <w:rFonts w:hint="eastAsia" w:ascii="黑体" w:hAnsi="黑体" w:eastAsia="黑体" w:cs="黑体"/>
          <w:b w:val="0"/>
          <w:bCs w:val="0"/>
          <w:sz w:val="28"/>
          <w:szCs w:val="28"/>
        </w:rPr>
      </w:pPr>
      <w:bookmarkStart w:id="17" w:name="_Toc19089862"/>
      <w:bookmarkStart w:id="18" w:name="_Toc15377197"/>
      <w:r>
        <w:rPr>
          <w:rFonts w:hint="eastAsia" w:ascii="黑体" w:hAnsi="黑体" w:eastAsia="黑体" w:cs="黑体"/>
          <w:b w:val="0"/>
          <w:sz w:val="28"/>
          <w:szCs w:val="28"/>
        </w:rPr>
        <w:t>基</w:t>
      </w:r>
      <w:r>
        <w:rPr>
          <w:rStyle w:val="26"/>
          <w:rFonts w:hint="eastAsia" w:ascii="黑体" w:hAnsi="黑体" w:eastAsia="黑体" w:cs="黑体"/>
          <w:b w:val="0"/>
          <w:bCs w:val="0"/>
          <w:sz w:val="28"/>
          <w:szCs w:val="28"/>
        </w:rPr>
        <w:t>本情况及主要工作</w:t>
      </w:r>
      <w:bookmarkEnd w:id="17"/>
      <w:bookmarkEnd w:id="18"/>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楷体" w:hAnsi="楷体" w:eastAsia="楷体" w:cs="楷体"/>
          <w:b w:val="0"/>
          <w:bCs/>
          <w:sz w:val="28"/>
          <w:szCs w:val="28"/>
        </w:rPr>
      </w:pPr>
      <w:r>
        <w:rPr>
          <w:rFonts w:hint="eastAsia" w:ascii="楷体" w:hAnsi="楷体" w:eastAsia="楷体" w:cs="楷体"/>
          <w:b w:val="0"/>
          <w:bCs/>
          <w:sz w:val="28"/>
          <w:szCs w:val="28"/>
        </w:rPr>
        <w:t>（一）基本情况</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bookmarkStart w:id="19" w:name="_Toc15378446"/>
      <w:bookmarkStart w:id="20" w:name="_Toc15377199"/>
      <w:bookmarkStart w:id="21" w:name="_Toc15377204"/>
      <w:r>
        <w:rPr>
          <w:rFonts w:hint="eastAsia" w:ascii="仿宋" w:hAnsi="仿宋" w:eastAsia="仿宋" w:cs="仿宋"/>
          <w:sz w:val="28"/>
          <w:szCs w:val="28"/>
        </w:rPr>
        <w:t>广元市利州区嘉陵小学是一所普通全额拨款事业单位，位于广元市利州区老城嘉学巷20#，隶属广元市利州区教育局直接领导。为下属二级单位，学校财务由区财政统一预算，纳入国库集中支付管理范围。</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楷体" w:hAnsi="楷体" w:eastAsia="楷体" w:cs="楷体"/>
          <w:b w:val="0"/>
          <w:bCs/>
          <w:sz w:val="28"/>
          <w:szCs w:val="28"/>
        </w:rPr>
      </w:pPr>
      <w:r>
        <w:rPr>
          <w:rFonts w:hint="eastAsia" w:ascii="楷体" w:hAnsi="楷体" w:eastAsia="楷体" w:cs="楷体"/>
          <w:b w:val="0"/>
          <w:bCs/>
          <w:sz w:val="28"/>
          <w:szCs w:val="28"/>
        </w:rPr>
        <w:t>（二）主要工作</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1．重教育，严管理，狠抓学校队伍建设。</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bCs/>
          <w:color w:val="000000"/>
          <w:sz w:val="28"/>
          <w:szCs w:val="28"/>
          <w:shd w:val="clear" w:color="auto" w:fill="FFFFFF"/>
        </w:rPr>
        <w:t>重学习教育，提高教师的道德法纪意识</w:t>
      </w:r>
      <w:r>
        <w:rPr>
          <w:rFonts w:hint="eastAsia" w:ascii="仿宋" w:hAnsi="仿宋" w:eastAsia="仿宋" w:cs="仿宋"/>
          <w:sz w:val="28"/>
          <w:szCs w:val="28"/>
        </w:rPr>
        <w:t>。以树牢“四个意识”，坚定“四个自信”，做到“两个维护”，遵守</w:t>
      </w:r>
      <w:r>
        <w:rPr>
          <w:rFonts w:hint="eastAsia" w:ascii="仿宋" w:hAnsi="仿宋" w:eastAsia="仿宋" w:cs="仿宋"/>
          <w:sz w:val="28"/>
          <w:szCs w:val="28"/>
          <w:lang w:eastAsia="zh-CN"/>
        </w:rPr>
        <w:t>中央</w:t>
      </w:r>
      <w:r>
        <w:rPr>
          <w:rFonts w:hint="eastAsia" w:ascii="仿宋" w:hAnsi="仿宋" w:eastAsia="仿宋" w:cs="仿宋"/>
          <w:sz w:val="28"/>
          <w:szCs w:val="28"/>
        </w:rPr>
        <w:t>八项规定</w:t>
      </w:r>
      <w:bookmarkStart w:id="25" w:name="_GoBack"/>
      <w:bookmarkEnd w:id="25"/>
      <w:r>
        <w:rPr>
          <w:rFonts w:hint="eastAsia" w:ascii="仿宋" w:hAnsi="仿宋" w:eastAsia="仿宋" w:cs="仿宋"/>
          <w:sz w:val="28"/>
          <w:szCs w:val="28"/>
        </w:rPr>
        <w:t>，杜绝“四风”问题，践行“一岗双责”，进行“一对一”面对面谈话谈心为核心，把教育防范作为关爱教职工的关键要素之一，有序推进“作风纪律深化年”活动，落实主体责任，明确责任清单，实现了警钟长鸣。全体教师以高度的自觉性和实际行动维护了自身职业的良好形象，一批教师荣获省市区各级“优秀教育工作者”、“优秀班主任”、“优秀教师”等荣誉称号，学校形成了风清气正的育人环境。</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抓班子建设，提升管理服务水平。学校领导班子率先垂范，钻研教育教学业务，以师为本，以生为本。以“现代学校管理示范校”创建为契机，完善管理机制，包括学校机构，岗位职责，教育教学，学生管理，总务后勤，安全体卫等六方面，对于每一项制度，遵循“校委会决策，教代会监督，处室落实，年级运作”的管理模式。</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2．重德行，抓活动，努力培养德艺双馨幸福学生。</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始终把德育放在首位，重视学生的思想道德建设，把培养学生良好的道德品质、行为习惯、个性特长作为重点，三套马车并行，同时以活动为载体，寓教于乐，潜移默化感染学生，让学生在活动中悟性发展，努力实现德艺双馨幸福学生培养目标。</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坚持“安全第一，预防为主”的方针，切实加强安全防范工作，积极建设“平安校园”，为师生营造安全、和谐、整洁的校园环境。</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3．抓改革，重质量，推进素质教育提升学生科学文化素质。</w:t>
      </w:r>
    </w:p>
    <w:p>
      <w:pPr>
        <w:pStyle w:val="12"/>
        <w:pageBreakBefore w:val="0"/>
        <w:widowControl w:val="0"/>
        <w:kinsoku/>
        <w:wordWrap/>
        <w:overflowPunct/>
        <w:topLinePunct w:val="0"/>
        <w:autoSpaceDE/>
        <w:autoSpaceDN/>
        <w:bidi w:val="0"/>
        <w:adjustRightInd/>
        <w:snapToGrid w:val="0"/>
        <w:spacing w:before="0" w:beforeAutospacing="0" w:after="0" w:afterAutospacing="0" w:line="520" w:lineRule="exact"/>
        <w:ind w:left="0" w:firstLine="560" w:firstLineChars="200"/>
        <w:jc w:val="both"/>
        <w:textAlignment w:val="auto"/>
        <w:rPr>
          <w:rFonts w:hint="eastAsia" w:ascii="仿宋" w:hAnsi="仿宋" w:eastAsia="仿宋" w:cs="仿宋"/>
          <w:kern w:val="2"/>
          <w:sz w:val="28"/>
          <w:szCs w:val="28"/>
        </w:rPr>
      </w:pPr>
      <w:r>
        <w:rPr>
          <w:rFonts w:hint="eastAsia" w:ascii="仿宋" w:hAnsi="仿宋" w:eastAsia="仿宋" w:cs="仿宋"/>
          <w:kern w:val="2"/>
          <w:sz w:val="28"/>
          <w:szCs w:val="28"/>
        </w:rPr>
        <w:t>教学始终都是学校中心工作，规范课程管理，规范教师教学行为是改进课堂教学，提高教学质量的保证，教学质量始终是学校发展的生命线，一年来全校教师以提高教学质量为工作目标，全身心投入教育教学工作，确保了学校教育教学秩序的正常和教学质量的稳步提升。</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严格按规定开齐上足课程，有秩序安排教育教学工作，不随意停课、调课，认真上好音、体、美课程，开齐地方课程。认真做好“两操”，认真组织运动会。同时组建了乒乓球、篮球、足球、田径、绘画、手工、书法、舞蹈、合唱、校本剧、葫芦丝、围棋、计算机、科教制作等十多个社团，每天下午定时组织学生按照自己的兴趣和特长开展活动，促进学生全面发展和个性发展。根据有关规定，依法保证义务教育阶段学生免试入学，严格各类招生政策，均衡规范编班。积极探索阳光体育活动，精心组织大课间活动，引导师生积极参加锻炼，强健体魄。</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校长、分管校长、教科室、教导处、教研组等全面深入教学一线听课，充分了解学校教师课堂教学的情况，对于存在的问题及时和老师进行了交流，对于发现的经验及时进行了推广，有效的指导了工作，引导教育教学工作向着优质高效的目标前进。以实践生本教育为抓手，逐渐将生本教学“124”的实践与操作模式拓展延伸到“自然生本”领域，在理念和方法上进行了指导。</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严格按照国家图书分类标准对36000余册图书进行了分类，并做好了个别登记，总括登记；学校图书室采取以学生集体阅览为主的开放方式（ 一年级阅览时间：单周二下午；二年级阅览时间：双周二下午； 三年级阅览时间：单周三下午； 四年级阅览时间：双周三下午；五年级阅览时间：单周四下午；六年级阅览时间：双周四下午），推进图书资源的高效利用。图书集体和个人借阅总量达到20000余人次；图书室还严格按照上级文件要求做好循环教材的登记、管理和回收工作，所有循环教材完好回收率达98.8%，保障和促进了学校的教育教学工作。</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4．重投入，勤使用，强化学校教育技术装备和运用管理。</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我校以应用为立足点，加强信息技术设施设备和校园网建设。加强了信息技术教学管理，按规定开足开齐了各年级的信息技术课，配备了专职教师。信息技术开课率100%，上机率95</w:t>
      </w:r>
      <w:r>
        <w:rPr>
          <w:rFonts w:hint="eastAsia" w:ascii="仿宋" w:hAnsi="仿宋" w:eastAsia="仿宋" w:cs="仿宋"/>
          <w:color w:val="000000"/>
          <w:sz w:val="28"/>
          <w:szCs w:val="28"/>
        </w:rPr>
        <w:t>.5%。</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积极使用现代教学手段，充分发挥技装职能作用，利用信息技术教育在教师中开展了应用技术培训。各种公开课、汇报课、展示课，教师都能使用自己制作课件或整合后的远程教育课件上课，各教室班班通设备得到了充分利用。</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组织教师参加四川省2019年度“一师一优课”评选活动，晒课教师数：95人；晒课量：72课。其中，2节获得省级优课,4节获得市级优课；与教科室一起组织教师参加2019年教学大比武——现场及微课竞赛，15位老师分获一、二、三等奖。 </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5．讲民主，送温暖，工会发挥桥梁纽带作用。</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是组织开展各种有益活动，丰富教职工业余生活。组织学校篮球队与荣山中学男子篮球队进行了友谊比赛，“三.八”节期间组织离退休教师、在职教职工进行有利于身心的庆祝活动，配合学校成功举办了六一庆祝活动及学校学生美术、科技作品成果展示活动。二是关心退休教师生活。本年安排退休教师外出活动4次，看望住院退休教师及家属5次，办理退休在职教师丧事3次，看望住院教师6次。三是坚持校务公开制度。对学校重大事项如：学校教学设施设备采购、教师绩效工资分配、评职评优、财务核算等，采用校务会、教师会、校务公开专栏等形式予以公开公示，实现了依法办学、公开办学、民主办学。</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6．强保障，勤服务，切实做好学校后勤保障工作。</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及时采购供应了各类办公用品、清洁用具、照明器材等系列用品。投入较大资金更换旧教室防盗门、维修教室和办公室电器、装修教学楼、维修学生课桌椅,完善学校办学条件，保证了学校工作的正常推进。积极推进食堂油烟净化项目。按上级相关部门要求学校积极实施厨房油烟净化活动，现与去年完成安装，保证设备按时运转正常使用，还天空一片明净。安装了学校食堂饮用水净化系统并保证正常使用，提高用水品质。完成了操场专项维修工程。完成了教学楼大厅文化墙建设工程，为学校增添浓厚文化艺术氛围。</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财务工作人员定期参加培训，持证上岗，业务素质得到提高。节约每一块钱，用于教育教学，保证学校正常工作运转。严格财经纪律，定期公布财务开支情况。学校根据国家政策以及教育行政部门文件要求，积极搞好教育扶贫工作，根据精准扶贫户学生人员名单，做好学生生活费退费、减免工作。班级其他学生根据家庭经济情况如若困难，可由家长书面申请、班主任调查核实签字、校长审批后，学校后勤处给予减免学生生活费。学校秉承人道、和谐、关爱之心，保障每一位贫困生生活无忧。</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2019年，学校食堂量化等级为A级食堂，完成上级要求的消C计划，被评为“财务工作先进单位”，焦玉文被广元市教育局评为上年度学校食品安全工作先进个人。</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楷体" w:hAnsi="楷体" w:eastAsia="楷体" w:cs="楷体"/>
          <w:b w:val="0"/>
          <w:bCs/>
          <w:sz w:val="28"/>
          <w:szCs w:val="28"/>
        </w:rPr>
      </w:pPr>
      <w:r>
        <w:rPr>
          <w:rFonts w:hint="eastAsia" w:ascii="楷体" w:hAnsi="楷体" w:eastAsia="楷体" w:cs="楷体"/>
          <w:b w:val="0"/>
          <w:bCs/>
          <w:sz w:val="28"/>
          <w:szCs w:val="28"/>
        </w:rPr>
        <w:t>（三）重点工作完成情况</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1．廉政纪律：强化党风廉政建设，开展作风纪律建设“大比武”活动。</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深入学习为抓手，凝聚共识为导向，坚持“高度重视，落实精神；真学深学，学习教育；求实务实，调查研究；固强补弱，检视反思；对标对表，整改落实”“五个始终”贯穿主题教育全过程，聚焦教育教学质量的提升及优化教育环境，办好让人民满意的教育，确保了主题教育工作高起点谋划、高标准推进、高质量落实。</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2．文明创建：积极响应，全力开展创国家文明城市活动。</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创建第六届国家文明城市是我市的一件大事，我校在提高认识基础上，高度重视创建工作，积极努力，真抓实干，取得明显成效。</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3．脱贫攻坚：情怀担当，认真做好教育扶贫工作。</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是准确掌握学校就读学生家庭基本信息，确保贫困学生档案规范、完备。二是大力营造教育扶贫工作氛围，构建学校、家庭、社会教育扶贫工作网络。充分利用校园班班通、主题班会、班级黑板报、电子显示屏滚动标语、致家长一封信等多种方式，把扶贫攻坚工作信息从学校延伸到家庭、社会。三是根据利州区城市脱贫工作安排，涉及城市脱贫的利州区12所学校，根据分工安排，及时做好信息完善上报，会员所在单位信息上报及时准确。四是加强控辍保学工作，不让一个孩子因家庭贫困失学。五是建立学校“阳光工作室”，精心开展精准扶贫户、家庭困难户学生心理辅导，促进其健康、快乐成长。六是创新学校助学工作思路，不断拓展助学扶贫工作渠道。组织全校师生开展了“一日工资捐资助学行动”“节约零花钱，我为贫困孩子献爱心”等活动，让学校脱贫攻坚工作迈上了新台阶。</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4．队伍建设：研训一体，合力提升教师队伍素质。</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阅读，促进教师内涵与修为的丰盈。一方面，学校鼓励教师利用学校图书室读教育专著、记读书心得、写经验文章；另一方面，学校为40余位教师购买了“樊登阅读”书卡，倡导教师把阅读、听读、赏析当做生活的常态，轻松学习、快乐收获。学校蔡发刚校长、王丽君书记、杨方和副校长，对青年教师的快速专业成长也提出了希望，并就“青年教师专业成长路径”“青年教师德、能全面发展”等问题，做了深入交流和探讨。使青年教师既找准了专业成长的方向，明确了如何快速成长一位优秀教师的努力途径，还收获了饱满的学习热情与极大的学习成长动力。 </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5．聚力教育：集大成者，聚力社会各界合力办学。</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今的教育不仅仅是学校，还有赖于社会、家庭等诸多因素。从前两年开始，我校就致力于全方位的育人系统的构建。社会的关注、家庭的配合不仅仅是政策的理解和支持，更是教育资源的整合、聚力。一是通过开办校外辅导班，聚力了社会有利的教育资源，如演讲与口才、跆拳道、武术、小牛顿思维训练等，纳入学校统一管理，有计划、有组织地对学生进行训练，有效地对学生进行课内外的融会与拓展，既丰富了学生的生活，也培养了兴趣爱好；既解决了专业训练师资不配套的问题，又真真实实地提升了学生综合素质。二是家委会参与学校的管理。定期组织家长培训，定期召开家委会座谈会，让家委会真正成为学校与家庭、学校与社会友好沟通的纽带，成为学校有力的正能量的宣传群体。既实现了学校的民主管理，又极大地改善了学校的办学环境。</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6．课后延辅：相应政策，集思广益做好学校教育新课题。</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上级文件要求，2019年秋季开始，学校实施课后延辅工作。这既是一项惠民工程，也是学校利用教育教学资源有效开展培优辅差、社团活动的契机。学校以“服务于民不营利、公开服务受监督、自愿选择签协议、安全第一保平安”为原则，进行政策宣传、问卷调查、组织招生、强化管理，在实施过程中，不断征求意见或建议，加强了组织形式、课程设置的研究，尤其是对作业的布置、指导等方面，进行了专题研究，确定了“以生为本，分层布置，合理拓展”的总体思路。一学期以来，全体教职员工充分认识到做好课后服务工作的重要意义，增强了“办人民满意教育”的思想和行动自觉，切实承担起课后服务工作责任，积极构建了课内外相结合的良好育人生态。</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7．规范办学：依法依规，带领学校规范健康发展。</w:t>
      </w:r>
    </w:p>
    <w:p>
      <w:pPr>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ascii="宋体" w:hAnsi="宋体"/>
          <w:sz w:val="28"/>
          <w:szCs w:val="28"/>
        </w:rPr>
      </w:pPr>
      <w:r>
        <w:rPr>
          <w:rFonts w:hint="eastAsia" w:ascii="仿宋" w:hAnsi="仿宋" w:eastAsia="仿宋" w:cs="仿宋"/>
          <w:sz w:val="28"/>
          <w:szCs w:val="28"/>
        </w:rPr>
        <w:t>依法治校、依法执教，民主决策、阳关办学一直是我校坚持的原则。学校成立了廉勤委，把廉勤监督委员会的建设纳入学校长远发展规划并大力开展廉政教育，有重点、多层次、全方位地开展工作，进一步增强了学校行政班子规范做事的自觉性，筑牢了拒腐防变的思想、道德和法纪防线，净化了校园风气，优化了教师队伍。对学校领导班子成员履行党风廉政建设情况进行监督。严格落实一事一议制度，对学校重大项目工程立项和招投标工作的监督。一是对校园文化建设、实施艺术长廊及功能室打造、音乐美术器材的采购、机器人的购买、网络教室电脑升级、班班通电脑升级、课桌椅的采购、校服征订、春季学生研学旅行与校舍维修等事项是否合理、合同是否规范、各项价格是否合理等方面进行了审议和监督。二是对学校学校学生校服征订流程全程参与监督，保障价廉物美。三是对学校大额资金支出是否合理、是否按照规定程序审批进行监督，确保资金的支出合理，程序符合规定。四是督促财务部门对学校账务定期公布，并在教职工代表大会上作财务报告，让全体教职工清楚的了解学校财务开支情况，真正做到财务公开透明。五是廉勤监督委员会成员重点对评优、晋级、评职、绩效考核的操作过程进行全程监督，对于教师不明白的地方，督促相关人员给予解释说明，并对结果按要求进行公示，确保公开、公正、公平，促进了学校的稳定。六是对学校食堂各种材料的购买进行了市场调查监督，并由总务处公示相关信息，确保质量和安全。今年6月市区两级主管部门对学校落实党风廉政建设“两个责任”暨“三重一大”等方面进行了检查，检查组对学校该项工作予以充分肯定。</w:t>
      </w:r>
    </w:p>
    <w:bookmarkEnd w:id="19"/>
    <w:bookmarkEnd w:id="20"/>
    <w:p>
      <w:pPr>
        <w:widowControl/>
        <w:jc w:val="center"/>
        <w:rPr>
          <w:rStyle w:val="25"/>
          <w:rFonts w:hint="eastAsia" w:ascii="方正小标宋简体" w:hAnsi="方正小标宋简体" w:eastAsia="方正小标宋简体" w:cs="方正小标宋简体"/>
          <w:b w:val="0"/>
          <w:bCs w:val="0"/>
          <w:sz w:val="44"/>
          <w:szCs w:val="44"/>
        </w:rPr>
      </w:pPr>
      <w:bookmarkStart w:id="22" w:name="_Toc19089864"/>
      <w:r>
        <w:rPr>
          <w:rFonts w:hint="eastAsia" w:ascii="方正小标宋简体" w:hAnsi="方正小标宋简体" w:eastAsia="方正小标宋简体" w:cs="方正小标宋简体"/>
          <w:b w:val="0"/>
          <w:sz w:val="44"/>
          <w:szCs w:val="44"/>
        </w:rPr>
        <w:t>第二部分</w:t>
      </w:r>
      <w:r>
        <w:rPr>
          <w:rFonts w:hint="eastAsia" w:ascii="方正小标宋简体" w:hAnsi="方正小标宋简体" w:eastAsia="方正小标宋简体" w:cs="方正小标宋简体"/>
          <w:b w:val="0"/>
          <w:sz w:val="44"/>
          <w:szCs w:val="44"/>
          <w:lang w:val="en-US" w:eastAsia="zh-CN"/>
        </w:rPr>
        <w:t xml:space="preserve"> </w:t>
      </w:r>
      <w:r>
        <w:rPr>
          <w:rFonts w:hint="eastAsia" w:ascii="方正小标宋简体" w:hAnsi="方正小标宋简体" w:eastAsia="方正小标宋简体" w:cs="方正小标宋简体"/>
          <w:sz w:val="44"/>
          <w:szCs w:val="44"/>
        </w:rPr>
        <w:t xml:space="preserve"> </w:t>
      </w:r>
      <w:r>
        <w:rPr>
          <w:rStyle w:val="25"/>
          <w:rFonts w:hint="eastAsia" w:ascii="方正小标宋简体" w:hAnsi="方正小标宋简体" w:eastAsia="方正小标宋简体" w:cs="方正小标宋简体"/>
          <w:b w:val="0"/>
          <w:bCs w:val="0"/>
          <w:sz w:val="44"/>
          <w:szCs w:val="44"/>
        </w:rPr>
        <w:t>2019年度部门决算情况说明</w:t>
      </w:r>
      <w:bookmarkEnd w:id="21"/>
      <w:bookmarkEnd w:id="22"/>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Style w:val="25"/>
          <w:rFonts w:hint="eastAsia" w:ascii="仿宋" w:hAnsi="仿宋" w:eastAsia="仿宋" w:cs="仿宋"/>
          <w:b w:val="0"/>
          <w:bCs w:val="0"/>
          <w:sz w:val="28"/>
          <w:szCs w:val="28"/>
        </w:rPr>
      </w:pP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outlineLvl w:val="1"/>
        <w:rPr>
          <w:rStyle w:val="26"/>
          <w:rFonts w:hint="eastAsia" w:ascii="黑体" w:hAnsi="黑体" w:eastAsia="黑体" w:cs="黑体"/>
          <w:b w:val="0"/>
          <w:sz w:val="28"/>
          <w:szCs w:val="28"/>
        </w:rPr>
      </w:pPr>
      <w:bookmarkStart w:id="23" w:name="_Toc19089865"/>
      <w:bookmarkStart w:id="24" w:name="_Toc15377205"/>
      <w:r>
        <w:rPr>
          <w:rFonts w:hint="eastAsia" w:ascii="黑体" w:hAnsi="黑体" w:eastAsia="黑体" w:cs="黑体"/>
          <w:sz w:val="28"/>
          <w:szCs w:val="28"/>
          <w:lang w:eastAsia="zh-CN"/>
        </w:rPr>
        <w:t>一、</w:t>
      </w:r>
      <w:r>
        <w:rPr>
          <w:rFonts w:hint="eastAsia" w:ascii="黑体" w:hAnsi="黑体" w:eastAsia="黑体" w:cs="黑体"/>
          <w:sz w:val="28"/>
          <w:szCs w:val="28"/>
        </w:rPr>
        <w:t>收</w:t>
      </w:r>
      <w:r>
        <w:rPr>
          <w:rStyle w:val="26"/>
          <w:rFonts w:hint="eastAsia" w:ascii="黑体" w:hAnsi="黑体" w:eastAsia="黑体" w:cs="黑体"/>
          <w:b w:val="0"/>
          <w:sz w:val="28"/>
          <w:szCs w:val="28"/>
        </w:rPr>
        <w:t>入支出决算总体情况说明</w:t>
      </w:r>
      <w:bookmarkEnd w:id="23"/>
      <w:bookmarkEnd w:id="24"/>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1.2019年我校教育育经费财政拨款收入22044405.00元，年初下达经费预算指标12989997.00元。其中：基本工资4939356.00元。绩效工资3413028.00元，津贴补贴138372.00元，机关事业单位基本养老保险1696471.00元，职工基本医疗保险635177.00元，失业保险50814.00元，工伤保险42345.00元，生育保险32520.00元，住房公积金1016283.00元，其他工资和福利支出90000.00元，工会经费84690.00元，福利费254071.00元，退休教师福利费222000.00元，退休教师医疗保险171800.00元，生活补助和救济14280.00元，奖励金13560.00元，学前公用107400.00元。免作业本费67830.00元。</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年末追加指标9054408.00元，其中人员政策性追加1627520.00元，在职人员目标考核奖2420012.00元，离退休人员生活补助1953675.00元, 职业年金做实305977.20元，养老保险调减226196.00元，三区人才建40000.00元，中央学前教育奖补300000.00元，校园足球45000.00元，义务教育提升计划（操场维修）1100000.00元，义务教育经费保障机制1415320.00元，学前教育免保教费73100.00元。</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w:t>
      </w:r>
      <w:r>
        <w:rPr>
          <w:rFonts w:hint="eastAsia" w:ascii="仿宋" w:hAnsi="仿宋" w:eastAsia="仿宋" w:cs="仿宋"/>
          <w:bCs/>
          <w:sz w:val="28"/>
          <w:szCs w:val="28"/>
        </w:rPr>
        <w:t>其他收入1112813.51元，其中：利息收入5863.51元，保教费收入1106950.00元。</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outlineLvl w:val="1"/>
        <w:rPr>
          <w:rStyle w:val="26"/>
          <w:rFonts w:hint="eastAsia" w:ascii="黑体" w:hAnsi="黑体" w:eastAsia="黑体" w:cs="黑体"/>
          <w:b w:val="0"/>
          <w:sz w:val="28"/>
          <w:szCs w:val="28"/>
        </w:rPr>
      </w:pPr>
      <w:r>
        <w:rPr>
          <w:rStyle w:val="26"/>
          <w:rFonts w:hint="eastAsia" w:ascii="黑体" w:hAnsi="黑体" w:eastAsia="黑体" w:cs="黑体"/>
          <w:b w:val="0"/>
          <w:sz w:val="28"/>
          <w:szCs w:val="28"/>
          <w:lang w:eastAsia="zh-CN"/>
        </w:rPr>
        <w:t>二、</w:t>
      </w:r>
      <w:r>
        <w:rPr>
          <w:rStyle w:val="26"/>
          <w:rFonts w:hint="eastAsia" w:ascii="黑体" w:hAnsi="黑体" w:eastAsia="黑体" w:cs="黑体"/>
          <w:b w:val="0"/>
          <w:sz w:val="28"/>
          <w:szCs w:val="28"/>
        </w:rPr>
        <w:t>收入支出预算执行情况。</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楷体" w:hAnsi="楷体" w:eastAsia="楷体" w:cs="楷体"/>
          <w:bCs/>
          <w:sz w:val="28"/>
          <w:szCs w:val="28"/>
        </w:rPr>
      </w:pPr>
      <w:r>
        <w:rPr>
          <w:rFonts w:hint="eastAsia" w:ascii="楷体" w:hAnsi="楷体" w:eastAsia="楷体" w:cs="楷体"/>
          <w:bCs/>
          <w:sz w:val="28"/>
          <w:szCs w:val="28"/>
          <w:lang w:eastAsia="zh-CN"/>
        </w:rPr>
        <w:t>（一）</w:t>
      </w:r>
      <w:r>
        <w:rPr>
          <w:rFonts w:hint="eastAsia" w:ascii="楷体" w:hAnsi="楷体" w:eastAsia="楷体" w:cs="楷体"/>
          <w:bCs/>
          <w:sz w:val="28"/>
          <w:szCs w:val="28"/>
        </w:rPr>
        <w:t>2019年我校总收入为23157218.51元。</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w:t>
      </w:r>
      <w:r>
        <w:rPr>
          <w:rFonts w:hint="eastAsia" w:ascii="仿宋" w:hAnsi="仿宋" w:eastAsia="仿宋" w:cs="仿宋"/>
          <w:bCs/>
          <w:sz w:val="28"/>
          <w:szCs w:val="28"/>
        </w:rPr>
        <w:t>财政补助收入22044405.00.00元，占总收入的95.2%；</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（2）其他收入1112813.51元，占总收入的4，8%。</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w:t>
      </w:r>
      <w:r>
        <w:rPr>
          <w:rFonts w:hint="eastAsia" w:ascii="仿宋" w:hAnsi="仿宋" w:eastAsia="仿宋" w:cs="仿宋"/>
          <w:bCs/>
          <w:sz w:val="28"/>
          <w:szCs w:val="28"/>
        </w:rPr>
        <w:t>上年结转1,541,840.07元，</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执行预算调整收入为24699058.58元。</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w:t>
      </w:r>
      <w:r>
        <w:rPr>
          <w:rFonts w:hint="eastAsia" w:ascii="仿宋" w:hAnsi="仿宋" w:eastAsia="仿宋" w:cs="仿宋"/>
          <w:bCs/>
          <w:sz w:val="28"/>
          <w:szCs w:val="28"/>
        </w:rPr>
        <w:t>2019年执行决算总支出为21244524.83元。</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（1）基本支出：20759524.83.00元占总支出的97.7%。</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其中：人员经费17557958.36元；占支出的82.6%;日常公用经费3201566.47元,占支出的15.1%;</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（2）项目支出：485000.00元，占总支出的2.3%。</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（3）其他支出0元，占支出的0%；</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1．收入支出与预算对比分析。</w:t>
      </w:r>
    </w:p>
    <w:p>
      <w:pPr>
        <w:pStyle w:val="24"/>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(1)2019年基本预算情况表</w:t>
      </w:r>
    </w:p>
    <w:tbl>
      <w:tblPr>
        <w:tblStyle w:val="13"/>
        <w:tblW w:w="93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2130"/>
        <w:gridCol w:w="1881"/>
        <w:gridCol w:w="1489"/>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89"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项目类别</w:t>
            </w:r>
          </w:p>
        </w:tc>
        <w:tc>
          <w:tcPr>
            <w:tcW w:w="213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功能科目</w:t>
            </w:r>
          </w:p>
        </w:tc>
        <w:tc>
          <w:tcPr>
            <w:tcW w:w="1881"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1489"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经济科目</w:t>
            </w:r>
          </w:p>
        </w:tc>
        <w:tc>
          <w:tcPr>
            <w:tcW w:w="1026"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026"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当年财政拨款小计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89" w:type="dxa"/>
            <w:vMerge w:val="continue"/>
            <w:vAlign w:val="center"/>
          </w:tcPr>
          <w:p>
            <w:pPr>
              <w:widowControl/>
              <w:jc w:val="left"/>
              <w:rPr>
                <w:rFonts w:ascii="宋体" w:hAnsi="宋体" w:cs="宋体"/>
                <w:kern w:val="0"/>
                <w:sz w:val="18"/>
                <w:szCs w:val="18"/>
              </w:rPr>
            </w:pPr>
          </w:p>
        </w:tc>
        <w:tc>
          <w:tcPr>
            <w:tcW w:w="2130" w:type="dxa"/>
            <w:vMerge w:val="continue"/>
            <w:vAlign w:val="center"/>
          </w:tcPr>
          <w:p>
            <w:pPr>
              <w:widowControl/>
              <w:jc w:val="left"/>
              <w:rPr>
                <w:rFonts w:ascii="宋体" w:hAnsi="宋体" w:cs="宋体"/>
                <w:kern w:val="0"/>
                <w:sz w:val="18"/>
                <w:szCs w:val="18"/>
              </w:rPr>
            </w:pPr>
          </w:p>
        </w:tc>
        <w:tc>
          <w:tcPr>
            <w:tcW w:w="1881" w:type="dxa"/>
            <w:vMerge w:val="continue"/>
            <w:vAlign w:val="center"/>
          </w:tcPr>
          <w:p>
            <w:pPr>
              <w:widowControl/>
              <w:jc w:val="left"/>
              <w:rPr>
                <w:rFonts w:ascii="宋体" w:hAnsi="宋体" w:cs="宋体"/>
                <w:kern w:val="0"/>
                <w:sz w:val="18"/>
                <w:szCs w:val="18"/>
              </w:rPr>
            </w:pPr>
          </w:p>
        </w:tc>
        <w:tc>
          <w:tcPr>
            <w:tcW w:w="1489" w:type="dxa"/>
            <w:vMerge w:val="continue"/>
            <w:vAlign w:val="center"/>
          </w:tcPr>
          <w:p>
            <w:pPr>
              <w:widowControl/>
              <w:jc w:val="left"/>
              <w:rPr>
                <w:rFonts w:ascii="宋体" w:hAnsi="宋体" w:cs="宋体"/>
                <w:kern w:val="0"/>
                <w:sz w:val="18"/>
                <w:szCs w:val="18"/>
              </w:rPr>
            </w:pPr>
          </w:p>
        </w:tc>
        <w:tc>
          <w:tcPr>
            <w:tcW w:w="1026" w:type="dxa"/>
            <w:vMerge w:val="continue"/>
            <w:vAlign w:val="center"/>
          </w:tcPr>
          <w:p>
            <w:pPr>
              <w:widowControl/>
              <w:jc w:val="left"/>
              <w:rPr>
                <w:rFonts w:ascii="宋体" w:hAnsi="宋体" w:cs="宋体"/>
                <w:kern w:val="0"/>
                <w:sz w:val="18"/>
                <w:szCs w:val="18"/>
              </w:rPr>
            </w:pPr>
          </w:p>
        </w:tc>
        <w:tc>
          <w:tcPr>
            <w:tcW w:w="1026" w:type="dxa"/>
            <w:vMerge w:val="continue"/>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基本工资</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[2050202]小学教育</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基本工资</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4,939,356</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4,939,356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基本工资(事业)</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4,939,356</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4,939,356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绩效工资</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[2050202]小学教育</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绩效工资</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3,413,028</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3,413,028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绩效工资</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3,413,028</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3,413,028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津贴补贴</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[2050202]小学教育</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津贴补贴</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138,372</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138,372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教护龄津贴</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13,332</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超64元补贴</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116,640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116,640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政府特殊津贴</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8,400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其他工资福利支出</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[2050202]小学教育</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其他工资福利支出</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90,000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临工工资</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90,000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工会经费</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[2050202]小学教育</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工会经费</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84,690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84,690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工会经费</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84,690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84,690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福利费</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[2050202]小学教育</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福利费</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254,071</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254,071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福利费</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254,071</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254,071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生活补助和救济费</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[2050202]小学教育</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生活补助和救济费</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6,624</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遗属生活补助费</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6,624</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奖励金</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[2050202]小学教育</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奖励金</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13,560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独子父母奖励</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13,560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机关事业单位基本养老保险</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[2080505]机关事业单位基本养老保险缴费支出</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机关事业单位基本养老保险</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1,696,471</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1,696,471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机关事业单位基本养老保险</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1,696,471</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1,696,471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其他社会保障缴费</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[2082701]财政对失业保险基金的补助</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失业保险</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50,814</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50,814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失业保险</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50,814</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50,814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其他社会保障缴费</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[2082702]财政对工伤保险基金的补助</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工伤保险</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42,345</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工伤保险</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42,345</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其他社会保障缴费</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[2082703]财政对生育保险基金的补助</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生育保险</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32,520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32,520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生育保险</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32,520</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32,520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职工基本医疗保险缴费</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[2101102]事业单位医疗</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职工基本医疗保险缴费</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635,177</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635,177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职工基本医疗保险缴费</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635,177</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635,177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住房公积金</w:t>
            </w:r>
          </w:p>
        </w:tc>
        <w:tc>
          <w:tcPr>
            <w:tcW w:w="2130"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[2210201]住房公积金</w:t>
            </w:r>
          </w:p>
        </w:tc>
        <w:tc>
          <w:tcPr>
            <w:tcW w:w="1881"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住房公积金</w:t>
            </w:r>
          </w:p>
        </w:tc>
        <w:tc>
          <w:tcPr>
            <w:tcW w:w="14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1,016,283</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1,016,283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8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3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81"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89" w:type="dxa"/>
            <w:shd w:val="clear" w:color="000000" w:fill="FFFFFF"/>
            <w:noWrap/>
            <w:vAlign w:val="center"/>
          </w:tcPr>
          <w:p>
            <w:pPr>
              <w:widowControl/>
              <w:rPr>
                <w:rFonts w:ascii="宋体" w:hAnsi="宋体" w:cs="宋体"/>
                <w:kern w:val="0"/>
                <w:sz w:val="18"/>
                <w:szCs w:val="18"/>
              </w:rPr>
            </w:pPr>
            <w:r>
              <w:rPr>
                <w:rFonts w:hint="eastAsia" w:ascii="宋体" w:hAnsi="宋体" w:cs="宋体"/>
                <w:kern w:val="0"/>
                <w:sz w:val="18"/>
                <w:szCs w:val="18"/>
              </w:rPr>
              <w:t>住房公积金</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1,016,283</w:t>
            </w:r>
          </w:p>
        </w:tc>
        <w:tc>
          <w:tcPr>
            <w:tcW w:w="1026" w:type="dxa"/>
            <w:shd w:val="clear" w:color="000000" w:fill="FFFFFF"/>
            <w:noWrap/>
            <w:vAlign w:val="bottom"/>
          </w:tcPr>
          <w:p>
            <w:pPr>
              <w:widowControl/>
              <w:jc w:val="right"/>
              <w:rPr>
                <w:rFonts w:ascii="宋体" w:hAnsi="宋体" w:cs="宋体"/>
                <w:kern w:val="0"/>
                <w:sz w:val="18"/>
                <w:szCs w:val="18"/>
              </w:rPr>
            </w:pPr>
            <w:r>
              <w:rPr>
                <w:rFonts w:hint="eastAsia" w:ascii="宋体" w:hAnsi="宋体" w:cs="宋体"/>
                <w:kern w:val="0"/>
                <w:sz w:val="18"/>
                <w:szCs w:val="18"/>
              </w:rPr>
              <w:t>1,016,283</w:t>
            </w:r>
          </w:p>
        </w:tc>
      </w:tr>
    </w:tbl>
    <w:p>
      <w:pPr>
        <w:snapToGrid w:val="0"/>
        <w:spacing w:line="520" w:lineRule="exact"/>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w:t>
      </w:r>
      <w:r>
        <w:rPr>
          <w:rFonts w:hint="eastAsia" w:ascii="楷体" w:hAnsi="楷体" w:eastAsia="楷体" w:cs="楷体"/>
          <w:b w:val="0"/>
          <w:bCs/>
          <w:sz w:val="28"/>
          <w:szCs w:val="28"/>
          <w:lang w:eastAsia="zh-CN"/>
        </w:rPr>
        <w:t>二</w:t>
      </w:r>
      <w:r>
        <w:rPr>
          <w:rFonts w:hint="eastAsia" w:ascii="楷体" w:hAnsi="楷体" w:eastAsia="楷体" w:cs="楷体"/>
          <w:b w:val="0"/>
          <w:bCs/>
          <w:sz w:val="28"/>
          <w:szCs w:val="28"/>
        </w:rPr>
        <w:t>)2019年收入</w:t>
      </w:r>
    </w:p>
    <w:tbl>
      <w:tblPr>
        <w:tblStyle w:val="13"/>
        <w:tblW w:w="9016" w:type="dxa"/>
        <w:tblInd w:w="93" w:type="dxa"/>
        <w:tblLayout w:type="autofit"/>
        <w:tblCellMar>
          <w:top w:w="0" w:type="dxa"/>
          <w:left w:w="108" w:type="dxa"/>
          <w:bottom w:w="0" w:type="dxa"/>
          <w:right w:w="108" w:type="dxa"/>
        </w:tblCellMar>
      </w:tblPr>
      <w:tblGrid>
        <w:gridCol w:w="996"/>
        <w:gridCol w:w="1417"/>
        <w:gridCol w:w="1818"/>
        <w:gridCol w:w="1015"/>
        <w:gridCol w:w="1382"/>
        <w:gridCol w:w="1373"/>
        <w:gridCol w:w="1015"/>
      </w:tblGrid>
      <w:tr>
        <w:tblPrEx>
          <w:tblCellMar>
            <w:top w:w="0" w:type="dxa"/>
            <w:left w:w="108" w:type="dxa"/>
            <w:bottom w:w="0" w:type="dxa"/>
            <w:right w:w="108" w:type="dxa"/>
          </w:tblCellMar>
        </w:tblPrEx>
        <w:trPr>
          <w:trHeight w:val="495"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职业年金</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养老</w:t>
            </w:r>
          </w:p>
        </w:tc>
        <w:tc>
          <w:tcPr>
            <w:tcW w:w="1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医疗</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失业</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工伤</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生育</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公积金</w:t>
            </w:r>
          </w:p>
        </w:tc>
      </w:tr>
      <w:tr>
        <w:tblPrEx>
          <w:tblCellMar>
            <w:top w:w="0" w:type="dxa"/>
            <w:left w:w="108" w:type="dxa"/>
            <w:bottom w:w="0" w:type="dxa"/>
            <w:right w:w="108" w:type="dxa"/>
          </w:tblCellMar>
        </w:tblPrEx>
        <w:trPr>
          <w:trHeight w:val="495"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305977.2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1606614</w:t>
            </w:r>
          </w:p>
        </w:tc>
        <w:tc>
          <w:tcPr>
            <w:tcW w:w="1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870886</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55927</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48310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39337</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1118537</w:t>
            </w:r>
          </w:p>
        </w:tc>
      </w:tr>
      <w:tr>
        <w:tblPrEx>
          <w:tblCellMar>
            <w:top w:w="0" w:type="dxa"/>
            <w:left w:w="108" w:type="dxa"/>
            <w:bottom w:w="0" w:type="dxa"/>
            <w:right w:w="108" w:type="dxa"/>
          </w:tblCellMar>
        </w:tblPrEx>
        <w:trPr>
          <w:trHeight w:val="495"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绩效工资</w:t>
            </w:r>
          </w:p>
        </w:tc>
        <w:tc>
          <w:tcPr>
            <w:tcW w:w="1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津补贴</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目标考核</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退休生活补助</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工会</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福利费</w:t>
            </w:r>
          </w:p>
        </w:tc>
      </w:tr>
      <w:tr>
        <w:tblPrEx>
          <w:tblCellMar>
            <w:top w:w="0" w:type="dxa"/>
            <w:left w:w="108" w:type="dxa"/>
            <w:bottom w:w="0" w:type="dxa"/>
            <w:right w:w="108" w:type="dxa"/>
          </w:tblCellMar>
        </w:tblPrEx>
        <w:trPr>
          <w:trHeight w:val="495"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6244949</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3413028</w:t>
            </w:r>
          </w:p>
        </w:tc>
        <w:tc>
          <w:tcPr>
            <w:tcW w:w="1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138372</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2420012</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1953675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84690</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254071</w:t>
            </w:r>
          </w:p>
        </w:tc>
      </w:tr>
      <w:tr>
        <w:tblPrEx>
          <w:tblCellMar>
            <w:top w:w="0" w:type="dxa"/>
            <w:left w:w="108" w:type="dxa"/>
            <w:bottom w:w="0" w:type="dxa"/>
            <w:right w:w="108" w:type="dxa"/>
          </w:tblCellMar>
        </w:tblPrEx>
        <w:trPr>
          <w:trHeight w:val="495"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办公费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中央学前奖补</w:t>
            </w:r>
          </w:p>
        </w:tc>
        <w:tc>
          <w:tcPr>
            <w:tcW w:w="1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生活补助和救济</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公用经费</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操场</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抚恤金</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三区人才</w:t>
            </w:r>
          </w:p>
        </w:tc>
      </w:tr>
      <w:tr>
        <w:tblPrEx>
          <w:tblCellMar>
            <w:top w:w="0" w:type="dxa"/>
            <w:left w:w="108" w:type="dxa"/>
            <w:bottom w:w="0" w:type="dxa"/>
            <w:right w:w="108" w:type="dxa"/>
          </w:tblCellMar>
        </w:tblPrEx>
        <w:trPr>
          <w:trHeight w:val="495"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107400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300000</w:t>
            </w:r>
          </w:p>
        </w:tc>
        <w:tc>
          <w:tcPr>
            <w:tcW w:w="1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14280</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1413820</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1100000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91530</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40000</w:t>
            </w:r>
          </w:p>
        </w:tc>
      </w:tr>
      <w:tr>
        <w:tblPrEx>
          <w:tblCellMar>
            <w:top w:w="0" w:type="dxa"/>
            <w:left w:w="108" w:type="dxa"/>
            <w:bottom w:w="0" w:type="dxa"/>
            <w:right w:w="108" w:type="dxa"/>
          </w:tblCellMar>
        </w:tblPrEx>
        <w:trPr>
          <w:trHeight w:val="495"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校园足球</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助学金</w:t>
            </w:r>
          </w:p>
        </w:tc>
        <w:tc>
          <w:tcPr>
            <w:tcW w:w="1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退休教师福利费</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奖励金</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保教费收入</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利息收入</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04" w:hRule="atLeast"/>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142430</w:t>
            </w:r>
          </w:p>
        </w:tc>
        <w:tc>
          <w:tcPr>
            <w:tcW w:w="18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222000</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13560</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1106950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5863.51</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r>
    </w:tbl>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2．收入支出结构分析。</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2019年总收入为23157218.51元。</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（1）财政补助收入22044405.00.00元，占总收入的95.2%；</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（2）其他收入1112813.51元，占总收入的4，8%。</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上年结转1,541,840.07元，</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执行预算调整收入为24699058.58元。</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2019年执行决算总支出为21244524.83元。</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（1）基本支出：20759524.83.00元占总支出的97.7%。</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其中：人员经费17557958.36元；占支出的82.6%;日常公用经费3201566.47元,占支出的15.1%;</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（2）项目支出：485000.00元，占总支出的2.3%。</w:t>
      </w:r>
    </w:p>
    <w:p>
      <w:pPr>
        <w:pStyle w:val="24"/>
        <w:spacing w:line="520" w:lineRule="exact"/>
        <w:ind w:firstLine="560"/>
        <w:outlineLvl w:val="1"/>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年末结转和结余情况。</w:t>
      </w:r>
    </w:p>
    <w:p>
      <w:pPr>
        <w:pStyle w:val="24"/>
        <w:spacing w:line="52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2019年末结转结余3454533.75元，其中基本支出结转2354533.75元，主要是教师2018年奖励性绩效工资、公用经费；项目支出结转1100,000.00元，主要是学校操场维修维护。</w:t>
      </w:r>
    </w:p>
    <w:p>
      <w:pPr>
        <w:spacing w:line="520" w:lineRule="exact"/>
        <w:outlineLvl w:val="1"/>
        <w:rPr>
          <w:rFonts w:hint="eastAsia" w:ascii="仿宋" w:hAnsi="仿宋" w:eastAsia="仿宋" w:cs="仿宋"/>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outlineLvl w:val="1"/>
        <w:rPr>
          <w:rFonts w:ascii="宋体" w:hAnsi="宋体"/>
          <w:bCs/>
          <w:sz w:val="28"/>
          <w:szCs w:val="28"/>
        </w:rPr>
      </w:pPr>
    </w:p>
    <w:p>
      <w:pPr>
        <w:spacing w:line="520" w:lineRule="exact"/>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本年度部门决算等财务工作开展情况</w:t>
      </w:r>
    </w:p>
    <w:p>
      <w:pPr>
        <w:pStyle w:val="24"/>
        <w:spacing w:line="520" w:lineRule="exact"/>
        <w:ind w:firstLine="560"/>
        <w:outlineLvl w:val="1"/>
        <w:rPr>
          <w:rFonts w:hint="eastAsia" w:ascii="宋体" w:hAnsi="宋体"/>
          <w:bCs/>
          <w:sz w:val="28"/>
          <w:szCs w:val="28"/>
        </w:rPr>
      </w:pP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第一，严格公用经费的使用和管理。我校对公用经费的使用和管理严格按上级文件会议精神执行，对不能开支的项目坚决做到不予开支，公用经费的使用除保障教学所需外，主要用于设备添置、校舍维修等方面。进一步加强对财务工作的领导与管理，坚持报销“一支笔”，重大财务收支集体讨论，严格遵守财务制度，杜绝乱收费，乱开支现象，杜绝违规行为，在上级审计部门来校审计及互审检查中得到肯定。</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第二，财务人员严格按照财政部门和主管部门要求及时做好报账工作，做到年初有预算，年终有结算，认真做好教职工劳动工资管理和有关财务方面的各种报表工作。遵守财务制度、完善财务手续。切实起到在经济活动中的监督作用，如报销签字手续完备才能报销，对不符合财务要求的问题及时加以指出并纠正等。确保学校财务工作的规范性，真实性。</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第三，做好清产核资工作，对新增资产及时入帐，做到信息真实、准确。做好固定资产录入登记工作。</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 xml:space="preserve">                                        </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p>
    <w:p>
      <w:pPr>
        <w:pStyle w:val="24"/>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附：</w:t>
      </w:r>
    </w:p>
    <w:p>
      <w:pPr>
        <w:pStyle w:val="24"/>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行政事业单位财务分析指标</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黑体" w:hAnsi="黑体" w:eastAsia="黑体" w:cs="黑体"/>
          <w:bCs/>
          <w:sz w:val="28"/>
          <w:szCs w:val="28"/>
        </w:rPr>
      </w:pPr>
      <w:r>
        <w:rPr>
          <w:rFonts w:hint="eastAsia" w:ascii="黑体" w:hAnsi="黑体" w:eastAsia="黑体" w:cs="黑体"/>
          <w:bCs/>
          <w:sz w:val="28"/>
          <w:szCs w:val="28"/>
        </w:rPr>
        <w:t>一、行政单位财务分析指标</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1.支出增长率，衡量行政单位支出的增长水平。计算公式为：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支出增长率＝(本期支出总额÷上期支出总额-1)×100%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2.当年预算支出完成率，衡量行政单位当年支出总预算及分项预算完成的程度。计算公式为：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当年预算支出完成率＝年终执行数÷（年初预算数±年中预算调整数）×100%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年终执行数不含上年结转和结余支出数。</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3.人均开支，衡量行政单位人均年消耗经费水平。计算公式为：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人均开支＝本期支出数÷本期平均在职人员数×100%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4.项目支出占总支出的比率，衡量行政单位的支出结构。计算公式为：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项目支出比率=本期项目支出数÷本期支出总数×100%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5.人员支出、公用支出占总支出的比率，衡量行政单位的支出结构。计算公式为：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人员支出比率=本期人员支出数÷本期支出总数×100%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公用支出比率=本期公用支出数÷本期支出总数×100%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6.人均办公使用面积，衡量行政单位办公用房配备情况。计算公式为：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人均办公使用面积=本期末单位办公用房使用面积÷本期末在职人员数</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7.人车比例，衡量行政单位公务用车配备情况。计算公式为：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人车比例=本期末在职人员数÷本期末公务用车实有数:1</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黑体" w:hAnsi="黑体" w:eastAsia="黑体" w:cs="黑体"/>
          <w:bCs/>
          <w:sz w:val="28"/>
          <w:szCs w:val="28"/>
        </w:rPr>
      </w:pPr>
      <w:r>
        <w:rPr>
          <w:rFonts w:hint="eastAsia" w:ascii="黑体" w:hAnsi="黑体" w:eastAsia="黑体" w:cs="黑体"/>
          <w:bCs/>
          <w:sz w:val="28"/>
          <w:szCs w:val="28"/>
        </w:rPr>
        <w:t>二、事业单位财务分析指标</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1.预算收入和支出完成率，衡量事业单位收入和支出总预算及分项预算完成的程度。计算公式为：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预算收入完成率＝年终执行数÷（年初预算数±年中预算调整数）×100%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年终执行数不含上年结转和结余收入数</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预算支出完成率＝年终执行数÷（年初预算数±年中预算调整数）×100%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年终执行数不含上年结转和结余支出数</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2.人员支出、公用支出占事业支出的比率，衡量事业单位事业支出结构。计算公式为：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人员支出比率＝人员支出÷事业支出×100%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公用支出比率＝公用支出÷事业支出×100%</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3.人均基本支出，衡量事业单位按照实际在编人数平均的基本支出水平。计算公式为：</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人均基本支出＝（基本支出-离退休人员支出）÷实际在编人数</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此外，行业事业单位还可根据相关财务制度规定和分析需要增加相关分析指标，如：</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1.财政拨款依存度, 衡量部门（单位）对财政拨款的依赖程度。</w:t>
      </w:r>
    </w:p>
    <w:p>
      <w:pPr>
        <w:pStyle w:val="24"/>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1"/>
        <w:rPr>
          <w:rFonts w:hint="eastAsia" w:ascii="仿宋" w:hAnsi="仿宋" w:eastAsia="仿宋" w:cs="仿宋"/>
          <w:sz w:val="32"/>
          <w:szCs w:val="32"/>
        </w:rPr>
      </w:pPr>
      <w:r>
        <w:rPr>
          <w:rFonts w:hint="eastAsia" w:ascii="仿宋" w:hAnsi="仿宋" w:eastAsia="仿宋" w:cs="仿宋"/>
          <w:bCs/>
          <w:sz w:val="28"/>
          <w:szCs w:val="28"/>
        </w:rPr>
        <w:t>财政拨款依存度＝财政拨款收入÷收入总额×100%</w:t>
      </w:r>
    </w:p>
    <w:sectPr>
      <w:footerReference r:id="rId5" w:type="first"/>
      <w:footerReference r:id="rId4"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4"/>
                              <w:szCs w:val="24"/>
                            </w:r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4"/>
                        <w:szCs w:val="24"/>
                      </w:r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4"/>
                        <w:szCs w:val="24"/>
                      </w:rPr>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2304B"/>
    <w:multiLevelType w:val="multilevel"/>
    <w:tmpl w:val="5262304B"/>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520E7"/>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C5C81"/>
    <w:rsid w:val="002E1C32"/>
    <w:rsid w:val="002F1818"/>
    <w:rsid w:val="002F567B"/>
    <w:rsid w:val="00303037"/>
    <w:rsid w:val="003216A9"/>
    <w:rsid w:val="0032321C"/>
    <w:rsid w:val="00324C77"/>
    <w:rsid w:val="0037013F"/>
    <w:rsid w:val="00373B77"/>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5DA2"/>
    <w:rsid w:val="004A711F"/>
    <w:rsid w:val="004B199D"/>
    <w:rsid w:val="004B4690"/>
    <w:rsid w:val="004E0A2D"/>
    <w:rsid w:val="004E206B"/>
    <w:rsid w:val="004E6DF7"/>
    <w:rsid w:val="004F0FBD"/>
    <w:rsid w:val="00505A47"/>
    <w:rsid w:val="00512FDA"/>
    <w:rsid w:val="00520DA0"/>
    <w:rsid w:val="00532247"/>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02E05"/>
    <w:rsid w:val="007127B7"/>
    <w:rsid w:val="007416B6"/>
    <w:rsid w:val="00746F48"/>
    <w:rsid w:val="0075404D"/>
    <w:rsid w:val="0076182A"/>
    <w:rsid w:val="00764947"/>
    <w:rsid w:val="0076670D"/>
    <w:rsid w:val="00767B7E"/>
    <w:rsid w:val="007770C3"/>
    <w:rsid w:val="00784D24"/>
    <w:rsid w:val="00785FBA"/>
    <w:rsid w:val="00786E4A"/>
    <w:rsid w:val="007875EB"/>
    <w:rsid w:val="0079426B"/>
    <w:rsid w:val="007C391F"/>
    <w:rsid w:val="007D312A"/>
    <w:rsid w:val="007D3F19"/>
    <w:rsid w:val="007E23B0"/>
    <w:rsid w:val="007E4CFC"/>
    <w:rsid w:val="007F1991"/>
    <w:rsid w:val="007F2C2F"/>
    <w:rsid w:val="007F55FC"/>
    <w:rsid w:val="007F5665"/>
    <w:rsid w:val="00800112"/>
    <w:rsid w:val="008253BB"/>
    <w:rsid w:val="0083706E"/>
    <w:rsid w:val="008423A5"/>
    <w:rsid w:val="00844EA4"/>
    <w:rsid w:val="00850625"/>
    <w:rsid w:val="00853718"/>
    <w:rsid w:val="00855221"/>
    <w:rsid w:val="00860645"/>
    <w:rsid w:val="00871F71"/>
    <w:rsid w:val="008770E7"/>
    <w:rsid w:val="00883FD9"/>
    <w:rsid w:val="00885AF4"/>
    <w:rsid w:val="0089274D"/>
    <w:rsid w:val="008939CD"/>
    <w:rsid w:val="008A7E52"/>
    <w:rsid w:val="008B768C"/>
    <w:rsid w:val="008C4DB1"/>
    <w:rsid w:val="008C4EAF"/>
    <w:rsid w:val="008C5176"/>
    <w:rsid w:val="008C7FD0"/>
    <w:rsid w:val="008D105F"/>
    <w:rsid w:val="008D2BC3"/>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5A0F"/>
    <w:rsid w:val="009B7573"/>
    <w:rsid w:val="009C22F4"/>
    <w:rsid w:val="009C2E98"/>
    <w:rsid w:val="009D2FB3"/>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0E4B"/>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83A0F"/>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513F"/>
    <w:rsid w:val="00F36D8F"/>
    <w:rsid w:val="00F417B1"/>
    <w:rsid w:val="00F602DF"/>
    <w:rsid w:val="00F81FD9"/>
    <w:rsid w:val="00F841AA"/>
    <w:rsid w:val="00FA23E8"/>
    <w:rsid w:val="00FC0D7B"/>
    <w:rsid w:val="00FD2952"/>
    <w:rsid w:val="00FD3CC1"/>
    <w:rsid w:val="00FD4A6A"/>
    <w:rsid w:val="00FE6121"/>
    <w:rsid w:val="00FF1E02"/>
    <w:rsid w:val="00FF30B4"/>
    <w:rsid w:val="10C055FF"/>
    <w:rsid w:val="16BB723D"/>
    <w:rsid w:val="1BF15163"/>
    <w:rsid w:val="1E147BE1"/>
    <w:rsid w:val="1EDB530D"/>
    <w:rsid w:val="240371BF"/>
    <w:rsid w:val="29FD04D3"/>
    <w:rsid w:val="2ED7704C"/>
    <w:rsid w:val="319F7F4E"/>
    <w:rsid w:val="39233B37"/>
    <w:rsid w:val="409501C5"/>
    <w:rsid w:val="46E95669"/>
    <w:rsid w:val="48384D73"/>
    <w:rsid w:val="53C52CC6"/>
    <w:rsid w:val="577B271B"/>
    <w:rsid w:val="5D5B0ADC"/>
    <w:rsid w:val="603E5D28"/>
    <w:rsid w:val="687A4921"/>
    <w:rsid w:val="D69EC8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1574</Words>
  <Characters>8974</Characters>
  <Lines>74</Lines>
  <Paragraphs>21</Paragraphs>
  <TotalTime>5</TotalTime>
  <ScaleCrop>false</ScaleCrop>
  <LinksUpToDate>false</LinksUpToDate>
  <CharactersWithSpaces>10527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2020-09-15T10:41:00Z</dcterms:created>
  <dc:creator>张彬茜</dc:creator>
  <cp:lastModifiedBy>user</cp:lastModifiedBy>
  <cp:lastPrinted>2020-09-01T11:32:00Z</cp:lastPrinted>
  <dcterms:modified xsi:type="dcterms:W3CDTF">2023-07-17T16:58:26Z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