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9"/>
        <w:rPr>
          <w:rFonts w:ascii="黑体" w:hAnsi="黑体" w:eastAsia="黑体"/>
          <w:color w:val="000000"/>
          <w:sz w:val="72"/>
          <w:szCs w:val="72"/>
        </w:rPr>
      </w:pPr>
      <w:bookmarkStart w:id="0" w:name="_Toc15377425"/>
      <w:bookmarkStart w:id="1" w:name="_Toc15396597"/>
      <w:bookmarkStart w:id="2" w:name="_Toc15396475"/>
      <w:bookmarkStart w:id="3" w:name="_Toc15378441"/>
      <w:bookmarkStart w:id="4" w:name="_Toc15377193"/>
      <w:bookmarkStart w:id="5" w:name="_Toc15306267"/>
      <w:bookmarkStart w:id="120" w:name="_GoBack"/>
      <w:bookmarkEnd w:id="120"/>
    </w:p>
    <w:p>
      <w:pPr>
        <w:adjustRightInd w:val="0"/>
        <w:snapToGrid w:val="0"/>
        <w:spacing w:line="360" w:lineRule="auto"/>
        <w:jc w:val="center"/>
        <w:outlineLvl w:val="9"/>
        <w:rPr>
          <w:rFonts w:ascii="黑体" w:hAnsi="黑体" w:eastAsia="黑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4346"/>
      <w:bookmarkStart w:id="7" w:name="_Toc6870"/>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0"/>
      <w:bookmarkEnd w:id="1"/>
      <w:bookmarkEnd w:id="2"/>
      <w:bookmarkEnd w:id="3"/>
      <w:bookmarkEnd w:id="4"/>
      <w:bookmarkEnd w:id="6"/>
      <w:bookmarkEnd w:id="7"/>
      <w:bookmarkStart w:id="8" w:name="_Toc15377426"/>
      <w:bookmarkStart w:id="9" w:name="_Toc15377194"/>
      <w:bookmarkStart w:id="10" w:name="_Toc15396476"/>
      <w:bookmarkStart w:id="11" w:name="_Toc15378442"/>
      <w:bookmarkStart w:id="12" w:name="_Toc15396598"/>
    </w:p>
    <w:p>
      <w:pPr>
        <w:adjustRightInd w:val="0"/>
        <w:snapToGrid w:val="0"/>
        <w:spacing w:line="360" w:lineRule="auto"/>
        <w:jc w:val="center"/>
        <w:outlineLvl w:val="0"/>
        <w:rPr>
          <w:rFonts w:ascii="方正小标宋简体" w:hAnsi="宋体" w:eastAsia="方正小标宋简体"/>
          <w:color w:val="000000"/>
          <w:sz w:val="72"/>
          <w:szCs w:val="72"/>
        </w:rPr>
      </w:pPr>
      <w:bookmarkStart w:id="13" w:name="_Toc9337"/>
      <w:bookmarkStart w:id="14" w:name="_Toc15263"/>
      <w:r>
        <w:rPr>
          <w:rFonts w:hint="eastAsia" w:ascii="方正小标宋简体" w:hAnsi="宋体" w:eastAsia="方正小标宋简体"/>
          <w:color w:val="000000"/>
          <w:sz w:val="72"/>
          <w:szCs w:val="72"/>
          <w:lang w:eastAsia="zh-CN"/>
        </w:rPr>
        <w:t>中共广元市利州区</w:t>
      </w:r>
      <w:bookmarkEnd w:id="5"/>
      <w:bookmarkStart w:id="15" w:name="_Toc15306268"/>
      <w:r>
        <w:rPr>
          <w:rFonts w:hint="eastAsia" w:ascii="方正小标宋简体" w:hAnsi="宋体" w:eastAsia="方正小标宋简体"/>
          <w:color w:val="000000"/>
          <w:sz w:val="72"/>
          <w:szCs w:val="72"/>
          <w:lang w:eastAsia="zh-CN"/>
        </w:rPr>
        <w:t>委三江新区建设办公室</w:t>
      </w:r>
      <w:r>
        <w:rPr>
          <w:rFonts w:hint="eastAsia" w:ascii="方正小标宋简体" w:hAnsi="宋体" w:eastAsia="方正小标宋简体"/>
          <w:color w:val="000000"/>
          <w:sz w:val="72"/>
          <w:szCs w:val="72"/>
        </w:rPr>
        <w:t>决算</w:t>
      </w:r>
      <w:bookmarkEnd w:id="8"/>
      <w:bookmarkEnd w:id="9"/>
      <w:bookmarkEnd w:id="10"/>
      <w:bookmarkEnd w:id="11"/>
      <w:bookmarkEnd w:id="12"/>
      <w:bookmarkEnd w:id="13"/>
      <w:bookmarkEnd w:id="14"/>
      <w:bookmarkEnd w:id="15"/>
    </w:p>
    <w:p>
      <w:pPr>
        <w:adjustRightInd w:val="0"/>
        <w:snapToGrid w:val="0"/>
        <w:spacing w:line="360" w:lineRule="auto"/>
        <w:jc w:val="both"/>
        <w:outlineLvl w:val="9"/>
        <w:rPr>
          <w:rFonts w:hint="eastAsia" w:ascii="方正小标宋简体" w:hAnsi="宋体" w:eastAsia="方正小标宋简体"/>
          <w:color w:val="000000"/>
          <w:sz w:val="52"/>
          <w:szCs w:val="52"/>
          <w:lang w:eastAsia="zh-CN"/>
        </w:rPr>
      </w:pPr>
    </w:p>
    <w:p>
      <w:pPr>
        <w:widowControl/>
        <w:jc w:val="center"/>
        <w:rPr>
          <w:rFonts w:hint="eastAsia" w:ascii="黑体" w:hAnsi="黑体" w:eastAsia="黑体"/>
          <w:color w:val="000000"/>
          <w:sz w:val="48"/>
          <w:szCs w:val="48"/>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公开时间：2020年9月3日</w:t>
      </w:r>
    </w:p>
    <w:sdt>
      <w:sdtPr>
        <w:rPr>
          <w:rFonts w:ascii="宋体" w:hAnsi="宋体" w:eastAsia="宋体" w:cs="Times New Roman"/>
          <w:kern w:val="2"/>
          <w:sz w:val="21"/>
          <w:szCs w:val="24"/>
          <w:lang w:val="en-US" w:eastAsia="zh-CN" w:bidi="ar-SA"/>
        </w:rPr>
        <w:id w:val="147481549"/>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fldChar w:fldCharType="begin"/>
          </w:r>
          <w:r>
            <w:instrText xml:space="preserve">TOC \o "1-2" \h \u </w:instrText>
          </w:r>
          <w:r>
            <w:fldChar w:fldCharType="separate"/>
          </w:r>
        </w:p>
        <w:p>
          <w:pPr>
            <w:pStyle w:val="10"/>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_Toc24482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xml:space="preserve">第一部分 </w:t>
          </w:r>
          <w:r>
            <w:rPr>
              <w:rFonts w:hint="eastAsia" w:ascii="方正仿宋_GBK" w:hAnsi="方正仿宋_GBK" w:eastAsia="方正仿宋_GBK" w:cs="方正仿宋_GBK"/>
              <w:bCs w:val="0"/>
              <w:sz w:val="28"/>
              <w:szCs w:val="28"/>
            </w:rPr>
            <w:t>部门概况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_Toc24482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_Toc19670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一、基</w:t>
          </w:r>
          <w:r>
            <w:rPr>
              <w:rFonts w:hint="eastAsia" w:ascii="方正仿宋_GBK" w:hAnsi="方正仿宋_GBK" w:eastAsia="方正仿宋_GBK" w:cs="方正仿宋_GBK"/>
              <w:bCs w:val="0"/>
              <w:sz w:val="28"/>
              <w:szCs w:val="28"/>
            </w:rPr>
            <w:t>本职能及主要工作</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_Toc19670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_Toc21167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二、机</w:t>
          </w:r>
          <w:r>
            <w:rPr>
              <w:rFonts w:hint="eastAsia" w:ascii="方正仿宋_GBK" w:hAnsi="方正仿宋_GBK" w:eastAsia="方正仿宋_GBK" w:cs="方正仿宋_GBK"/>
              <w:bCs w:val="0"/>
              <w:sz w:val="28"/>
              <w:szCs w:val="28"/>
            </w:rPr>
            <w:t>构设置</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_Toc21167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_Toc19828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xml:space="preserve">第二部分 </w:t>
          </w:r>
          <w:r>
            <w:rPr>
              <w:rFonts w:hint="eastAsia" w:ascii="方正仿宋_GBK" w:hAnsi="方正仿宋_GBK" w:eastAsia="方正仿宋_GBK" w:cs="方正仿宋_GBK"/>
              <w:bCs w:val="0"/>
              <w:sz w:val="28"/>
              <w:szCs w:val="28"/>
            </w:rPr>
            <w:t>2019年度部门决算情况说明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_Toc19828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_Toc6694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 收入支出决算总体情况说明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_Toc6694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_Toc5949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 收入决算情况说明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_Toc5949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_Toc2545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三、 支出决算情况说明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_Toc2545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_Toc23168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四、财政拨款收入支出决算总体情况说明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_Toc23168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_Toc19238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五、一般公共预算财政拨款支出决算情况说明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_Toc19238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_Toc5684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六、一般公共预算财政拨款基本支出决算情况说明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_Toc5684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_Toc26103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七、“三公”经费财政拨款支出决算情况说明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_Toc26103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_Toc3098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八、政府性基金预算支出决算情况说明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_Toc3098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_Toc8416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九、 国有资本经营预算支出决算情况说明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_Toc8416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_Toc14001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十、其他重要事项的情况说明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_Toc14001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_Toc31682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第三部分 名词解释</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_Toc31682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_Toc20530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第四部分 附件</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_Toc20530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_Toc616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附件1</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_Toc616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_Toc19944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附件2</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_Toc19944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_Toc13040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附件</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_Toc13040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_Toc30663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第五部分 附表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_Toc30663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_Toc7660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一、收</w:t>
          </w:r>
          <w:r>
            <w:rPr>
              <w:rFonts w:hint="eastAsia" w:ascii="方正仿宋_GBK" w:hAnsi="方正仿宋_GBK" w:eastAsia="方正仿宋_GBK" w:cs="方正仿宋_GBK"/>
              <w:bCs w:val="0"/>
              <w:sz w:val="28"/>
              <w:szCs w:val="28"/>
            </w:rPr>
            <w:t>入支出决算总表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_Toc7660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_Toc4915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二、收</w:t>
          </w:r>
          <w:r>
            <w:rPr>
              <w:rFonts w:hint="eastAsia" w:ascii="方正仿宋_GBK" w:hAnsi="方正仿宋_GBK" w:eastAsia="方正仿宋_GBK" w:cs="方正仿宋_GBK"/>
              <w:bCs w:val="0"/>
              <w:sz w:val="28"/>
              <w:szCs w:val="28"/>
            </w:rPr>
            <w:t>入决算表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_Toc4915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_Toc12202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三、</w:t>
          </w:r>
          <w:r>
            <w:rPr>
              <w:rFonts w:hint="eastAsia" w:ascii="方正仿宋_GBK" w:hAnsi="方正仿宋_GBK" w:eastAsia="方正仿宋_GBK" w:cs="方正仿宋_GBK"/>
              <w:sz w:val="28"/>
              <w:szCs w:val="28"/>
            </w:rPr>
            <w:t>支</w:t>
          </w:r>
          <w:r>
            <w:rPr>
              <w:rFonts w:hint="eastAsia" w:ascii="方正仿宋_GBK" w:hAnsi="方正仿宋_GBK" w:eastAsia="方正仿宋_GBK" w:cs="方正仿宋_GBK"/>
              <w:bCs w:val="0"/>
              <w:sz w:val="28"/>
              <w:szCs w:val="28"/>
            </w:rPr>
            <w:t>出决算表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_Toc12202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_Toc2828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四、</w:t>
          </w:r>
          <w:r>
            <w:rPr>
              <w:rFonts w:hint="eastAsia" w:ascii="方正仿宋_GBK" w:hAnsi="方正仿宋_GBK" w:eastAsia="方正仿宋_GBK" w:cs="方正仿宋_GBK"/>
              <w:sz w:val="28"/>
              <w:szCs w:val="28"/>
            </w:rPr>
            <w:t>财</w:t>
          </w:r>
          <w:r>
            <w:rPr>
              <w:rFonts w:hint="eastAsia" w:ascii="方正仿宋_GBK" w:hAnsi="方正仿宋_GBK" w:eastAsia="方正仿宋_GBK" w:cs="方正仿宋_GBK"/>
              <w:bCs w:val="0"/>
              <w:sz w:val="28"/>
              <w:szCs w:val="28"/>
            </w:rPr>
            <w:t>政拨款收入支出决算总表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_Toc2828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_Toc13699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五、</w:t>
          </w:r>
          <w:r>
            <w:rPr>
              <w:rFonts w:hint="eastAsia" w:ascii="方正仿宋_GBK" w:hAnsi="方正仿宋_GBK" w:eastAsia="方正仿宋_GBK" w:cs="方正仿宋_GBK"/>
              <w:sz w:val="28"/>
              <w:szCs w:val="28"/>
            </w:rPr>
            <w:t>财</w:t>
          </w:r>
          <w:r>
            <w:rPr>
              <w:rFonts w:hint="eastAsia" w:ascii="方正仿宋_GBK" w:hAnsi="方正仿宋_GBK" w:eastAsia="方正仿宋_GBK" w:cs="方正仿宋_GBK"/>
              <w:bCs w:val="0"/>
              <w:sz w:val="28"/>
              <w:szCs w:val="28"/>
            </w:rPr>
            <w:t>政拨款支出决算明细表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_Toc13699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_Toc21373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六、</w:t>
          </w: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bCs w:val="0"/>
              <w:sz w:val="28"/>
              <w:szCs w:val="28"/>
            </w:rPr>
            <w:t>般公共预算财政拨款支出决算表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_Toc21373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_Toc19565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七、</w:t>
          </w: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bCs w:val="0"/>
              <w:sz w:val="28"/>
              <w:szCs w:val="28"/>
            </w:rPr>
            <w:t>般公共预算财政拨款支出决算明细表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_Toc19565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_Toc13206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八、</w:t>
          </w: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bCs w:val="0"/>
              <w:sz w:val="28"/>
              <w:szCs w:val="28"/>
            </w:rPr>
            <w:t>般公共预算财政拨款基本支出决算表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_Toc13206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_Toc4573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九、</w:t>
          </w: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bCs w:val="0"/>
              <w:sz w:val="28"/>
              <w:szCs w:val="28"/>
            </w:rPr>
            <w:t>般公共预算财政拨款项目支出决算表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_Toc4573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_Toc1325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十、</w:t>
          </w: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bCs w:val="0"/>
              <w:sz w:val="28"/>
              <w:szCs w:val="28"/>
            </w:rPr>
            <w:t>般公共预算财政拨款“三公”经费支出决算表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_Toc1325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_Toc25726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十一、</w:t>
          </w:r>
          <w:r>
            <w:rPr>
              <w:rFonts w:hint="eastAsia" w:ascii="方正仿宋_GBK" w:hAnsi="方正仿宋_GBK" w:eastAsia="方正仿宋_GBK" w:cs="方正仿宋_GBK"/>
              <w:sz w:val="28"/>
              <w:szCs w:val="28"/>
            </w:rPr>
            <w:t>政</w:t>
          </w:r>
          <w:r>
            <w:rPr>
              <w:rFonts w:hint="eastAsia" w:ascii="方正仿宋_GBK" w:hAnsi="方正仿宋_GBK" w:eastAsia="方正仿宋_GBK" w:cs="方正仿宋_GBK"/>
              <w:bCs w:val="0"/>
              <w:sz w:val="28"/>
              <w:szCs w:val="28"/>
            </w:rPr>
            <w:t>府性基金预算财政拨款收入支出决算表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_Toc25726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_Toc12219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十二、</w:t>
          </w:r>
          <w:r>
            <w:rPr>
              <w:rFonts w:hint="eastAsia" w:ascii="方正仿宋_GBK" w:hAnsi="方正仿宋_GBK" w:eastAsia="方正仿宋_GBK" w:cs="方正仿宋_GBK"/>
              <w:sz w:val="28"/>
              <w:szCs w:val="28"/>
            </w:rPr>
            <w:t>政</w:t>
          </w:r>
          <w:r>
            <w:rPr>
              <w:rFonts w:hint="eastAsia" w:ascii="方正仿宋_GBK" w:hAnsi="方正仿宋_GBK" w:eastAsia="方正仿宋_GBK" w:cs="方正仿宋_GBK"/>
              <w:bCs w:val="0"/>
              <w:sz w:val="28"/>
              <w:szCs w:val="28"/>
            </w:rPr>
            <w:t>府性基金预算财政拨款“三公”经费支出决算表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_Toc12219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1"/>
            <w:tabs>
              <w:tab w:val="right" w:leader="dot" w:pos="8306"/>
              <w:tab w:val="clear" w:pos="8296"/>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_Toc5032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十三、</w:t>
          </w:r>
          <w:r>
            <w:rPr>
              <w:rFonts w:hint="eastAsia" w:ascii="方正仿宋_GBK" w:hAnsi="方正仿宋_GBK" w:eastAsia="方正仿宋_GBK" w:cs="方正仿宋_GBK"/>
              <w:sz w:val="28"/>
              <w:szCs w:val="28"/>
            </w:rPr>
            <w:t>国</w:t>
          </w:r>
          <w:r>
            <w:rPr>
              <w:rFonts w:hint="eastAsia" w:ascii="方正仿宋_GBK" w:hAnsi="方正仿宋_GBK" w:eastAsia="方正仿宋_GBK" w:cs="方正仿宋_GBK"/>
              <w:bCs w:val="0"/>
              <w:sz w:val="28"/>
              <w:szCs w:val="28"/>
            </w:rPr>
            <w:t>有资本经营预算支出决算表</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_Toc5032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spacing w:before="0" w:beforeLines="0" w:after="0" w:afterLines="0" w:line="240" w:lineRule="auto"/>
            <w:ind w:left="0" w:leftChars="0" w:right="0" w:rightChars="0" w:firstLine="0" w:firstLineChars="0"/>
            <w:jc w:val="center"/>
            <w:rPr>
              <w:rFonts w:ascii="Times New Roman" w:hAnsi="Times New Roman" w:eastAsia="宋体" w:cs="Times New Roman"/>
              <w:b/>
              <w:kern w:val="2"/>
              <w:sz w:val="21"/>
              <w:szCs w:val="24"/>
              <w:lang w:val="en-US" w:eastAsia="zh-CN" w:bidi="ar-SA"/>
            </w:rPr>
          </w:pPr>
          <w:r>
            <w:rPr>
              <w:b/>
            </w:rPr>
            <w:fldChar w:fldCharType="end"/>
          </w:r>
          <w:bookmarkStart w:id="16" w:name="_Toc15377196"/>
          <w:bookmarkStart w:id="17" w:name="_Toc24482"/>
          <w:bookmarkStart w:id="18" w:name="_Toc15396599"/>
        </w:p>
      </w:sdtContent>
    </w:sdt>
    <w:p>
      <w:pPr>
        <w:spacing w:before="0" w:beforeLines="0" w:after="0" w:afterLines="0" w:line="240" w:lineRule="auto"/>
        <w:ind w:left="0" w:leftChars="0" w:right="0" w:rightChars="0" w:firstLine="0" w:firstLineChars="0"/>
        <w:jc w:val="center"/>
        <w:rPr>
          <w:rFonts w:ascii="Times New Roman" w:hAnsi="Times New Roman" w:eastAsia="宋体" w:cs="Times New Roman"/>
          <w:b/>
          <w:kern w:val="2"/>
          <w:sz w:val="21"/>
          <w:szCs w:val="24"/>
          <w:lang w:val="en-US" w:eastAsia="zh-CN" w:bidi="ar-SA"/>
        </w:rPr>
      </w:pPr>
    </w:p>
    <w:p>
      <w:pPr>
        <w:spacing w:before="0" w:beforeLines="0" w:after="0" w:afterLines="0" w:line="240" w:lineRule="auto"/>
        <w:ind w:left="0" w:leftChars="0" w:right="0" w:rightChars="0" w:firstLine="0" w:firstLineChars="0"/>
        <w:jc w:val="center"/>
        <w:rPr>
          <w:rFonts w:hint="eastAsia" w:ascii="Times New Roman" w:hAnsi="Times New Roman" w:eastAsia="宋体" w:cs="Times New Roman"/>
          <w:b/>
          <w:kern w:val="2"/>
          <w:sz w:val="21"/>
          <w:szCs w:val="24"/>
          <w:lang w:val="en-US" w:eastAsia="zh-CN" w:bidi="ar-SA"/>
        </w:rPr>
      </w:pP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6"/>
      <w:bookmarkEnd w:id="17"/>
      <w:bookmarkEnd w:id="18"/>
    </w:p>
    <w:p>
      <w:pPr>
        <w:pStyle w:val="3"/>
        <w:rPr>
          <w:rStyle w:val="25"/>
          <w:rFonts w:ascii="仿宋" w:hAnsi="仿宋" w:eastAsia="仿宋"/>
          <w:b w:val="0"/>
          <w:bCs w:val="0"/>
        </w:rPr>
      </w:pPr>
      <w:bookmarkStart w:id="19" w:name="_Toc15377197"/>
      <w:bookmarkStart w:id="20" w:name="_Toc19670"/>
      <w:bookmarkStart w:id="21"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9"/>
      <w:bookmarkEnd w:id="20"/>
      <w:bookmarkEnd w:id="21"/>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2" w:name="_Toc15378445"/>
      <w:bookmarkStart w:id="23" w:name="_Toc15377198"/>
      <w:r>
        <w:rPr>
          <w:rFonts w:hint="eastAsia" w:ascii="仿宋" w:hAnsi="仿宋" w:eastAsia="仿宋"/>
          <w:bCs/>
          <w:color w:val="000000"/>
          <w:sz w:val="32"/>
          <w:szCs w:val="32"/>
        </w:rPr>
        <w:t>（一）主要职能。</w:t>
      </w:r>
      <w:bookmarkEnd w:id="22"/>
      <w:bookmarkEnd w:id="23"/>
      <w:bookmarkStart w:id="24" w:name="_Toc15378446"/>
      <w:bookmarkStart w:id="25" w:name="_Toc15377199"/>
    </w:p>
    <w:p>
      <w:pPr>
        <w:pStyle w:val="5"/>
        <w:adjustRightInd w:val="0"/>
        <w:snapToGrid w:val="0"/>
        <w:spacing w:before="93" w:line="600"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eastAsia="zh-CN"/>
        </w:rPr>
        <w:t>中共广元市利州区委三江新区建设办公室（简称区委三江新区办）贯彻落实党中央和省委关于城市新区建设的方针政策以及市委、区委关于三江新区建设的决策部署，同时为区委各项重大决策服务、从事综合性研究，在履行职责过程中坚持和加强区委对各项工作的统一领导。区委三江新区办主要职责：负责相关法律法规、政策的贯彻执行，负责三江新区利州区规划内建设、管理的研究及配套政策、措施的制定；负责按照市三江新区建设发展总体规划及经济、社会发展分项规划，研究、编制和论证利州区规划区内专项实施规划；负责三江新区利州区规划内建设、管理实施的组织指挥、统筹协调、指导服务和监督检查；负责三江新区利州规划区内对内对外开放、招商引资和经济合作工作；承担区三江新区建设发展领导小组交办的其他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4"/>
      <w:bookmarkEnd w:id="25"/>
    </w:p>
    <w:p>
      <w:pPr>
        <w:pStyle w:val="5"/>
        <w:adjustRightInd w:val="0"/>
        <w:snapToGrid w:val="0"/>
        <w:spacing w:before="93" w:line="600" w:lineRule="exact"/>
        <w:ind w:firstLine="672" w:firstLineChars="210"/>
        <w:outlineLvl w:val="2"/>
        <w:rPr>
          <w:rFonts w:hint="eastAsia" w:ascii="方正仿宋_GBK" w:hAnsi="方正仿宋简体" w:eastAsia="方正仿宋_GBK" w:cs="方正仿宋简体"/>
          <w:color w:val="000000"/>
          <w:kern w:val="2"/>
          <w:sz w:val="32"/>
          <w:szCs w:val="32"/>
        </w:rPr>
      </w:pPr>
      <w:r>
        <w:rPr>
          <w:rFonts w:hint="eastAsia" w:ascii="MS PMincho" w:hAnsi="MS PMincho" w:eastAsia="方正仿宋_GBK" w:cs="方正仿宋_GBK"/>
          <w:sz w:val="32"/>
          <w:szCs w:val="32"/>
        </w:rPr>
        <w:t>2019年，区委三江</w:t>
      </w:r>
      <w:r>
        <w:rPr>
          <w:rFonts w:hint="eastAsia" w:ascii="MS PMincho" w:hAnsi="MS PMincho" w:eastAsia="方正仿宋_GBK" w:cs="方正仿宋_GBK"/>
          <w:sz w:val="32"/>
          <w:szCs w:val="32"/>
          <w:lang w:eastAsia="zh-CN"/>
        </w:rPr>
        <w:t>新区</w:t>
      </w:r>
      <w:r>
        <w:rPr>
          <w:rFonts w:hint="eastAsia" w:ascii="MS PMincho" w:hAnsi="MS PMincho" w:eastAsia="方正仿宋_GBK" w:cs="方正仿宋_GBK"/>
          <w:sz w:val="32"/>
          <w:szCs w:val="32"/>
        </w:rPr>
        <w:t>办坚定贯彻区委区政府关于实施三江新区建设“提速年”活动的决策部署，</w:t>
      </w:r>
      <w:r>
        <w:rPr>
          <w:rFonts w:ascii="MS PMincho" w:hAnsi="MS PMincho" w:eastAsia="方正仿宋_GBK" w:cs="方正仿宋_GBK"/>
          <w:sz w:val="32"/>
          <w:szCs w:val="32"/>
        </w:rPr>
        <w:t>紧紧围绕把三江新区打造成广元高质量发展</w:t>
      </w:r>
      <w:r>
        <w:rPr>
          <w:rFonts w:hint="eastAsia" w:ascii="MS PMincho" w:hAnsi="MS PMincho" w:eastAsia="方正仿宋_GBK" w:cs="方正仿宋_GBK"/>
          <w:sz w:val="32"/>
          <w:szCs w:val="32"/>
        </w:rPr>
        <w:t>“</w:t>
      </w:r>
      <w:r>
        <w:rPr>
          <w:rFonts w:ascii="MS PMincho" w:hAnsi="MS PMincho" w:eastAsia="方正仿宋_GBK" w:cs="方正仿宋_GBK"/>
          <w:sz w:val="32"/>
          <w:szCs w:val="32"/>
        </w:rPr>
        <w:t>核心增长极</w:t>
      </w:r>
      <w:r>
        <w:rPr>
          <w:rFonts w:hint="eastAsia" w:ascii="MS PMincho" w:hAnsi="MS PMincho" w:eastAsia="方正仿宋_GBK" w:cs="方正仿宋_GBK"/>
          <w:sz w:val="32"/>
          <w:szCs w:val="32"/>
        </w:rPr>
        <w:t>”</w:t>
      </w:r>
      <w:r>
        <w:rPr>
          <w:rFonts w:ascii="MS PMincho" w:hAnsi="MS PMincho" w:eastAsia="方正仿宋_GBK" w:cs="方正仿宋_GBK"/>
          <w:sz w:val="32"/>
          <w:szCs w:val="32"/>
        </w:rPr>
        <w:t>定位，</w:t>
      </w:r>
      <w:r>
        <w:rPr>
          <w:rFonts w:hint="eastAsia" w:ascii="MS PMincho" w:hAnsi="MS PMincho" w:eastAsia="方正仿宋_GBK" w:cs="方正仿宋_GBK"/>
          <w:sz w:val="32"/>
          <w:szCs w:val="32"/>
        </w:rPr>
        <w:t>将资金、资源和项目全面向三江新区集中集聚，全力以赴加快三江新区利州片区建设。</w:t>
      </w:r>
      <w:r>
        <w:rPr>
          <w:rFonts w:hint="eastAsia" w:ascii="MS PMincho" w:hAnsi="MS PMincho" w:eastAsia="方正仿宋_GBK" w:cs="方正仿宋_GBK"/>
          <w:b/>
          <w:bCs/>
          <w:sz w:val="32"/>
          <w:szCs w:val="32"/>
          <w:lang w:eastAsia="zh-CN"/>
        </w:rPr>
        <w:t>一是</w:t>
      </w:r>
      <w:r>
        <w:rPr>
          <w:rFonts w:hint="eastAsia" w:ascii="方正仿宋_GBK" w:hAnsi="方正仿宋简体" w:eastAsia="方正仿宋_GBK" w:cs="方正仿宋简体"/>
          <w:color w:val="000000"/>
          <w:kern w:val="2"/>
          <w:sz w:val="32"/>
          <w:szCs w:val="32"/>
        </w:rPr>
        <w:t>依据区委、区政府年初下达的目标任务，做好脱贫攻坚，坚持以示范项目建设为契机，强力推进三江新区项目建设。</w:t>
      </w:r>
      <w:r>
        <w:rPr>
          <w:rFonts w:hint="eastAsia" w:ascii="方正仿宋_GBK" w:hAnsi="方正仿宋简体" w:eastAsia="方正仿宋_GBK" w:cs="方正仿宋简体"/>
          <w:b/>
          <w:bCs/>
          <w:color w:val="000000"/>
          <w:kern w:val="2"/>
          <w:sz w:val="32"/>
          <w:szCs w:val="32"/>
          <w:lang w:eastAsia="zh-CN"/>
        </w:rPr>
        <w:t>二是</w:t>
      </w:r>
      <w:r>
        <w:rPr>
          <w:rFonts w:hint="eastAsia" w:ascii="方正仿宋_GBK" w:hAnsi="方正仿宋简体" w:eastAsia="方正仿宋_GBK" w:cs="方正仿宋简体"/>
          <w:color w:val="000000"/>
          <w:kern w:val="2"/>
          <w:sz w:val="32"/>
          <w:szCs w:val="32"/>
        </w:rPr>
        <w:t>坚持一手抓方案制定，一手抓任务落实，深入推进全面深化改革。</w:t>
      </w:r>
      <w:r>
        <w:rPr>
          <w:rFonts w:hint="eastAsia" w:ascii="方正仿宋_GBK" w:hAnsi="方正仿宋简体" w:eastAsia="方正仿宋_GBK" w:cs="方正仿宋简体"/>
          <w:b/>
          <w:bCs/>
          <w:color w:val="000000"/>
          <w:kern w:val="2"/>
          <w:sz w:val="32"/>
          <w:szCs w:val="32"/>
          <w:lang w:eastAsia="zh-CN"/>
        </w:rPr>
        <w:t>三是</w:t>
      </w:r>
      <w:r>
        <w:rPr>
          <w:rFonts w:hint="eastAsia" w:ascii="方正仿宋_GBK" w:hAnsi="方正仿宋简体" w:eastAsia="方正仿宋_GBK" w:cs="方正仿宋简体"/>
          <w:color w:val="000000"/>
          <w:kern w:val="2"/>
          <w:sz w:val="32"/>
          <w:szCs w:val="32"/>
        </w:rPr>
        <w:t>坚持以园区为载体，以综合配套改革为路径，有序推进</w:t>
      </w:r>
      <w:r>
        <w:rPr>
          <w:rFonts w:hint="eastAsia" w:ascii="方正仿宋_GBK" w:hAnsi="方正仿宋简体" w:eastAsia="方正仿宋_GBK" w:cs="方正仿宋简体"/>
          <w:color w:val="000000"/>
          <w:kern w:val="2"/>
          <w:sz w:val="32"/>
          <w:szCs w:val="32"/>
          <w:lang w:eastAsia="zh-CN"/>
        </w:rPr>
        <w:t>全面深化改革</w:t>
      </w:r>
      <w:r>
        <w:rPr>
          <w:rFonts w:hint="eastAsia" w:ascii="方正仿宋_GBK" w:hAnsi="方正仿宋简体" w:eastAsia="方正仿宋_GBK" w:cs="方正仿宋简体"/>
          <w:color w:val="000000"/>
          <w:kern w:val="2"/>
          <w:sz w:val="32"/>
          <w:szCs w:val="32"/>
        </w:rPr>
        <w:t>。</w:t>
      </w:r>
    </w:p>
    <w:p>
      <w:pPr>
        <w:pStyle w:val="3"/>
        <w:rPr>
          <w:rStyle w:val="25"/>
          <w:b w:val="0"/>
          <w:bCs w:val="0"/>
        </w:rPr>
      </w:pPr>
      <w:bookmarkStart w:id="26" w:name="_Toc15377200"/>
      <w:bookmarkStart w:id="27" w:name="_Toc15396601"/>
      <w:bookmarkStart w:id="28" w:name="_Toc21167"/>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6"/>
      <w:bookmarkEnd w:id="27"/>
      <w:bookmarkEnd w:id="28"/>
    </w:p>
    <w:p>
      <w:pPr>
        <w:ind w:firstLine="800" w:firstLineChars="250"/>
        <w:rPr>
          <w:rFonts w:ascii="仿宋" w:hAnsi="仿宋" w:eastAsia="仿宋"/>
          <w:sz w:val="32"/>
          <w:szCs w:val="32"/>
        </w:rPr>
      </w:pPr>
      <w:r>
        <w:rPr>
          <w:rFonts w:hint="eastAsia" w:ascii="仿宋" w:hAnsi="仿宋" w:eastAsia="仿宋"/>
          <w:sz w:val="32"/>
          <w:szCs w:val="32"/>
          <w:lang w:eastAsia="zh-CN"/>
        </w:rPr>
        <w:t>区委三江新区办</w:t>
      </w:r>
      <w:r>
        <w:rPr>
          <w:rFonts w:hint="eastAsia" w:ascii="仿宋" w:hAnsi="仿宋" w:eastAsia="仿宋"/>
          <w:sz w:val="32"/>
          <w:szCs w:val="32"/>
        </w:rPr>
        <w:t>下属二级单位</w:t>
      </w:r>
      <w:r>
        <w:rPr>
          <w:rFonts w:hint="eastAsia" w:ascii="仿宋" w:hAnsi="仿宋" w:eastAsia="仿宋"/>
          <w:sz w:val="32"/>
          <w:szCs w:val="32"/>
          <w:lang w:val="en-US" w:eastAsia="zh-CN"/>
        </w:rPr>
        <w:t>1</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区委三江新区办</w:t>
      </w:r>
      <w:r>
        <w:rPr>
          <w:rFonts w:hint="eastAsia" w:ascii="仿宋" w:hAnsi="仿宋" w:eastAsia="仿宋"/>
          <w:color w:val="000000"/>
          <w:sz w:val="32"/>
          <w:szCs w:val="32"/>
        </w:rPr>
        <w:t>2019年度部门决算编制范围的二级预算单位包括</w:t>
      </w:r>
      <w:r>
        <w:rPr>
          <w:rFonts w:hint="eastAsia" w:ascii="仿宋" w:hAnsi="仿宋" w:eastAsia="仿宋"/>
          <w:color w:val="000000"/>
          <w:sz w:val="32"/>
          <w:szCs w:val="32"/>
          <w:lang w:eastAsia="zh-CN"/>
        </w:rPr>
        <w:t>广元市利州区政策研究中心。</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9" w:name="_Toc15396602"/>
      <w:bookmarkStart w:id="30" w:name="_Toc15377204"/>
      <w:bookmarkStart w:id="31" w:name="_Toc19828"/>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9"/>
      <w:bookmarkEnd w:id="30"/>
      <w:bookmarkEnd w:id="31"/>
    </w:p>
    <w:p/>
    <w:p>
      <w:pPr>
        <w:pStyle w:val="23"/>
        <w:numPr>
          <w:ilvl w:val="0"/>
          <w:numId w:val="1"/>
        </w:numPr>
        <w:spacing w:line="600" w:lineRule="exact"/>
        <w:ind w:firstLineChars="0"/>
        <w:outlineLvl w:val="1"/>
        <w:rPr>
          <w:rStyle w:val="25"/>
          <w:rFonts w:ascii="黑体" w:hAnsi="黑体" w:eastAsia="黑体"/>
          <w:b w:val="0"/>
        </w:rPr>
      </w:pPr>
      <w:bookmarkStart w:id="32" w:name="_Toc15396603"/>
      <w:bookmarkStart w:id="33" w:name="_Toc15377205"/>
      <w:bookmarkStart w:id="34" w:name="_Toc6694"/>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32"/>
      <w:bookmarkEnd w:id="33"/>
      <w:bookmarkEnd w:id="34"/>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65.29</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10.47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13.81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人员调动，缩减办公经费。</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lang w:eastAsia="zh-CN"/>
        </w:rPr>
        <w:drawing>
          <wp:anchor distT="0" distB="0" distL="114300" distR="114300" simplePos="0" relativeHeight="251658240" behindDoc="0" locked="0" layoutInCell="1" allowOverlap="1">
            <wp:simplePos x="0" y="0"/>
            <wp:positionH relativeFrom="column">
              <wp:posOffset>296545</wp:posOffset>
            </wp:positionH>
            <wp:positionV relativeFrom="paragraph">
              <wp:posOffset>233680</wp:posOffset>
            </wp:positionV>
            <wp:extent cx="4850765" cy="2999105"/>
            <wp:effectExtent l="4445" t="4445" r="21590" b="635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35" w:name="_Toc15377206"/>
      <w:bookmarkStart w:id="36" w:name="_Toc15396604"/>
      <w:bookmarkStart w:id="37" w:name="_Toc5949"/>
      <w:r>
        <w:rPr>
          <w:rFonts w:hint="eastAsia" w:ascii="黑体" w:hAnsi="黑体" w:eastAsia="黑体"/>
          <w:color w:val="000000"/>
          <w:sz w:val="32"/>
          <w:szCs w:val="32"/>
        </w:rPr>
        <w:t>收</w:t>
      </w:r>
      <w:r>
        <w:rPr>
          <w:rStyle w:val="25"/>
          <w:rFonts w:hint="eastAsia" w:ascii="黑体" w:hAnsi="黑体" w:eastAsia="黑体"/>
          <w:b w:val="0"/>
        </w:rPr>
        <w:t>入决算情况说明</w:t>
      </w:r>
      <w:bookmarkEnd w:id="35"/>
      <w:bookmarkEnd w:id="36"/>
      <w:bookmarkEnd w:id="37"/>
    </w:p>
    <w:p>
      <w:pPr>
        <w:spacing w:line="600" w:lineRule="exact"/>
        <w:ind w:firstLine="640" w:firstLineChars="200"/>
        <w:outlineLvl w:val="1"/>
        <w:rPr>
          <w:rFonts w:hint="eastAsia" w:ascii="仿宋" w:hAnsi="仿宋" w:eastAsia="仿宋"/>
          <w:color w:val="000000"/>
          <w:sz w:val="32"/>
          <w:szCs w:val="32"/>
        </w:rPr>
      </w:pPr>
      <w:bookmarkStart w:id="38" w:name="_Toc26592"/>
      <w:bookmarkStart w:id="39" w:name="_Toc28136"/>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65.29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65.29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38"/>
      <w:bookmarkEnd w:id="39"/>
    </w:p>
    <w:p>
      <w:pPr>
        <w:spacing w:line="600" w:lineRule="exact"/>
        <w:ind w:firstLine="640" w:firstLineChars="200"/>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59264" behindDoc="1" locked="0" layoutInCell="1" allowOverlap="1">
            <wp:simplePos x="0" y="0"/>
            <wp:positionH relativeFrom="column">
              <wp:posOffset>518795</wp:posOffset>
            </wp:positionH>
            <wp:positionV relativeFrom="paragraph">
              <wp:posOffset>52705</wp:posOffset>
            </wp:positionV>
            <wp:extent cx="4574540" cy="2628265"/>
            <wp:effectExtent l="4445" t="4445" r="12065" b="1524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9"/>
        <w:rPr>
          <w:rFonts w:hint="eastAsia" w:ascii="仿宋" w:hAnsi="仿宋" w:eastAsia="仿宋"/>
          <w:color w:val="000000"/>
          <w:sz w:val="32"/>
          <w:szCs w:val="32"/>
          <w:lang w:eastAsia="zh-CN"/>
        </w:rPr>
      </w:pP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40" w:name="_Toc15377207"/>
      <w:bookmarkStart w:id="41" w:name="_Toc2545"/>
      <w:bookmarkStart w:id="42"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40"/>
      <w:bookmarkEnd w:id="41"/>
      <w:bookmarkEnd w:id="42"/>
    </w:p>
    <w:p>
      <w:pPr>
        <w:spacing w:line="600" w:lineRule="exact"/>
        <w:ind w:firstLine="640" w:firstLineChars="200"/>
        <w:outlineLvl w:val="1"/>
        <w:rPr>
          <w:rFonts w:hint="eastAsia" w:ascii="仿宋" w:hAnsi="仿宋" w:eastAsia="仿宋"/>
          <w:color w:val="000000"/>
          <w:sz w:val="32"/>
          <w:szCs w:val="32"/>
        </w:rPr>
      </w:pPr>
      <w:bookmarkStart w:id="43" w:name="_Toc9035"/>
      <w:bookmarkStart w:id="44" w:name="_Toc25792"/>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65.29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53.09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81.32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12.20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18.68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43"/>
      <w:bookmarkEnd w:id="44"/>
    </w:p>
    <w:p>
      <w:pPr>
        <w:spacing w:line="60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59264" behindDoc="1" locked="0" layoutInCell="1" allowOverlap="1">
            <wp:simplePos x="0" y="0"/>
            <wp:positionH relativeFrom="column">
              <wp:posOffset>448945</wp:posOffset>
            </wp:positionH>
            <wp:positionV relativeFrom="paragraph">
              <wp:posOffset>90170</wp:posOffset>
            </wp:positionV>
            <wp:extent cx="4641850" cy="2866390"/>
            <wp:effectExtent l="4445" t="4445" r="20955" b="571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rPr>
      </w:pPr>
    </w:p>
    <w:p>
      <w:pPr>
        <w:spacing w:line="600" w:lineRule="exact"/>
        <w:rPr>
          <w:rFonts w:hint="eastAsia" w:ascii="仿宋_GB2312" w:eastAsia="仿宋_GB2312"/>
          <w:color w:val="FF0000"/>
          <w:sz w:val="32"/>
          <w:szCs w:val="32"/>
          <w:lang w:eastAsia="zh-CN"/>
        </w:rPr>
      </w:pPr>
    </w:p>
    <w:p>
      <w:pPr>
        <w:spacing w:line="600" w:lineRule="exact"/>
        <w:rPr>
          <w:rFonts w:hint="eastAsia" w:ascii="仿宋_GB2312" w:eastAsia="仿宋_GB2312"/>
          <w:color w:val="FF0000"/>
          <w:sz w:val="32"/>
          <w:szCs w:val="32"/>
          <w:lang w:eastAsia="zh-CN"/>
        </w:rPr>
      </w:pPr>
    </w:p>
    <w:p>
      <w:pPr>
        <w:spacing w:line="600" w:lineRule="exact"/>
        <w:ind w:firstLine="640" w:firstLineChars="200"/>
        <w:outlineLvl w:val="1"/>
        <w:rPr>
          <w:rStyle w:val="25"/>
          <w:rFonts w:ascii="黑体" w:hAnsi="黑体" w:eastAsia="黑体"/>
          <w:b w:val="0"/>
        </w:rPr>
      </w:pPr>
      <w:bookmarkStart w:id="45" w:name="_Toc15396606"/>
      <w:bookmarkStart w:id="46" w:name="_Toc23168"/>
      <w:bookmarkStart w:id="47"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45"/>
      <w:bookmarkEnd w:id="46"/>
      <w:bookmarkEnd w:id="4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65.29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10.47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13.81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人员调动，缩减办公经费。</w:t>
      </w:r>
    </w:p>
    <w:p>
      <w:pPr>
        <w:spacing w:line="600" w:lineRule="exact"/>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59264" behindDoc="1" locked="0" layoutInCell="1" allowOverlap="1">
            <wp:simplePos x="0" y="0"/>
            <wp:positionH relativeFrom="column">
              <wp:posOffset>271145</wp:posOffset>
            </wp:positionH>
            <wp:positionV relativeFrom="paragraph">
              <wp:posOffset>243205</wp:posOffset>
            </wp:positionV>
            <wp:extent cx="5288915" cy="2258060"/>
            <wp:effectExtent l="4445" t="4445" r="21590" b="2349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48" w:name="_Toc19238"/>
      <w:bookmarkStart w:id="49" w:name="_Toc15377209"/>
      <w:bookmarkStart w:id="50"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48"/>
      <w:bookmarkEnd w:id="49"/>
      <w:bookmarkEnd w:id="50"/>
    </w:p>
    <w:p>
      <w:pPr>
        <w:spacing w:line="600" w:lineRule="exact"/>
        <w:ind w:firstLine="642" w:firstLineChars="200"/>
        <w:outlineLvl w:val="2"/>
        <w:rPr>
          <w:rFonts w:ascii="仿宋" w:hAnsi="仿宋" w:eastAsia="仿宋"/>
          <w:b/>
          <w:color w:val="000000"/>
          <w:sz w:val="32"/>
          <w:szCs w:val="32"/>
        </w:rPr>
      </w:pPr>
      <w:bookmarkStart w:id="51" w:name="_Toc15377210"/>
      <w:r>
        <w:rPr>
          <w:rFonts w:hint="eastAsia" w:ascii="仿宋" w:hAnsi="仿宋" w:eastAsia="仿宋"/>
          <w:b/>
          <w:color w:val="000000"/>
          <w:sz w:val="32"/>
          <w:szCs w:val="32"/>
        </w:rPr>
        <w:t>（一）一般公共预算财政拨款支出决算总体情况</w:t>
      </w:r>
      <w:bookmarkEnd w:id="51"/>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410845</wp:posOffset>
            </wp:positionH>
            <wp:positionV relativeFrom="paragraph">
              <wp:posOffset>1481455</wp:posOffset>
            </wp:positionV>
            <wp:extent cx="4765675" cy="2285365"/>
            <wp:effectExtent l="4445" t="4445" r="11430" b="1524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65.29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10.47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13.82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人员调动，缩减办公经费。</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ascii="仿宋" w:hAnsi="仿宋" w:eastAsia="仿宋"/>
          <w:b/>
          <w:color w:val="000000"/>
          <w:sz w:val="32"/>
          <w:szCs w:val="32"/>
        </w:rPr>
      </w:pPr>
      <w:bookmarkStart w:id="52" w:name="_Toc15377211"/>
      <w:r>
        <w:rPr>
          <w:rFonts w:hint="eastAsia" w:ascii="仿宋" w:hAnsi="仿宋" w:eastAsia="仿宋"/>
          <w:b/>
          <w:color w:val="000000"/>
          <w:sz w:val="32"/>
          <w:szCs w:val="32"/>
        </w:rPr>
        <w:t>（二）一般公共预算财政拨款支出决算结构情况</w:t>
      </w:r>
      <w:bookmarkEnd w:id="52"/>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47.91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39.79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83.05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0</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3.60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7.51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1.52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3.18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2.30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4.80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农林水支出</w:t>
      </w:r>
      <w:r>
        <w:rPr>
          <w:rFonts w:hint="eastAsia" w:ascii="仿宋" w:hAnsi="仿宋" w:eastAsia="仿宋"/>
          <w:color w:val="000000" w:themeColor="text1"/>
          <w:sz w:val="32"/>
          <w:szCs w:val="32"/>
          <w:lang w:val="en-US" w:eastAsia="zh-CN"/>
          <w14:textFill>
            <w14:solidFill>
              <w14:schemeClr w14:val="tx1"/>
            </w14:solidFill>
          </w14:textFill>
        </w:rPr>
        <w:t>0.7万元，占1.46%。</w:t>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default"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10795</wp:posOffset>
            </wp:positionH>
            <wp:positionV relativeFrom="paragraph">
              <wp:posOffset>223520</wp:posOffset>
            </wp:positionV>
            <wp:extent cx="5422265" cy="2674620"/>
            <wp:effectExtent l="4445" t="4445" r="21590" b="698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53" w:name="_Toc15377212"/>
      <w:r>
        <w:rPr>
          <w:rFonts w:hint="eastAsia" w:ascii="仿宋" w:hAnsi="仿宋" w:eastAsia="仿宋"/>
          <w:b/>
          <w:color w:val="000000"/>
          <w:sz w:val="32"/>
          <w:szCs w:val="32"/>
        </w:rPr>
        <w:t>（三）一般公共预算财政拨款支出决算具体情况</w:t>
      </w:r>
      <w:bookmarkEnd w:id="53"/>
    </w:p>
    <w:p>
      <w:pPr>
        <w:spacing w:line="600" w:lineRule="exact"/>
        <w:ind w:firstLine="642" w:firstLineChars="200"/>
        <w:outlineLvl w:val="2"/>
        <w:rPr>
          <w:rFonts w:ascii="仿宋" w:hAnsi="仿宋" w:eastAsia="仿宋"/>
          <w:color w:val="FF0000"/>
          <w:sz w:val="32"/>
          <w:szCs w:val="32"/>
        </w:rPr>
      </w:pPr>
      <w:bookmarkStart w:id="54" w:name="_Toc15377213"/>
      <w:bookmarkStart w:id="55" w:name="_Toc15378460"/>
      <w:bookmarkStart w:id="56" w:name="_Toc15377444"/>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47.91</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54"/>
      <w:bookmarkEnd w:id="55"/>
      <w:bookmarkEnd w:id="56"/>
    </w:p>
    <w:p>
      <w:pPr>
        <w:numPr>
          <w:ilvl w:val="0"/>
          <w:numId w:val="0"/>
        </w:numPr>
        <w:spacing w:line="600" w:lineRule="exact"/>
        <w:ind w:firstLine="642" w:firstLineChars="200"/>
        <w:rPr>
          <w:rStyle w:val="14"/>
          <w:rFonts w:hint="eastAsia" w:ascii="仿宋" w:hAnsi="仿宋" w:eastAsia="仿宋"/>
          <w:b w:val="0"/>
          <w:bCs/>
          <w:color w:val="000000"/>
          <w:sz w:val="32"/>
          <w:szCs w:val="32"/>
          <w:lang w:val="en-US" w:eastAsia="zh-CN"/>
        </w:rPr>
      </w:pPr>
      <w:r>
        <w:rPr>
          <w:rStyle w:val="14"/>
          <w:rFonts w:hint="eastAsia" w:ascii="仿宋" w:hAnsi="仿宋" w:eastAsia="仿宋"/>
          <w:bCs/>
          <w:color w:val="000000"/>
          <w:sz w:val="32"/>
          <w:szCs w:val="32"/>
          <w:lang w:val="en-US" w:eastAsia="zh-CN"/>
        </w:rPr>
        <w:t>1.</w:t>
      </w:r>
      <w:r>
        <w:rPr>
          <w:rStyle w:val="14"/>
          <w:rFonts w:hint="eastAsia" w:ascii="仿宋" w:hAnsi="仿宋" w:eastAsia="仿宋"/>
          <w:bCs/>
          <w:color w:val="000000"/>
          <w:sz w:val="32"/>
          <w:szCs w:val="32"/>
        </w:rPr>
        <w:t>一般公共服务（</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20131</w:t>
      </w:r>
      <w:r>
        <w:rPr>
          <w:rStyle w:val="14"/>
          <w:rFonts w:hint="eastAsia" w:ascii="仿宋" w:hAnsi="仿宋" w:eastAsia="仿宋"/>
          <w:bCs/>
          <w:color w:val="000000"/>
          <w:sz w:val="32"/>
          <w:szCs w:val="32"/>
          <w:lang w:eastAsia="zh-CN"/>
        </w:rPr>
        <w:t>）</w:t>
      </w:r>
      <w:r>
        <w:rPr>
          <w:rStyle w:val="14"/>
          <w:rFonts w:hint="eastAsia" w:ascii="仿宋" w:hAnsi="仿宋" w:eastAsia="仿宋"/>
          <w:b w:val="0"/>
          <w:bCs w:val="0"/>
          <w:color w:val="000000"/>
          <w:sz w:val="32"/>
          <w:szCs w:val="32"/>
          <w:lang w:eastAsia="zh-CN"/>
        </w:rPr>
        <w:t>党委办公厅（室）及相关机构事务</w:t>
      </w:r>
      <w:r>
        <w:rPr>
          <w:rStyle w:val="14"/>
          <w:rFonts w:hint="eastAsia" w:ascii="仿宋" w:hAnsi="仿宋" w:eastAsia="仿宋"/>
          <w:b w:val="0"/>
          <w:bCs w:val="0"/>
          <w:color w:val="000000"/>
          <w:sz w:val="32"/>
          <w:szCs w:val="32"/>
          <w:lang w:val="en-US" w:eastAsia="zh-CN"/>
        </w:rPr>
        <w:t>2019年决算数为39.79万元，【其中</w:t>
      </w:r>
      <w:r>
        <w:rPr>
          <w:rStyle w:val="14"/>
          <w:rFonts w:hint="eastAsia" w:ascii="仿宋" w:hAnsi="仿宋" w:eastAsia="仿宋"/>
          <w:b/>
          <w:bCs/>
          <w:color w:val="000000"/>
          <w:sz w:val="32"/>
          <w:szCs w:val="32"/>
          <w:lang w:val="en-US" w:eastAsia="zh-CN"/>
        </w:rPr>
        <w:t>（2013102）</w:t>
      </w:r>
      <w:r>
        <w:rPr>
          <w:rStyle w:val="14"/>
          <w:rFonts w:hint="eastAsia" w:ascii="仿宋" w:hAnsi="仿宋" w:eastAsia="仿宋"/>
          <w:b w:val="0"/>
          <w:bCs w:val="0"/>
          <w:color w:val="000000"/>
          <w:sz w:val="32"/>
          <w:szCs w:val="32"/>
          <w:lang w:val="en-US" w:eastAsia="zh-CN"/>
        </w:rPr>
        <w:t>一般行政管理事务支出决算数为1.17万元，</w:t>
      </w:r>
      <w:r>
        <w:rPr>
          <w:rStyle w:val="14"/>
          <w:rFonts w:hint="eastAsia" w:ascii="仿宋" w:hAnsi="仿宋" w:eastAsia="仿宋"/>
          <w:b/>
          <w:bCs/>
          <w:color w:val="000000"/>
          <w:sz w:val="32"/>
          <w:szCs w:val="32"/>
          <w:lang w:val="en-US" w:eastAsia="zh-CN"/>
        </w:rPr>
        <w:t>（2013150）</w:t>
      </w:r>
      <w:r>
        <w:rPr>
          <w:rStyle w:val="14"/>
          <w:rFonts w:hint="eastAsia" w:ascii="仿宋" w:hAnsi="仿宋" w:eastAsia="仿宋"/>
          <w:b w:val="0"/>
          <w:bCs w:val="0"/>
          <w:color w:val="000000"/>
          <w:sz w:val="32"/>
          <w:szCs w:val="32"/>
          <w:lang w:val="en-US" w:eastAsia="zh-CN"/>
        </w:rPr>
        <w:t>事业运行支出决算数为38.62万元】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numPr>
          <w:ilvl w:val="0"/>
          <w:numId w:val="0"/>
        </w:numPr>
        <w:spacing w:line="600" w:lineRule="exact"/>
        <w:ind w:firstLine="642" w:firstLineChars="200"/>
        <w:rPr>
          <w:rStyle w:val="14"/>
          <w:rFonts w:hint="eastAsia" w:ascii="仿宋" w:hAnsi="仿宋" w:eastAsia="仿宋"/>
          <w:bCs/>
          <w:color w:val="000000"/>
          <w:sz w:val="32"/>
          <w:szCs w:val="32"/>
          <w:lang w:eastAsia="zh-CN"/>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val="en-US" w:eastAsia="zh-CN"/>
        </w:rPr>
        <w:t>205</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w:t>
      </w:r>
      <w:r>
        <w:rPr>
          <w:rStyle w:val="14"/>
          <w:rFonts w:hint="eastAsia" w:ascii="仿宋" w:hAnsi="仿宋" w:eastAsia="仿宋"/>
          <w:b w:val="0"/>
          <w:bCs w:val="0"/>
          <w:color w:val="000000"/>
          <w:sz w:val="32"/>
          <w:szCs w:val="32"/>
          <w:lang w:eastAsia="zh-CN"/>
        </w:rPr>
        <w:t>区委三江新区办不涉及此项目。</w:t>
      </w:r>
    </w:p>
    <w:p>
      <w:pPr>
        <w:spacing w:line="600" w:lineRule="exact"/>
        <w:ind w:firstLine="642" w:firstLineChars="200"/>
        <w:rPr>
          <w:rStyle w:val="14"/>
          <w:rFonts w:hint="eastAsia" w:ascii="仿宋" w:hAnsi="仿宋" w:eastAsia="仿宋"/>
          <w:bCs/>
          <w:color w:val="000000"/>
          <w:sz w:val="32"/>
          <w:szCs w:val="32"/>
          <w:lang w:eastAsia="zh-CN"/>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w:t>
      </w:r>
      <w:r>
        <w:rPr>
          <w:rStyle w:val="14"/>
          <w:rFonts w:hint="eastAsia" w:ascii="仿宋" w:hAnsi="仿宋" w:eastAsia="仿宋"/>
          <w:bCs/>
          <w:color w:val="000000"/>
          <w:sz w:val="32"/>
          <w:szCs w:val="32"/>
          <w:lang w:val="en-US" w:eastAsia="zh-CN"/>
        </w:rPr>
        <w:t>206</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w:t>
      </w:r>
      <w:r>
        <w:rPr>
          <w:rStyle w:val="14"/>
          <w:rFonts w:hint="eastAsia" w:ascii="仿宋" w:hAnsi="仿宋" w:eastAsia="仿宋"/>
          <w:b w:val="0"/>
          <w:bCs w:val="0"/>
          <w:color w:val="000000"/>
          <w:sz w:val="32"/>
          <w:szCs w:val="32"/>
          <w:lang w:eastAsia="zh-CN"/>
        </w:rPr>
        <w:t>区委三江新区办不涉及此项目。</w:t>
      </w:r>
    </w:p>
    <w:p>
      <w:pPr>
        <w:spacing w:line="600" w:lineRule="exact"/>
        <w:ind w:firstLine="642" w:firstLineChars="200"/>
        <w:rPr>
          <w:rStyle w:val="14"/>
          <w:rFonts w:hint="eastAsia" w:ascii="仿宋" w:hAnsi="仿宋" w:eastAsia="仿宋"/>
          <w:b w:val="0"/>
          <w:bCs w:val="0"/>
          <w:color w:val="000000"/>
          <w:sz w:val="32"/>
          <w:szCs w:val="32"/>
          <w:lang w:eastAsia="zh-CN"/>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w:t>
      </w:r>
      <w:r>
        <w:rPr>
          <w:rStyle w:val="14"/>
          <w:rFonts w:hint="eastAsia" w:ascii="仿宋" w:hAnsi="仿宋" w:eastAsia="仿宋"/>
          <w:bCs/>
          <w:color w:val="000000"/>
          <w:sz w:val="32"/>
          <w:szCs w:val="32"/>
          <w:lang w:val="en-US" w:eastAsia="zh-CN"/>
        </w:rPr>
        <w:t>207</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w:t>
      </w:r>
      <w:r>
        <w:rPr>
          <w:rStyle w:val="14"/>
          <w:rFonts w:hint="eastAsia" w:ascii="仿宋" w:hAnsi="仿宋" w:eastAsia="仿宋"/>
          <w:b w:val="0"/>
          <w:bCs w:val="0"/>
          <w:color w:val="000000"/>
          <w:sz w:val="32"/>
          <w:szCs w:val="32"/>
          <w:lang w:eastAsia="zh-CN"/>
        </w:rPr>
        <w:t>区委三江新区办不涉及此项目。</w:t>
      </w:r>
    </w:p>
    <w:p>
      <w:pPr>
        <w:spacing w:line="600" w:lineRule="exact"/>
        <w:ind w:firstLine="642" w:firstLineChars="200"/>
        <w:rPr>
          <w:rStyle w:val="14"/>
          <w:rFonts w:hint="default" w:ascii="仿宋" w:hAnsi="仿宋" w:eastAsia="仿宋"/>
          <w:b w:val="0"/>
          <w:bCs w:val="0"/>
          <w:color w:val="000000"/>
          <w:sz w:val="32"/>
          <w:szCs w:val="32"/>
          <w:lang w:val="en-US" w:eastAsia="zh-CN"/>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lang w:val="en-US" w:eastAsia="zh-CN"/>
        </w:rPr>
        <w:t>20805</w:t>
      </w:r>
      <w:r>
        <w:rPr>
          <w:rStyle w:val="14"/>
          <w:rFonts w:hint="eastAsia" w:ascii="仿宋" w:hAnsi="仿宋" w:eastAsia="仿宋"/>
          <w:bCs/>
          <w:color w:val="000000"/>
          <w:sz w:val="32"/>
          <w:szCs w:val="32"/>
          <w:lang w:eastAsia="zh-CN"/>
        </w:rPr>
        <w:t>）</w:t>
      </w:r>
      <w:r>
        <w:rPr>
          <w:rStyle w:val="14"/>
          <w:rFonts w:hint="eastAsia" w:ascii="仿宋" w:hAnsi="仿宋" w:eastAsia="仿宋"/>
          <w:b w:val="0"/>
          <w:bCs w:val="0"/>
          <w:color w:val="000000"/>
          <w:sz w:val="32"/>
          <w:szCs w:val="32"/>
          <w:lang w:eastAsia="zh-CN"/>
        </w:rPr>
        <w:t>行政事业单位养老支出</w:t>
      </w:r>
      <w:r>
        <w:rPr>
          <w:rStyle w:val="14"/>
          <w:rFonts w:hint="eastAsia" w:ascii="仿宋" w:hAnsi="仿宋" w:eastAsia="仿宋"/>
          <w:b w:val="0"/>
          <w:bCs w:val="0"/>
          <w:color w:val="000000"/>
          <w:sz w:val="32"/>
          <w:szCs w:val="32"/>
          <w:lang w:val="en-US" w:eastAsia="zh-CN"/>
        </w:rPr>
        <w:t>2019年决算数为3.60万元【其中</w:t>
      </w:r>
      <w:r>
        <w:rPr>
          <w:rStyle w:val="14"/>
          <w:rFonts w:hint="eastAsia" w:ascii="仿宋" w:hAnsi="仿宋" w:eastAsia="仿宋"/>
          <w:b/>
          <w:bCs/>
          <w:color w:val="000000"/>
          <w:sz w:val="32"/>
          <w:szCs w:val="32"/>
          <w:lang w:val="en-US" w:eastAsia="zh-CN"/>
        </w:rPr>
        <w:t>（2080505）</w:t>
      </w:r>
      <w:r>
        <w:rPr>
          <w:rStyle w:val="14"/>
          <w:rFonts w:hint="eastAsia" w:ascii="仿宋" w:hAnsi="仿宋" w:eastAsia="仿宋"/>
          <w:b w:val="0"/>
          <w:bCs w:val="0"/>
          <w:color w:val="000000"/>
          <w:sz w:val="32"/>
          <w:szCs w:val="32"/>
          <w:lang w:val="en-US" w:eastAsia="zh-CN"/>
        </w:rPr>
        <w:t>机关事业养老保险缴费支出决算为3.30万元；</w:t>
      </w:r>
      <w:r>
        <w:rPr>
          <w:rStyle w:val="14"/>
          <w:rFonts w:hint="eastAsia" w:ascii="仿宋" w:hAnsi="仿宋" w:eastAsia="仿宋"/>
          <w:b/>
          <w:bCs/>
          <w:color w:val="000000"/>
          <w:sz w:val="32"/>
          <w:szCs w:val="32"/>
          <w:lang w:val="en-US" w:eastAsia="zh-CN"/>
        </w:rPr>
        <w:t>（2080506</w:t>
      </w:r>
      <w:r>
        <w:rPr>
          <w:rStyle w:val="14"/>
          <w:rFonts w:hint="eastAsia" w:ascii="仿宋" w:hAnsi="仿宋" w:eastAsia="仿宋"/>
          <w:b w:val="0"/>
          <w:bCs w:val="0"/>
          <w:color w:val="000000"/>
          <w:sz w:val="32"/>
          <w:szCs w:val="32"/>
          <w:lang w:val="en-US" w:eastAsia="zh-CN"/>
        </w:rPr>
        <w:t>）机关事业单位养老保险支出决算为0.3万元】，完成预算 98.63%，决算数小于预算数主要原因是人员调动，年底部分资金未及时申报支付。</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w:t>
      </w:r>
      <w:r>
        <w:rPr>
          <w:rStyle w:val="14"/>
          <w:rFonts w:hint="eastAsia" w:ascii="仿宋" w:hAnsi="仿宋" w:eastAsia="仿宋"/>
          <w:bCs/>
          <w:color w:val="000000"/>
          <w:sz w:val="32"/>
          <w:szCs w:val="32"/>
          <w:lang w:val="en-US" w:eastAsia="zh-CN"/>
        </w:rPr>
        <w:t>2101102</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val="0"/>
          <w:color w:val="000000"/>
          <w:sz w:val="32"/>
          <w:szCs w:val="32"/>
          <w:lang w:val="en-US" w:eastAsia="zh-CN"/>
        </w:rPr>
        <w:t>。</w:t>
      </w:r>
    </w:p>
    <w:p>
      <w:pPr>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7.农林水支出（2130799）：其他扶贫支出决算为0.7万元，完成预算100%。</w:t>
      </w:r>
    </w:p>
    <w:p>
      <w:pPr>
        <w:spacing w:line="60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lang w:val="en-US" w:eastAsia="zh-CN"/>
        </w:rPr>
        <w:t>8.住房保障支出（2210201）：住房公积金支出决算为2.30万元，完成预算100%。</w:t>
      </w:r>
    </w:p>
    <w:p>
      <w:pPr>
        <w:tabs>
          <w:tab w:val="right" w:pos="8306"/>
        </w:tabs>
        <w:spacing w:line="600" w:lineRule="exact"/>
        <w:ind w:firstLine="640"/>
        <w:outlineLvl w:val="1"/>
        <w:rPr>
          <w:rStyle w:val="25"/>
        </w:rPr>
      </w:pPr>
      <w:bookmarkStart w:id="57" w:name="_Toc5684"/>
      <w:bookmarkStart w:id="58" w:name="_Toc15377214"/>
      <w:bookmarkStart w:id="5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57"/>
      <w:bookmarkEnd w:id="58"/>
      <w:bookmarkEnd w:id="59"/>
      <w:r>
        <w:rPr>
          <w:rStyle w:val="25"/>
          <w:rFonts w:ascii="黑体" w:hAnsi="黑体" w:eastAsia="黑体"/>
          <w:b w:val="0"/>
        </w:rPr>
        <w:tab/>
      </w:r>
    </w:p>
    <w:p>
      <w:pPr>
        <w:spacing w:line="600" w:lineRule="exact"/>
        <w:ind w:firstLine="645"/>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53.09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42.72</w:t>
      </w:r>
      <w:r>
        <w:rPr>
          <w:rFonts w:hint="eastAsia" w:ascii="仿宋" w:hAnsi="仿宋" w:eastAsia="仿宋"/>
          <w:color w:val="000000"/>
          <w:sz w:val="32"/>
          <w:szCs w:val="32"/>
        </w:rPr>
        <w:t>万元，主要包括：基本工资、津贴补贴、奖金、绩效工资、机关事业单位基本养老保险缴费、职业年金缴费、其他社会保障缴费、其他工资福利支出、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10.37</w:t>
      </w:r>
      <w:r>
        <w:rPr>
          <w:rFonts w:hint="eastAsia" w:ascii="仿宋" w:hAnsi="仿宋" w:eastAsia="仿宋"/>
          <w:color w:val="000000"/>
          <w:sz w:val="32"/>
          <w:szCs w:val="32"/>
        </w:rPr>
        <w:t>万元，主要包括：办公费、印刷费、手续费、水电费、邮电费、物业管理费、差旅费、维修（护）费、租赁费、培训费、公务接待费、工会经费、福利费、公务用车运行维护费、其他交通费、其他商品和服务支出、办公设备购置、信息网络及软件购置更新、其他资本性支出等。</w:t>
      </w:r>
    </w:p>
    <w:p>
      <w:pPr>
        <w:spacing w:line="600" w:lineRule="exact"/>
        <w:ind w:firstLine="640"/>
        <w:outlineLvl w:val="1"/>
        <w:rPr>
          <w:rStyle w:val="25"/>
          <w:rFonts w:ascii="黑体" w:hAnsi="黑体" w:eastAsia="黑体"/>
          <w:b w:val="0"/>
        </w:rPr>
      </w:pPr>
      <w:bookmarkStart w:id="60" w:name="_Toc15377215"/>
      <w:bookmarkStart w:id="61" w:name="_Toc15396609"/>
      <w:bookmarkStart w:id="62" w:name="_Toc26103"/>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60"/>
      <w:bookmarkEnd w:id="61"/>
      <w:bookmarkEnd w:id="62"/>
    </w:p>
    <w:p>
      <w:pPr>
        <w:spacing w:line="600" w:lineRule="exact"/>
        <w:ind w:firstLine="640"/>
        <w:outlineLvl w:val="2"/>
        <w:rPr>
          <w:rFonts w:ascii="仿宋" w:hAnsi="仿宋" w:eastAsia="仿宋"/>
          <w:b/>
          <w:color w:val="000000"/>
          <w:sz w:val="32"/>
          <w:szCs w:val="32"/>
        </w:rPr>
      </w:pPr>
      <w:bookmarkStart w:id="63" w:name="_Toc15377216"/>
      <w:r>
        <w:rPr>
          <w:rFonts w:hint="eastAsia" w:ascii="仿宋" w:hAnsi="仿宋" w:eastAsia="仿宋"/>
          <w:b/>
          <w:color w:val="000000"/>
          <w:sz w:val="32"/>
          <w:szCs w:val="32"/>
        </w:rPr>
        <w:t>（一）“三公”经费财政拨款支出决算总体情况说明</w:t>
      </w:r>
      <w:bookmarkEnd w:id="63"/>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64" w:name="_Toc15377217"/>
      <w:r>
        <w:rPr>
          <w:rFonts w:hint="eastAsia" w:ascii="仿宋" w:hAnsi="仿宋" w:eastAsia="仿宋"/>
          <w:b/>
          <w:color w:val="000000"/>
          <w:sz w:val="32"/>
          <w:szCs w:val="32"/>
        </w:rPr>
        <w:t>（二）“三公”经费财政拨款支出决算具体情况说明</w:t>
      </w:r>
      <w:bookmarkEnd w:id="6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numPr>
          <w:ilvl w:val="0"/>
          <w:numId w:val="2"/>
        </w:numPr>
        <w:spacing w:line="600" w:lineRule="exact"/>
        <w:ind w:firstLine="640"/>
        <w:rPr>
          <w:rStyle w:val="14"/>
          <w:rFonts w:hint="eastAsia" w:ascii="仿宋" w:hAnsi="仿宋" w:eastAsia="仿宋"/>
          <w:b w:val="0"/>
          <w:bCs/>
          <w:color w:val="000000"/>
          <w:sz w:val="32"/>
          <w:szCs w:val="32"/>
          <w:lang w:val="en-US" w:eastAsia="zh-CN"/>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lang w:eastAsia="zh-CN"/>
        </w:rPr>
        <w:t>全年安排因公出国（境）团组</w:t>
      </w:r>
      <w:r>
        <w:rPr>
          <w:rStyle w:val="14"/>
          <w:rFonts w:hint="eastAsia" w:ascii="仿宋" w:hAnsi="仿宋" w:eastAsia="仿宋"/>
          <w:b w:val="0"/>
          <w:bCs/>
          <w:color w:val="000000"/>
          <w:sz w:val="32"/>
          <w:szCs w:val="32"/>
          <w:lang w:val="en-US" w:eastAsia="zh-CN"/>
        </w:rPr>
        <w:t>0次，出国（境）0人。</w:t>
      </w:r>
    </w:p>
    <w:p>
      <w:pPr>
        <w:numPr>
          <w:ilvl w:val="0"/>
          <w:numId w:val="0"/>
        </w:numPr>
        <w:spacing w:line="600" w:lineRule="exact"/>
        <w:ind w:firstLine="642" w:firstLineChars="200"/>
        <w:rPr>
          <w:rFonts w:hint="default" w:ascii="仿宋_GB2312" w:eastAsia="仿宋_GB2312"/>
          <w:b/>
          <w:color w:val="000000"/>
          <w:sz w:val="32"/>
          <w:szCs w:val="32"/>
          <w:lang w:val="en-US"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0.85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2019年未发生公务用车维护费用。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0万</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0辆。</w:t>
      </w: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2" w:firstLineChars="200"/>
        <w:rPr>
          <w:rFonts w:hint="default" w:ascii="仿宋_GB2312" w:eastAsia="仿宋_GB2312"/>
          <w:color w:val="000000"/>
          <w:sz w:val="32"/>
          <w:szCs w:val="32"/>
          <w:lang w:val="en-US"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val="0"/>
          <w:bCs/>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lang w:eastAsia="zh-CN"/>
        </w:rPr>
        <w:t>公务接待费支出决算</w:t>
      </w:r>
      <w:r>
        <w:rPr>
          <w:rStyle w:val="14"/>
          <w:rFonts w:hint="eastAsia" w:ascii="仿宋" w:hAnsi="仿宋" w:eastAsia="仿宋"/>
          <w:b w:val="0"/>
          <w:bCs/>
          <w:color w:val="000000"/>
          <w:sz w:val="32"/>
          <w:szCs w:val="32"/>
          <w:lang w:val="en-US" w:eastAsia="zh-CN"/>
        </w:rPr>
        <w:t>0万元。</w:t>
      </w:r>
    </w:p>
    <w:p>
      <w:pPr>
        <w:spacing w:line="600" w:lineRule="exact"/>
        <w:ind w:firstLine="640"/>
        <w:rPr>
          <w:rFonts w:hint="default" w:ascii="仿宋_GB2312" w:eastAsia="仿宋_GB2312"/>
          <w:color w:val="000000"/>
          <w:sz w:val="32"/>
          <w:szCs w:val="32"/>
          <w:lang w:val="en-US"/>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国内公务接待支出决算0万元。</w:t>
      </w:r>
    </w:p>
    <w:p>
      <w:pPr>
        <w:spacing w:line="600" w:lineRule="exact"/>
        <w:ind w:firstLine="642"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。外事接待支出决算</w:t>
      </w:r>
      <w:r>
        <w:rPr>
          <w:rFonts w:hint="eastAsia" w:ascii="仿宋_GB2312" w:eastAsia="仿宋_GB2312"/>
          <w:color w:val="000000"/>
          <w:sz w:val="32"/>
          <w:szCs w:val="32"/>
          <w:lang w:val="en-US" w:eastAsia="zh-CN"/>
        </w:rPr>
        <w:t>0万元。</w:t>
      </w:r>
      <w:bookmarkStart w:id="65" w:name="_Toc15396610"/>
      <w:bookmarkStart w:id="66" w:name="_Toc15377218"/>
    </w:p>
    <w:p>
      <w:pPr>
        <w:spacing w:line="600" w:lineRule="exact"/>
        <w:ind w:firstLine="640"/>
        <w:outlineLvl w:val="1"/>
        <w:rPr>
          <w:rStyle w:val="25"/>
          <w:rFonts w:ascii="黑体" w:hAnsi="黑体" w:eastAsia="黑体"/>
        </w:rPr>
      </w:pPr>
      <w:bookmarkStart w:id="67" w:name="_Toc309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65"/>
      <w:bookmarkEnd w:id="66"/>
      <w:bookmarkEnd w:id="6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5"/>
          <w:rFonts w:ascii="黑体" w:hAnsi="黑体" w:eastAsia="黑体"/>
          <w:b w:val="0"/>
        </w:rPr>
      </w:pPr>
      <w:bookmarkStart w:id="68" w:name="_Toc8416"/>
      <w:bookmarkStart w:id="69" w:name="_Toc15396611"/>
      <w:bookmarkStart w:id="70" w:name="_Toc15377219"/>
      <w:r>
        <w:rPr>
          <w:rStyle w:val="25"/>
          <w:rFonts w:hint="eastAsia" w:ascii="黑体" w:hAnsi="黑体" w:eastAsia="黑体"/>
          <w:b w:val="0"/>
        </w:rPr>
        <w:t>国有资本经营预算支出决算情况说明</w:t>
      </w:r>
      <w:bookmarkEnd w:id="68"/>
      <w:bookmarkEnd w:id="69"/>
      <w:bookmarkEnd w:id="7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25"/>
          <w:rFonts w:ascii="黑体" w:hAnsi="黑体" w:eastAsia="黑体"/>
        </w:rPr>
      </w:pPr>
      <w:bookmarkStart w:id="71" w:name="_Toc15396612"/>
      <w:bookmarkStart w:id="72" w:name="_Toc15377221"/>
      <w:bookmarkStart w:id="73" w:name="_Toc1400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71"/>
      <w:bookmarkEnd w:id="72"/>
      <w:bookmarkEnd w:id="73"/>
    </w:p>
    <w:p>
      <w:pPr>
        <w:spacing w:line="600" w:lineRule="exact"/>
        <w:ind w:firstLine="642" w:firstLineChars="200"/>
        <w:outlineLvl w:val="2"/>
        <w:rPr>
          <w:rFonts w:ascii="仿宋" w:hAnsi="仿宋" w:eastAsia="仿宋"/>
          <w:color w:val="000000"/>
          <w:sz w:val="32"/>
          <w:szCs w:val="32"/>
        </w:rPr>
      </w:pPr>
      <w:bookmarkStart w:id="74" w:name="_Toc15377222"/>
      <w:r>
        <w:rPr>
          <w:rFonts w:hint="eastAsia" w:ascii="仿宋" w:hAnsi="仿宋" w:eastAsia="仿宋"/>
          <w:b/>
          <w:color w:val="000000"/>
          <w:sz w:val="32"/>
          <w:szCs w:val="32"/>
        </w:rPr>
        <w:t>（一）机关运行经费支出情况</w:t>
      </w:r>
      <w:bookmarkEnd w:id="74"/>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区委三江新区办</w:t>
      </w:r>
      <w:r>
        <w:rPr>
          <w:rFonts w:hint="eastAsia" w:ascii="仿宋_GB2312" w:eastAsia="仿宋_GB2312"/>
          <w:color w:val="000000"/>
          <w:sz w:val="32"/>
          <w:szCs w:val="32"/>
        </w:rPr>
        <w:t>运行经费支出</w:t>
      </w:r>
      <w:r>
        <w:rPr>
          <w:rFonts w:hint="eastAsia" w:ascii="仿宋_GB2312" w:eastAsia="仿宋_GB2312"/>
          <w:color w:val="000000"/>
          <w:sz w:val="32"/>
          <w:szCs w:val="32"/>
          <w:lang w:val="en-US" w:eastAsia="zh-CN"/>
        </w:rPr>
        <w:t>53.09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7.70</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12.67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人员调动、人员经费减少。</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75" w:name="_Toc15377223"/>
      <w:r>
        <w:rPr>
          <w:rFonts w:hint="eastAsia" w:ascii="仿宋" w:hAnsi="仿宋" w:eastAsia="仿宋"/>
          <w:b/>
          <w:color w:val="000000"/>
          <w:sz w:val="32"/>
          <w:szCs w:val="32"/>
        </w:rPr>
        <w:t>（二）政府采购支出情况</w:t>
      </w:r>
      <w:bookmarkEnd w:id="75"/>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区委三江新区办</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76" w:name="_Toc15377224"/>
      <w:r>
        <w:rPr>
          <w:rFonts w:hint="eastAsia" w:ascii="仿宋" w:hAnsi="仿宋" w:eastAsia="仿宋"/>
          <w:b/>
          <w:color w:val="000000"/>
          <w:sz w:val="32"/>
          <w:szCs w:val="32"/>
        </w:rPr>
        <w:t>（三）国有资产占有使用情况</w:t>
      </w:r>
      <w:bookmarkEnd w:id="76"/>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区委三江新区办</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区委三江新区办</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eastAsia="zh-CN"/>
        </w:rPr>
        <w:t>利州区委全面深化改革工作经费、三江新区利州辖区项目协调工作经费</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w:t>
      </w:r>
      <w:r>
        <w:rPr>
          <w:rFonts w:hint="eastAsia" w:ascii="仿宋_GB2312" w:hAnsi="仿宋" w:eastAsia="仿宋_GB2312"/>
          <w:color w:val="000000"/>
          <w:sz w:val="32"/>
          <w:szCs w:val="32"/>
        </w:rPr>
        <w:t>绩效目标完成情况梳理填报</w:t>
      </w:r>
      <w:r>
        <w:rPr>
          <w:rFonts w:hint="eastAsia" w:ascii="仿宋_GB2312" w:hAnsi="仿宋_GB2312" w:eastAsia="仿宋_GB2312" w:cs="仿宋_GB2312"/>
          <w:sz w:val="32"/>
          <w:szCs w:val="32"/>
        </w:rPr>
        <w:t>。</w:t>
      </w:r>
    </w:p>
    <w:p>
      <w:pPr>
        <w:spacing w:line="58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按要求对2019年部门整体支出开展绩效自评，从评价情况来看</w:t>
      </w:r>
      <w:r>
        <w:rPr>
          <w:rFonts w:hint="eastAsia" w:ascii="仿宋_GB2312" w:hAnsi="仿宋" w:eastAsia="仿宋_GB2312"/>
          <w:color w:val="000000"/>
          <w:sz w:val="32"/>
          <w:szCs w:val="32"/>
        </w:rPr>
        <w:t>我</w:t>
      </w:r>
      <w:r>
        <w:rPr>
          <w:rFonts w:hint="eastAsia" w:ascii="仿宋_GB2312" w:hAnsi="仿宋" w:eastAsia="仿宋_GB2312"/>
          <w:color w:val="000000"/>
          <w:sz w:val="32"/>
          <w:szCs w:val="32"/>
          <w:lang w:eastAsia="zh-CN"/>
        </w:rPr>
        <w:t>办</w:t>
      </w:r>
      <w:r>
        <w:rPr>
          <w:rFonts w:hint="eastAsia" w:ascii="仿宋_GB2312" w:hAnsi="仿宋" w:eastAsia="仿宋_GB2312"/>
          <w:color w:val="000000"/>
          <w:sz w:val="32"/>
          <w:szCs w:val="32"/>
        </w:rPr>
        <w:t>紧紧围绕市委</w:t>
      </w:r>
      <w:r>
        <w:rPr>
          <w:rFonts w:hint="eastAsia" w:ascii="仿宋_GB2312" w:hAnsi="仿宋" w:eastAsia="仿宋_GB2312"/>
          <w:color w:val="000000"/>
          <w:sz w:val="32"/>
          <w:szCs w:val="32"/>
          <w:lang w:eastAsia="zh-CN"/>
        </w:rPr>
        <w:t>七</w:t>
      </w:r>
      <w:r>
        <w:rPr>
          <w:rFonts w:hint="eastAsia" w:ascii="仿宋_GB2312" w:hAnsi="仿宋" w:eastAsia="仿宋_GB2312"/>
          <w:color w:val="000000"/>
          <w:sz w:val="32"/>
          <w:szCs w:val="32"/>
        </w:rPr>
        <w:t>届七次全会、区委八</w:t>
      </w:r>
      <w:r>
        <w:rPr>
          <w:rFonts w:hint="eastAsia" w:ascii="仿宋_GB2312" w:hAnsi="仿宋" w:eastAsia="仿宋_GB2312"/>
          <w:color w:val="000000" w:themeColor="text1"/>
          <w:sz w:val="32"/>
          <w:szCs w:val="32"/>
          <w14:textFill>
            <w14:solidFill>
              <w14:schemeClr w14:val="tx1"/>
            </w14:solidFill>
          </w14:textFill>
        </w:rPr>
        <w:t>届</w:t>
      </w:r>
      <w:r>
        <w:rPr>
          <w:rFonts w:hint="eastAsia" w:ascii="仿宋_GB2312" w:hAnsi="仿宋" w:eastAsia="仿宋_GB2312"/>
          <w:color w:val="000000" w:themeColor="text1"/>
          <w:sz w:val="32"/>
          <w:szCs w:val="32"/>
          <w:lang w:eastAsia="zh-CN"/>
          <w14:textFill>
            <w14:solidFill>
              <w14:schemeClr w14:val="tx1"/>
            </w14:solidFill>
          </w14:textFill>
        </w:rPr>
        <w:t>十</w:t>
      </w:r>
      <w:r>
        <w:rPr>
          <w:rFonts w:hint="eastAsia" w:ascii="仿宋_GB2312" w:hAnsi="仿宋" w:eastAsia="仿宋_GB2312"/>
          <w:color w:val="000000" w:themeColor="text1"/>
          <w:sz w:val="32"/>
          <w:szCs w:val="32"/>
          <w14:textFill>
            <w14:solidFill>
              <w14:schemeClr w14:val="tx1"/>
            </w14:solidFill>
          </w14:textFill>
        </w:rPr>
        <w:t>次全会决策部署，坚持一手抓方案制定，一手抓任务落实，改革机制不断完善，改革试点和改革任务深入推进，形成可复制可推广改革经验，年度目标任务全部完成。坚持以园区为载体，以项目为抓手，完成年度融资任务，扎实推进项目建设，</w:t>
      </w:r>
      <w:r>
        <w:rPr>
          <w:rFonts w:hint="eastAsia" w:ascii="仿宋_GB2312" w:hAnsi="仿宋" w:eastAsia="仿宋_GB2312"/>
          <w:sz w:val="32"/>
          <w:szCs w:val="32"/>
        </w:rPr>
        <w:t>始终坚持把“提速”和“加快”作为三江新区项目建设基本方略，统筹调度、部门联动，推进项目建设提速增效</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pacing w:val="-4"/>
          <w:kern w:val="0"/>
          <w:sz w:val="32"/>
          <w:szCs w:val="32"/>
          <w14:textFill>
            <w14:solidFill>
              <w14:schemeClr w14:val="tx1"/>
            </w14:solidFill>
          </w14:textFill>
        </w:rPr>
        <w:t>依据区委、区政府年初下达的目标任务，</w:t>
      </w:r>
      <w:r>
        <w:rPr>
          <w:rFonts w:hint="eastAsia" w:ascii="仿宋_GB2312" w:hAnsi="仿宋" w:eastAsia="仿宋_GB2312"/>
          <w:color w:val="000000" w:themeColor="text1"/>
          <w:kern w:val="0"/>
          <w:sz w:val="32"/>
          <w:szCs w:val="32"/>
          <w14:textFill>
            <w14:solidFill>
              <w14:schemeClr w14:val="tx1"/>
            </w14:solidFill>
          </w14:textFill>
        </w:rPr>
        <w:t>进一步坚定信心，增强工作主动性、积极性、创造性，全力抓好各项工作，较好地完成了各项目标任务</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w:t>
      </w:r>
      <w:r>
        <w:rPr>
          <w:rFonts w:hint="eastAsia" w:ascii="仿宋_GB2312" w:hAnsi="仿宋" w:eastAsia="仿宋_GB2312" w:cs="仿宋_GB2312"/>
          <w:color w:val="000000" w:themeColor="text1"/>
          <w:sz w:val="32"/>
          <w:szCs w:val="32"/>
          <w:lang w:eastAsia="zh-CN"/>
          <w14:textFill>
            <w14:solidFill>
              <w14:schemeClr w14:val="tx1"/>
            </w14:solidFill>
          </w14:textFill>
        </w:rPr>
        <w:t>利州区委全面深化改革工作经费”：</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利州区委全面深化改革工作的有序进行，对重点改革事项和关键改革领域纵深推进、成效明显。“广元市三江新区开发建设指挥部利州分指挥部工作经费”：推进全面深化改革、释放改革红利，为三江新区利州辖区完善城市功能，改善环境质量，促进经济发展、提高群众生活质量。</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利州区委全面深化改革工作经费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广元市三江新区开发建设指挥部利州分指挥部工作经费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利州区委全面深化改革工作经费</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8.50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%。通过项目实施，促进</w:t>
      </w:r>
      <w:r>
        <w:rPr>
          <w:rFonts w:hint="eastAsia" w:ascii="仿宋_GB2312" w:hAnsi="仿宋_GB2312" w:eastAsia="仿宋_GB2312" w:cs="仿宋_GB2312"/>
          <w:sz w:val="32"/>
          <w:szCs w:val="32"/>
          <w:lang w:eastAsia="zh-CN"/>
        </w:rPr>
        <w:t>利州区委全面深化改革工作的有序进行，对重点改革事项和关键改革领域纵深推进、成效明显。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广元市三江新区开发建设指挥部利州分指挥部工作经费</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推进全面深化改革、释放改革红利，为三江新区利州辖区完善城市功能，改善环境质量，促进经济发展、提高群众生活质量。</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690"/>
        <w:gridCol w:w="1470"/>
        <w:gridCol w:w="4770"/>
        <w:gridCol w:w="1320"/>
        <w:gridCol w:w="1320"/>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5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利州区委全面深化改革工作经费</w:t>
            </w:r>
          </w:p>
        </w:tc>
      </w:tr>
      <w:tr>
        <w:tblPrEx>
          <w:tblCellMar>
            <w:top w:w="0" w:type="dxa"/>
            <w:left w:w="0" w:type="dxa"/>
            <w:bottom w:w="0" w:type="dxa"/>
            <w:right w:w="0" w:type="dxa"/>
          </w:tblCellMar>
        </w:tblPrEx>
        <w:trPr>
          <w:trHeight w:val="276" w:hRule="atLeast"/>
          <w:jc w:val="center"/>
        </w:trPr>
        <w:tc>
          <w:tcPr>
            <w:tcW w:w="25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中共广元市利州区委三江新区建设办公室</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8.50</w:t>
            </w:r>
          </w:p>
        </w:tc>
      </w:tr>
      <w:tr>
        <w:tblPrEx>
          <w:tblCellMar>
            <w:top w:w="0" w:type="dxa"/>
            <w:left w:w="0" w:type="dxa"/>
            <w:bottom w:w="0" w:type="dxa"/>
            <w:right w:w="0" w:type="dxa"/>
          </w:tblCellMar>
        </w:tblPrEx>
        <w:trPr>
          <w:trHeight w:val="70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kern w:val="0"/>
                <w:sz w:val="24"/>
              </w:rPr>
              <w:t>其它资金:</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kern w:val="0"/>
                <w:sz w:val="24"/>
              </w:rPr>
              <w:t>其它资金: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6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211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4"/>
              </w:numPr>
              <w:jc w:val="both"/>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全年召开4次以上区委全面深化改革领导小组会议</w:t>
            </w:r>
          </w:p>
          <w:p>
            <w:pPr>
              <w:widowControl/>
              <w:numPr>
                <w:ilvl w:val="0"/>
                <w:numId w:val="4"/>
              </w:numPr>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全面对接市委深改组2019年6月30日审议出台专项改革方案</w:t>
            </w:r>
          </w:p>
          <w:p>
            <w:pPr>
              <w:widowControl/>
              <w:numPr>
                <w:ilvl w:val="0"/>
                <w:numId w:val="4"/>
              </w:numPr>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全年对2个以上改革试点进行2次以上调研指导</w:t>
            </w:r>
          </w:p>
          <w:p>
            <w:pPr>
              <w:widowControl/>
              <w:numPr>
                <w:ilvl w:val="0"/>
                <w:numId w:val="4"/>
              </w:numPr>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对出台半年以上专项改革方案进行集中督查评估</w:t>
            </w:r>
          </w:p>
          <w:p>
            <w:pPr>
              <w:widowControl/>
              <w:numPr>
                <w:ilvl w:val="0"/>
                <w:numId w:val="4"/>
              </w:numPr>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每月向市委改革办报送2条经验信息</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有效完成各项指标</w:t>
            </w:r>
          </w:p>
        </w:tc>
      </w:tr>
      <w:tr>
        <w:tblPrEx>
          <w:tblCellMar>
            <w:top w:w="0" w:type="dxa"/>
            <w:left w:w="0" w:type="dxa"/>
            <w:bottom w:w="0" w:type="dxa"/>
            <w:right w:w="0" w:type="dxa"/>
          </w:tblCellMar>
        </w:tblPrEx>
        <w:trPr>
          <w:trHeight w:val="1203"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6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both"/>
              <w:textAlignment w:val="center"/>
              <w:rPr>
                <w:rFonts w:ascii="宋体" w:hAnsi="宋体" w:cs="宋体"/>
                <w:color w:val="000000"/>
                <w:kern w:val="0"/>
                <w:sz w:val="24"/>
              </w:rPr>
            </w:pPr>
          </w:p>
        </w:tc>
        <w:tc>
          <w:tcPr>
            <w:tcW w:w="147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召开区委全面深化改革领导小组会议</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4次</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4次</w:t>
            </w:r>
          </w:p>
        </w:tc>
      </w:tr>
      <w:tr>
        <w:tblPrEx>
          <w:tblCellMar>
            <w:top w:w="0" w:type="dxa"/>
            <w:left w:w="0" w:type="dxa"/>
            <w:bottom w:w="0" w:type="dxa"/>
            <w:right w:w="0" w:type="dxa"/>
          </w:tblCellMar>
        </w:tblPrEx>
        <w:trPr>
          <w:trHeight w:val="7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全面对接市委深改组</w:t>
            </w:r>
            <w:r>
              <w:rPr>
                <w:rFonts w:hint="eastAsia" w:ascii="宋体" w:hAnsi="宋体" w:cs="宋体"/>
                <w:color w:val="000000"/>
                <w:sz w:val="24"/>
                <w:lang w:val="en-US" w:eastAsia="zh-CN"/>
              </w:rPr>
              <w:t>2019年6月30日审议出台专项改革方案</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40个</w:t>
            </w:r>
          </w:p>
        </w:tc>
      </w:tr>
      <w:tr>
        <w:tblPrEx>
          <w:tblCellMar>
            <w:top w:w="0" w:type="dxa"/>
            <w:left w:w="0" w:type="dxa"/>
            <w:bottom w:w="0" w:type="dxa"/>
            <w:right w:w="0" w:type="dxa"/>
          </w:tblCellMar>
        </w:tblPrEx>
        <w:trPr>
          <w:trHeight w:val="96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对出台半年以上专项改革方案进行集中督查评估</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40个</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40个</w:t>
            </w:r>
          </w:p>
        </w:tc>
      </w:tr>
      <w:tr>
        <w:tblPrEx>
          <w:tblCellMar>
            <w:top w:w="0" w:type="dxa"/>
            <w:left w:w="0" w:type="dxa"/>
            <w:bottom w:w="0" w:type="dxa"/>
            <w:right w:w="0" w:type="dxa"/>
          </w:tblCellMar>
        </w:tblPrEx>
        <w:trPr>
          <w:trHeight w:val="55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47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000000"/>
                <w:sz w:val="24"/>
                <w:lang w:eastAsia="zh-CN"/>
              </w:rPr>
            </w:pP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val="en-US" w:eastAsia="zh-CN"/>
              </w:rPr>
              <w:t>每月向市委改革办报送2条经验信息</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24篇</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24篇</w:t>
            </w:r>
          </w:p>
        </w:tc>
      </w:tr>
      <w:tr>
        <w:tblPrEx>
          <w:tblCellMar>
            <w:top w:w="0" w:type="dxa"/>
            <w:left w:w="0" w:type="dxa"/>
            <w:bottom w:w="0" w:type="dxa"/>
            <w:right w:w="0" w:type="dxa"/>
          </w:tblCellMar>
        </w:tblPrEx>
        <w:trPr>
          <w:trHeight w:val="51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p>
        </w:tc>
        <w:tc>
          <w:tcPr>
            <w:tcW w:w="147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调研改革试点</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2个，共4次</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2个，共4次</w:t>
            </w:r>
          </w:p>
        </w:tc>
      </w:tr>
      <w:tr>
        <w:tblPrEx>
          <w:tblCellMar>
            <w:top w:w="0" w:type="dxa"/>
            <w:left w:w="0" w:type="dxa"/>
            <w:bottom w:w="0" w:type="dxa"/>
            <w:right w:w="0" w:type="dxa"/>
          </w:tblCellMar>
        </w:tblPrEx>
        <w:trPr>
          <w:trHeight w:val="41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任务完成率</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49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p>
        </w:tc>
        <w:tc>
          <w:tcPr>
            <w:tcW w:w="147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信息采用率</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30%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rPr>
              <w:t>≧</w:t>
            </w:r>
            <w:r>
              <w:rPr>
                <w:rFonts w:hint="eastAsia" w:ascii="宋体" w:hAnsi="宋体" w:cs="宋体"/>
                <w:color w:val="000000"/>
                <w:sz w:val="24"/>
                <w:lang w:val="en-US" w:eastAsia="zh-CN"/>
              </w:rPr>
              <w:t>30%</w:t>
            </w:r>
          </w:p>
        </w:tc>
      </w:tr>
      <w:tr>
        <w:tblPrEx>
          <w:tblCellMar>
            <w:top w:w="0" w:type="dxa"/>
            <w:left w:w="0" w:type="dxa"/>
            <w:bottom w:w="0" w:type="dxa"/>
            <w:right w:w="0" w:type="dxa"/>
          </w:tblCellMar>
        </w:tblPrEx>
        <w:trPr>
          <w:trHeight w:val="53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p>
        </w:tc>
        <w:tc>
          <w:tcPr>
            <w:tcW w:w="147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开始时间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2019年1月1日</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按时开展</w:t>
            </w:r>
          </w:p>
        </w:tc>
      </w:tr>
      <w:tr>
        <w:tblPrEx>
          <w:tblCellMar>
            <w:top w:w="0" w:type="dxa"/>
            <w:left w:w="0" w:type="dxa"/>
            <w:bottom w:w="0" w:type="dxa"/>
            <w:right w:w="0" w:type="dxa"/>
          </w:tblCellMar>
        </w:tblPrEx>
        <w:trPr>
          <w:trHeight w:val="4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47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结束时间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2019年12月31日</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按时结束</w:t>
            </w:r>
          </w:p>
        </w:tc>
      </w:tr>
      <w:tr>
        <w:tblPrEx>
          <w:tblCellMar>
            <w:top w:w="0" w:type="dxa"/>
            <w:left w:w="0" w:type="dxa"/>
            <w:bottom w:w="0" w:type="dxa"/>
            <w:right w:w="0" w:type="dxa"/>
          </w:tblCellMar>
        </w:tblPrEx>
        <w:trPr>
          <w:trHeight w:val="52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项目效益</w:t>
            </w:r>
          </w:p>
        </w:tc>
        <w:tc>
          <w:tcPr>
            <w:tcW w:w="147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重点改革事项和关键改革领域</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纵深推进</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继续推进</w:t>
            </w:r>
          </w:p>
        </w:tc>
      </w:tr>
      <w:tr>
        <w:tblPrEx>
          <w:tblCellMar>
            <w:top w:w="0" w:type="dxa"/>
            <w:left w:w="0" w:type="dxa"/>
            <w:bottom w:w="0" w:type="dxa"/>
            <w:right w:w="0" w:type="dxa"/>
          </w:tblCellMar>
        </w:tblPrEx>
        <w:trPr>
          <w:trHeight w:val="445"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eastAsia="zh-CN"/>
              </w:rPr>
            </w:pPr>
          </w:p>
        </w:tc>
        <w:tc>
          <w:tcPr>
            <w:tcW w:w="147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改革试点</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成效明显</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效果显著</w:t>
            </w:r>
          </w:p>
        </w:tc>
      </w:tr>
      <w:tr>
        <w:tblPrEx>
          <w:tblCellMar>
            <w:top w:w="0" w:type="dxa"/>
            <w:left w:w="0" w:type="dxa"/>
            <w:bottom w:w="0" w:type="dxa"/>
            <w:right w:w="0" w:type="dxa"/>
          </w:tblCellMar>
        </w:tblPrEx>
        <w:trPr>
          <w:trHeight w:val="440"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eastAsia="zh-CN"/>
              </w:rPr>
            </w:pPr>
          </w:p>
        </w:tc>
        <w:tc>
          <w:tcPr>
            <w:tcW w:w="147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可持续影响指标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推进全面深化改革</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长期</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长期</w:t>
            </w:r>
          </w:p>
        </w:tc>
      </w:tr>
      <w:tr>
        <w:tblPrEx>
          <w:tblCellMar>
            <w:top w:w="0" w:type="dxa"/>
            <w:left w:w="0" w:type="dxa"/>
            <w:bottom w:w="0" w:type="dxa"/>
            <w:right w:w="0" w:type="dxa"/>
          </w:tblCellMar>
        </w:tblPrEx>
        <w:trPr>
          <w:trHeight w:val="395"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eastAsia="zh-CN"/>
              </w:rPr>
            </w:pPr>
          </w:p>
        </w:tc>
        <w:tc>
          <w:tcPr>
            <w:tcW w:w="14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释放改革红利</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长期</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长期</w:t>
            </w:r>
          </w:p>
        </w:tc>
      </w:tr>
      <w:tr>
        <w:tblPrEx>
          <w:tblCellMar>
            <w:top w:w="0" w:type="dxa"/>
            <w:left w:w="0" w:type="dxa"/>
            <w:bottom w:w="0" w:type="dxa"/>
            <w:right w:w="0" w:type="dxa"/>
          </w:tblCellMar>
        </w:tblPrEx>
        <w:trPr>
          <w:trHeight w:val="621"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满意度指标</w:t>
            </w:r>
          </w:p>
        </w:tc>
        <w:tc>
          <w:tcPr>
            <w:tcW w:w="147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满意度指标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改革受益对象满意度</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90%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90%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5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广元市三江新区开发建设指挥部利州分指挥部工作经费</w:t>
            </w:r>
          </w:p>
        </w:tc>
      </w:tr>
      <w:tr>
        <w:tblPrEx>
          <w:tblCellMar>
            <w:top w:w="0" w:type="dxa"/>
            <w:left w:w="0" w:type="dxa"/>
            <w:bottom w:w="0" w:type="dxa"/>
            <w:right w:w="0" w:type="dxa"/>
          </w:tblCellMar>
        </w:tblPrEx>
        <w:trPr>
          <w:trHeight w:val="276" w:hRule="atLeast"/>
          <w:jc w:val="center"/>
        </w:trPr>
        <w:tc>
          <w:tcPr>
            <w:tcW w:w="25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4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中共广元市利州区委三江新区建设办公室</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8.00</w:t>
            </w:r>
          </w:p>
        </w:tc>
      </w:tr>
      <w:tr>
        <w:tblPrEx>
          <w:tblCellMar>
            <w:top w:w="0" w:type="dxa"/>
            <w:left w:w="0" w:type="dxa"/>
            <w:bottom w:w="0" w:type="dxa"/>
            <w:right w:w="0" w:type="dxa"/>
          </w:tblCellMar>
        </w:tblPrEx>
        <w:trPr>
          <w:trHeight w:val="115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1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6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6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负责相关法律法规和政策规定的贯彻执行，负责三江新区利州区规划内建设、管理的研究及配套政策，2.按照市三江新区建设发展总体规划及经济、社会发展分项规划研究编制专项实施规划，3.负责三江新区利州区规划区内建设、指导服务和督导检查，4.负责三江新区利州规划区内招商引资和经济合作工作，5.承担区三江新区建设发展领导小组交办的其他工作。</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有效完成各项指标</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68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both"/>
              <w:textAlignment w:val="center"/>
              <w:rPr>
                <w:rFonts w:ascii="宋体" w:hAnsi="宋体" w:cs="宋体"/>
                <w:color w:val="000000"/>
                <w:kern w:val="0"/>
                <w:sz w:val="24"/>
              </w:rPr>
            </w:pPr>
          </w:p>
        </w:tc>
        <w:tc>
          <w:tcPr>
            <w:tcW w:w="147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统筹协调三江新区项目推进</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长期</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长期</w:t>
            </w:r>
          </w:p>
        </w:tc>
      </w:tr>
      <w:tr>
        <w:tblPrEx>
          <w:tblCellMar>
            <w:top w:w="0" w:type="dxa"/>
            <w:left w:w="0" w:type="dxa"/>
            <w:bottom w:w="0" w:type="dxa"/>
            <w:right w:w="0" w:type="dxa"/>
          </w:tblCellMar>
        </w:tblPrEx>
        <w:trPr>
          <w:trHeight w:val="110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协调三江新区项目规划、招商引资等其他工作</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长期</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长期</w:t>
            </w:r>
          </w:p>
        </w:tc>
      </w:tr>
      <w:tr>
        <w:tblPrEx>
          <w:tblCellMar>
            <w:top w:w="0" w:type="dxa"/>
            <w:left w:w="0" w:type="dxa"/>
            <w:bottom w:w="0" w:type="dxa"/>
            <w:right w:w="0" w:type="dxa"/>
          </w:tblCellMar>
        </w:tblPrEx>
        <w:trPr>
          <w:trHeight w:val="96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做好辖区内项目工作的督导工作</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长期</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长期</w:t>
            </w:r>
          </w:p>
        </w:tc>
      </w:tr>
      <w:tr>
        <w:tblPrEx>
          <w:tblCellMar>
            <w:top w:w="0" w:type="dxa"/>
            <w:left w:w="0" w:type="dxa"/>
            <w:bottom w:w="0" w:type="dxa"/>
            <w:right w:w="0" w:type="dxa"/>
          </w:tblCellMar>
        </w:tblPrEx>
        <w:trPr>
          <w:trHeight w:val="6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47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000000"/>
                <w:sz w:val="24"/>
                <w:lang w:eastAsia="zh-CN"/>
              </w:rPr>
            </w:pP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val="en-US" w:eastAsia="zh-CN"/>
              </w:rPr>
              <w:t>日常资料、展板、图纸及宣传工作</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长期</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长期</w:t>
            </w:r>
          </w:p>
        </w:tc>
      </w:tr>
      <w:tr>
        <w:tblPrEx>
          <w:tblCellMar>
            <w:top w:w="0" w:type="dxa"/>
            <w:left w:w="0" w:type="dxa"/>
            <w:bottom w:w="0" w:type="dxa"/>
            <w:right w:w="0" w:type="dxa"/>
          </w:tblCellMar>
        </w:tblPrEx>
        <w:trPr>
          <w:trHeight w:val="41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7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任务完成率</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90%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90%</w:t>
            </w:r>
          </w:p>
        </w:tc>
      </w:tr>
      <w:tr>
        <w:tblPrEx>
          <w:tblCellMar>
            <w:top w:w="0" w:type="dxa"/>
            <w:left w:w="0" w:type="dxa"/>
            <w:bottom w:w="0" w:type="dxa"/>
            <w:right w:w="0" w:type="dxa"/>
          </w:tblCellMar>
        </w:tblPrEx>
        <w:trPr>
          <w:trHeight w:val="53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p>
        </w:tc>
        <w:tc>
          <w:tcPr>
            <w:tcW w:w="147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开始时间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2019年1月1日</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按时开展</w:t>
            </w:r>
          </w:p>
        </w:tc>
      </w:tr>
      <w:tr>
        <w:tblPrEx>
          <w:tblCellMar>
            <w:top w:w="0" w:type="dxa"/>
            <w:left w:w="0" w:type="dxa"/>
            <w:bottom w:w="0" w:type="dxa"/>
            <w:right w:w="0" w:type="dxa"/>
          </w:tblCellMar>
        </w:tblPrEx>
        <w:trPr>
          <w:trHeight w:val="4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p>
        </w:tc>
        <w:tc>
          <w:tcPr>
            <w:tcW w:w="147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结束时间</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2019年12月31日</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按时结束</w:t>
            </w:r>
          </w:p>
        </w:tc>
      </w:tr>
      <w:tr>
        <w:tblPrEx>
          <w:tblCellMar>
            <w:top w:w="0" w:type="dxa"/>
            <w:left w:w="0" w:type="dxa"/>
            <w:bottom w:w="0" w:type="dxa"/>
            <w:right w:w="0" w:type="dxa"/>
          </w:tblCellMar>
        </w:tblPrEx>
        <w:trPr>
          <w:trHeight w:val="188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项目效益</w:t>
            </w:r>
          </w:p>
        </w:tc>
        <w:tc>
          <w:tcPr>
            <w:tcW w:w="147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围绕“一核一城三区三高地”战略定位，大力推进辖区内基础设施、产业项目、旧城改造全面提速。坚持把三江新区作为“特区”建设，打造成为我去高质量发展的核心增长极</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成效明显</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效果显著</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eastAsia="zh-CN"/>
              </w:rPr>
            </w:pPr>
          </w:p>
        </w:tc>
        <w:tc>
          <w:tcPr>
            <w:tcW w:w="147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可持续影响指标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为三江新区利州辖区完善城市功能，改善环境质量，促进经济发展、提高群众生活质量</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持续提升</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效果明显</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满意度指标</w:t>
            </w:r>
          </w:p>
        </w:tc>
        <w:tc>
          <w:tcPr>
            <w:tcW w:w="1470" w:type="dxa"/>
            <w:vMerge w:val="restart"/>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满意度指标</w:t>
            </w: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上级部门满意度</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90%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90%</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6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eastAsia="zh-CN"/>
              </w:rPr>
            </w:pPr>
          </w:p>
        </w:tc>
        <w:tc>
          <w:tcPr>
            <w:tcW w:w="147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p>
        </w:tc>
        <w:tc>
          <w:tcPr>
            <w:tcW w:w="4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服务对象满意度</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w:t>
            </w:r>
            <w:r>
              <w:rPr>
                <w:rFonts w:hint="eastAsia" w:ascii="宋体" w:hAnsi="宋体" w:cs="宋体"/>
                <w:color w:val="000000"/>
                <w:sz w:val="24"/>
                <w:lang w:val="en-US" w:eastAsia="zh-CN"/>
              </w:rPr>
              <w:t>90%</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w:t>
            </w:r>
            <w:r>
              <w:rPr>
                <w:rFonts w:hint="eastAsia" w:ascii="宋体" w:hAnsi="宋体" w:cs="宋体"/>
                <w:color w:val="000000"/>
                <w:sz w:val="24"/>
                <w:lang w:val="en-US" w:eastAsia="zh-CN"/>
              </w:rPr>
              <w:t>90%</w:t>
            </w:r>
          </w:p>
        </w:tc>
      </w:tr>
    </w:tbl>
    <w:p>
      <w:pPr>
        <w:spacing w:line="580" w:lineRule="exact"/>
        <w:rPr>
          <w:rFonts w:hint="eastAsia" w:ascii="楷体_GB2312" w:hAnsi="楷体_GB2312" w:eastAsia="楷体_GB2312" w:cs="楷体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本部门对2019年部门整体支出绩效评价情况开展自评，《</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广元市利州区委</w:t>
      </w:r>
      <w:r>
        <w:rPr>
          <w:rFonts w:hint="eastAsia" w:ascii="仿宋_GB2312" w:hAnsi="仿宋_GB2312" w:eastAsia="仿宋_GB2312" w:cs="仿宋_GB2312"/>
          <w:sz w:val="32"/>
          <w:szCs w:val="32"/>
          <w:lang w:eastAsia="zh-CN"/>
        </w:rPr>
        <w:t>三江新区建设办公室</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r>
        <w:rPr>
          <w:rFonts w:hint="eastAsia" w:ascii="仿宋_GB2312" w:hAnsi="仿宋_GB2312" w:eastAsia="仿宋_GB2312" w:cs="仿宋_GB2312"/>
          <w:sz w:val="32"/>
          <w:szCs w:val="32"/>
          <w:lang w:eastAsia="zh-CN"/>
        </w:rPr>
        <w:t>部门整体支出绩效进度有效推进，按时完成，受益对象满意度高。</w:t>
      </w: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4"/>
          <w:rFonts w:ascii="黑体" w:hAnsi="黑体" w:eastAsia="黑体"/>
          <w:b w:val="0"/>
        </w:rPr>
      </w:pPr>
      <w:bookmarkStart w:id="77" w:name="_Toc15377225"/>
      <w:bookmarkStart w:id="78" w:name="_Toc31682"/>
      <w:bookmarkStart w:id="79"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77"/>
      <w:bookmarkEnd w:id="78"/>
      <w:bookmarkEnd w:id="79"/>
    </w:p>
    <w:p>
      <w:pPr>
        <w:spacing w:line="600" w:lineRule="exact"/>
        <w:jc w:val="left"/>
        <w:rPr>
          <w:rFonts w:ascii="宋体"/>
          <w:b/>
          <w:color w:val="000000"/>
          <w:sz w:val="44"/>
          <w:szCs w:val="44"/>
        </w:rPr>
      </w:pPr>
    </w:p>
    <w:p>
      <w:pPr>
        <w:pStyle w:val="22"/>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银行存款利息收入。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一般公共服务</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20131</w:t>
      </w:r>
      <w:r>
        <w:rPr>
          <w:rFonts w:hint="eastAsia" w:ascii="仿宋_GB2312" w:eastAsia="仿宋_GB2312"/>
          <w:color w:val="000000"/>
          <w:sz w:val="32"/>
          <w:szCs w:val="32"/>
          <w:lang w:eastAsia="zh-CN"/>
        </w:rPr>
        <w:t>）：反映党委办公厅（室）及相关机构的支出，其中（</w:t>
      </w:r>
      <w:r>
        <w:rPr>
          <w:rFonts w:hint="eastAsia" w:ascii="仿宋_GB2312" w:eastAsia="仿宋_GB2312"/>
          <w:color w:val="000000"/>
          <w:sz w:val="32"/>
          <w:szCs w:val="32"/>
          <w:lang w:val="en-US" w:eastAsia="zh-CN"/>
        </w:rPr>
        <w:t>2013102</w:t>
      </w:r>
      <w:r>
        <w:rPr>
          <w:rFonts w:hint="eastAsia" w:ascii="仿宋_GB2312" w:eastAsia="仿宋_GB2312"/>
          <w:color w:val="000000"/>
          <w:sz w:val="32"/>
          <w:szCs w:val="32"/>
          <w:lang w:eastAsia="zh-CN"/>
        </w:rPr>
        <w:t>）反映行政单位（包括实行公务员管理的事业单位）的基本支出；（</w:t>
      </w:r>
      <w:r>
        <w:rPr>
          <w:rFonts w:hint="eastAsia" w:ascii="仿宋_GB2312" w:eastAsia="仿宋_GB2312"/>
          <w:color w:val="000000"/>
          <w:sz w:val="32"/>
          <w:szCs w:val="32"/>
          <w:lang w:val="en-US" w:eastAsia="zh-CN"/>
        </w:rPr>
        <w:t>2013150</w:t>
      </w:r>
      <w:r>
        <w:rPr>
          <w:rFonts w:hint="eastAsia" w:ascii="仿宋_GB2312" w:eastAsia="仿宋_GB2312"/>
          <w:color w:val="000000"/>
          <w:sz w:val="32"/>
          <w:szCs w:val="32"/>
          <w:lang w:eastAsia="zh-CN"/>
        </w:rPr>
        <w:t>）反映事业单位基本支出，不包括行政单位（包括实行公务员管理的事业单位）后勤服务中心、医务室等附属单位。</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）：指</w:t>
      </w:r>
      <w:r>
        <w:rPr>
          <w:rFonts w:hint="eastAsia" w:ascii="仿宋_GB2312" w:eastAsia="仿宋_GB2312"/>
          <w:color w:val="000000"/>
          <w:sz w:val="32"/>
          <w:szCs w:val="32"/>
          <w:lang w:eastAsia="zh-CN"/>
        </w:rPr>
        <w:t>政府在</w:t>
      </w:r>
      <w:r>
        <w:rPr>
          <w:rFonts w:hint="eastAsia" w:ascii="仿宋_GB2312" w:eastAsia="仿宋_GB2312"/>
          <w:color w:val="000000"/>
          <w:sz w:val="32"/>
          <w:szCs w:val="32"/>
        </w:rPr>
        <w:t>社会保障和就业</w:t>
      </w:r>
      <w:r>
        <w:rPr>
          <w:rFonts w:hint="eastAsia" w:ascii="仿宋_GB2312" w:eastAsia="仿宋_GB2312"/>
          <w:color w:val="000000"/>
          <w:sz w:val="32"/>
          <w:szCs w:val="32"/>
          <w:lang w:eastAsia="zh-CN"/>
        </w:rPr>
        <w:t>方面的支出。其中（</w:t>
      </w:r>
      <w:r>
        <w:rPr>
          <w:rFonts w:hint="eastAsia" w:ascii="仿宋_GB2312" w:eastAsia="仿宋_GB2312"/>
          <w:color w:val="000000"/>
          <w:sz w:val="32"/>
          <w:szCs w:val="32"/>
          <w:lang w:val="en-US" w:eastAsia="zh-CN"/>
        </w:rPr>
        <w:t>2080505</w:t>
      </w:r>
      <w:r>
        <w:rPr>
          <w:rFonts w:hint="eastAsia" w:ascii="仿宋_GB2312" w:eastAsia="仿宋_GB2312"/>
          <w:color w:val="000000"/>
          <w:sz w:val="32"/>
          <w:szCs w:val="32"/>
          <w:lang w:eastAsia="zh-CN"/>
        </w:rPr>
        <w:t>）反映机关事业单位基本养老保险缴费支出；（</w:t>
      </w:r>
      <w:r>
        <w:rPr>
          <w:rFonts w:hint="eastAsia" w:ascii="仿宋_GB2312" w:eastAsia="仿宋_GB2312"/>
          <w:color w:val="000000"/>
          <w:sz w:val="32"/>
          <w:szCs w:val="32"/>
          <w:lang w:val="en-US" w:eastAsia="zh-CN"/>
        </w:rPr>
        <w:t>2080506</w:t>
      </w:r>
      <w:r>
        <w:rPr>
          <w:rFonts w:hint="eastAsia" w:ascii="仿宋_GB2312" w:eastAsia="仿宋_GB2312"/>
          <w:color w:val="000000"/>
          <w:sz w:val="32"/>
          <w:szCs w:val="32"/>
          <w:lang w:eastAsia="zh-CN"/>
        </w:rPr>
        <w:t>）反映机关事业单位职业年金缴费支出。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医疗卫生与计划生育（</w:t>
      </w:r>
      <w:r>
        <w:rPr>
          <w:rFonts w:hint="eastAsia" w:ascii="仿宋_GB2312" w:eastAsia="仿宋_GB2312"/>
          <w:color w:val="000000"/>
          <w:sz w:val="32"/>
          <w:szCs w:val="32"/>
          <w:lang w:val="en-US" w:eastAsia="zh-CN"/>
        </w:rPr>
        <w:t>21011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行政事业单位医疗方面的支出。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农林水（</w:t>
      </w:r>
      <w:r>
        <w:rPr>
          <w:rFonts w:hint="eastAsia" w:ascii="仿宋_GB2312" w:eastAsia="仿宋_GB2312"/>
          <w:color w:val="000000"/>
          <w:sz w:val="32"/>
          <w:szCs w:val="32"/>
          <w:lang w:val="en-US" w:eastAsia="zh-CN"/>
        </w:rPr>
        <w:t>2130799</w:t>
      </w:r>
      <w:r>
        <w:rPr>
          <w:rFonts w:hint="eastAsia" w:ascii="仿宋_GB2312" w:eastAsia="仿宋_GB2312"/>
          <w:color w:val="000000"/>
          <w:sz w:val="32"/>
          <w:szCs w:val="32"/>
        </w:rPr>
        <w:t>）：指</w:t>
      </w:r>
      <w:r>
        <w:rPr>
          <w:rFonts w:hint="eastAsia" w:ascii="仿宋_GB2312" w:eastAsia="仿宋_GB2312"/>
          <w:color w:val="000000"/>
          <w:sz w:val="32"/>
          <w:szCs w:val="32"/>
          <w:lang w:eastAsia="zh-CN"/>
        </w:rPr>
        <w:t>政府其他扶贫支出。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住房保障（</w:t>
      </w:r>
      <w:r>
        <w:rPr>
          <w:rFonts w:hint="eastAsia" w:ascii="仿宋_GB2312" w:eastAsia="仿宋_GB2312"/>
          <w:color w:val="000000"/>
          <w:sz w:val="32"/>
          <w:szCs w:val="32"/>
          <w:lang w:val="en-US" w:eastAsia="zh-CN"/>
        </w:rPr>
        <w:t>2210201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行政事业单位按人力资源和社会保障部、财政部规定的基本工资和津贴补贴一级规定比例为职工缴纳的住房公积金。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outlineLvl w:val="0"/>
        <w:rPr>
          <w:rStyle w:val="24"/>
          <w:rFonts w:ascii="黑体" w:hAnsi="黑体" w:eastAsia="黑体"/>
          <w:b w:val="0"/>
        </w:rPr>
      </w:pPr>
      <w:bookmarkStart w:id="80" w:name="_Toc20530"/>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bookmarkStart w:id="81" w:name="_Toc15377226"/>
      <w:r>
        <w:rPr>
          <w:rFonts w:ascii="宋体"/>
          <w:b/>
          <w:color w:val="000000"/>
          <w:sz w:val="44"/>
          <w:szCs w:val="44"/>
        </w:rPr>
        <w:br w:type="page"/>
      </w:r>
      <w:bookmarkStart w:id="82"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80"/>
      <w:bookmarkEnd w:id="82"/>
    </w:p>
    <w:p>
      <w:pPr>
        <w:spacing w:line="600" w:lineRule="exact"/>
        <w:jc w:val="left"/>
        <w:outlineLvl w:val="0"/>
        <w:rPr>
          <w:rFonts w:ascii="方正小标宋简体" w:hAnsi="方正小标宋简体" w:eastAsia="方正小标宋简体" w:cs="方正小标宋简体"/>
          <w:sz w:val="32"/>
          <w:szCs w:val="32"/>
        </w:rPr>
      </w:pPr>
      <w:bookmarkStart w:id="83" w:name="_Toc616"/>
      <w:r>
        <w:rPr>
          <w:rFonts w:hint="eastAsia" w:ascii="黑体" w:hAnsi="黑体" w:eastAsia="黑体" w:cs="黑体"/>
          <w:sz w:val="32"/>
          <w:szCs w:val="32"/>
        </w:rPr>
        <w:t>附件1</w:t>
      </w:r>
      <w:bookmarkEnd w:id="83"/>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中共广元市利州区委三江新区建设办公室</w:t>
      </w:r>
    </w:p>
    <w:p>
      <w:pPr>
        <w:spacing w:line="600" w:lineRule="exact"/>
        <w:jc w:val="center"/>
        <w:rPr>
          <w:rFonts w:ascii="仿宋_GB2312" w:hAnsi="宋体" w:eastAsia="仿宋_GB2312"/>
          <w:sz w:val="32"/>
          <w:szCs w:val="32"/>
          <w:shd w:val="clear" w:color="auto" w:fill="FFFFFF"/>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（一）机构组成。中共广元市利州区委三江新区建设办公室（简称区委三江新区办）是区委的工作机关，为正科级，列区委工作机关序列。对外挂中共广元市利州区委政策研究室（简称区委政研室）牌子。</w:t>
      </w:r>
    </w:p>
    <w:p>
      <w:pPr>
        <w:numPr>
          <w:ilvl w:val="0"/>
          <w:numId w:val="0"/>
        </w:numPr>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r>
        <w:rPr>
          <w:rFonts w:hint="eastAsia" w:ascii="仿宋_GB2312" w:hAnsi="宋体" w:eastAsia="仿宋_GB2312" w:cs="宋体"/>
          <w:color w:val="000000"/>
          <w:kern w:val="0"/>
          <w:sz w:val="32"/>
          <w:szCs w:val="32"/>
          <w:shd w:val="clear" w:color="auto" w:fill="FFFFFF"/>
          <w:lang w:val="en-US" w:eastAsia="zh-CN"/>
        </w:rPr>
        <w:t>中共广元市利州区委三江新区建设办公室（简称区委三江新区办）贯彻落实党中央和省委关于城市新区建设的方针政策以及市委、区委关于三江新区建设的决策部署，同时为区委各项重大决策服务、从事综合性研究，在履行职责过程中坚持和加强区委对各项工作的统一领导。区委三江新区办主要职能职责：坚持新发展理念，研究建立协同配合、高效运转的工作机制；负责组织研究三江新区基础设施建设、产业发展中的重大问题，向区委提出工作建议；负责拟定三江新区建设工作计划，统筹安排各类项目；牵头做好三江新区投融资相关工作，分解落实年度投资计划；牵头负责三江新区建设项目的监督管理；负责全区统筹城乡综合配套改革的调查研究和辅助决策工作，负责改革方案、政策及实施计划的研究、起草工作；加强调研网络建设，组织和编发内部刊物，为领导科学决策提供参考服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区委三江新区办行政编制5名，实有在编人员1名。事业编制3名，实有在编人员2名（其中八级管理A岗人员1名，专业技术十二级人员1名），其他人员2名（1名为从宝轮借调，1名为西部计划志愿者）。</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58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r>
        <w:rPr>
          <w:rFonts w:hint="eastAsia" w:ascii="仿宋_GB2312" w:hAnsi="仿宋" w:eastAsia="仿宋_GB2312"/>
          <w:color w:val="000000"/>
          <w:sz w:val="32"/>
          <w:szCs w:val="32"/>
        </w:rPr>
        <w:t>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年本年收入合计</w:t>
      </w:r>
      <w:r>
        <w:rPr>
          <w:rFonts w:hint="eastAsia" w:ascii="仿宋_GB2312" w:hAnsi="仿宋" w:eastAsia="仿宋_GB2312"/>
          <w:color w:val="000000"/>
          <w:sz w:val="32"/>
          <w:szCs w:val="32"/>
          <w:lang w:val="en-US" w:eastAsia="zh-CN"/>
        </w:rPr>
        <w:t>65.29</w:t>
      </w:r>
      <w:r>
        <w:rPr>
          <w:rFonts w:hint="eastAsia" w:ascii="仿宋_GB2312" w:hAnsi="仿宋" w:eastAsia="仿宋_GB2312"/>
          <w:color w:val="000000"/>
          <w:sz w:val="32"/>
          <w:szCs w:val="32"/>
        </w:rPr>
        <w:t>万元，其中：一般公共预算财政拨款收入</w:t>
      </w:r>
      <w:r>
        <w:rPr>
          <w:rFonts w:hint="eastAsia" w:ascii="仿宋_GB2312" w:hAnsi="仿宋" w:eastAsia="仿宋_GB2312"/>
          <w:color w:val="000000"/>
          <w:sz w:val="32"/>
          <w:szCs w:val="32"/>
          <w:lang w:val="en-US" w:eastAsia="zh-CN"/>
        </w:rPr>
        <w:t>65.29</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100</w:t>
      </w:r>
      <w:r>
        <w:rPr>
          <w:rFonts w:hint="eastAsia" w:ascii="仿宋_GB2312" w:hAnsi="仿宋" w:eastAsia="仿宋_GB2312"/>
          <w:color w:val="000000"/>
          <w:sz w:val="32"/>
          <w:szCs w:val="32"/>
        </w:rPr>
        <w:t>%；政府性基金预算财政拨款收入0万元，占0%；国有资本经营预算财政拨款收入0万元，占0%；事业收入0万元，占0%；经营收入0万元，占0%；附属单位上缴收入0万元，占0%；其他收入</w:t>
      </w:r>
      <w:r>
        <w:rPr>
          <w:rFonts w:hint="eastAsia" w:ascii="仿宋_GB2312" w:hAnsi="仿宋" w:eastAsia="仿宋_GB2312"/>
          <w:color w:val="000000"/>
          <w:sz w:val="32"/>
          <w:szCs w:val="32"/>
          <w:lang w:val="en-US" w:eastAsia="zh-CN"/>
        </w:rPr>
        <w:t>0</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0</w:t>
      </w:r>
      <w:r>
        <w:rPr>
          <w:rFonts w:hint="eastAsia" w:ascii="仿宋_GB2312" w:hAnsi="仿宋" w:eastAsia="仿宋_GB2312"/>
          <w:color w:val="000000"/>
          <w:sz w:val="32"/>
          <w:szCs w:val="32"/>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年本年支出合计</w:t>
      </w:r>
      <w:r>
        <w:rPr>
          <w:rFonts w:hint="eastAsia" w:ascii="仿宋_GB2312" w:hAnsi="宋体" w:eastAsia="仿宋_GB2312" w:cs="宋体"/>
          <w:color w:val="000000"/>
          <w:kern w:val="0"/>
          <w:sz w:val="32"/>
          <w:szCs w:val="32"/>
          <w:shd w:val="clear" w:color="auto" w:fill="FFFFFF"/>
          <w:lang w:val="en-US" w:eastAsia="zh-CN"/>
        </w:rPr>
        <w:t>65.29</w:t>
      </w:r>
      <w:r>
        <w:rPr>
          <w:rFonts w:hint="eastAsia" w:ascii="仿宋_GB2312" w:hAnsi="宋体" w:eastAsia="仿宋_GB2312" w:cs="宋体"/>
          <w:color w:val="000000"/>
          <w:kern w:val="0"/>
          <w:sz w:val="32"/>
          <w:szCs w:val="32"/>
          <w:shd w:val="clear" w:color="auto" w:fill="FFFFFF"/>
          <w:lang w:val="zh-CN"/>
        </w:rPr>
        <w:t>万元，其中：基本支出</w:t>
      </w:r>
      <w:r>
        <w:rPr>
          <w:rFonts w:hint="eastAsia" w:ascii="仿宋_GB2312" w:hAnsi="宋体" w:eastAsia="仿宋_GB2312" w:cs="宋体"/>
          <w:color w:val="000000"/>
          <w:kern w:val="0"/>
          <w:sz w:val="32"/>
          <w:szCs w:val="32"/>
          <w:shd w:val="clear" w:color="auto" w:fill="FFFFFF"/>
          <w:lang w:val="en-US" w:eastAsia="zh-CN"/>
        </w:rPr>
        <w:t>53.09</w:t>
      </w:r>
      <w:r>
        <w:rPr>
          <w:rFonts w:hint="eastAsia" w:ascii="仿宋_GB2312" w:hAnsi="宋体" w:eastAsia="仿宋_GB2312" w:cs="宋体"/>
          <w:color w:val="000000"/>
          <w:kern w:val="0"/>
          <w:sz w:val="32"/>
          <w:szCs w:val="32"/>
          <w:shd w:val="clear" w:color="auto" w:fill="FFFFFF"/>
          <w:lang w:val="zh-CN"/>
        </w:rPr>
        <w:t>万元，占</w:t>
      </w:r>
      <w:r>
        <w:rPr>
          <w:rFonts w:hint="eastAsia" w:ascii="仿宋_GB2312" w:hAnsi="宋体" w:eastAsia="仿宋_GB2312" w:cs="宋体"/>
          <w:color w:val="000000"/>
          <w:kern w:val="0"/>
          <w:sz w:val="32"/>
          <w:szCs w:val="32"/>
          <w:shd w:val="clear" w:color="auto" w:fill="FFFFFF"/>
          <w:lang w:val="en-US" w:eastAsia="zh-CN"/>
        </w:rPr>
        <w:t>81.34</w:t>
      </w:r>
      <w:r>
        <w:rPr>
          <w:rFonts w:hint="eastAsia" w:ascii="仿宋_GB2312" w:hAnsi="宋体" w:eastAsia="仿宋_GB2312" w:cs="宋体"/>
          <w:color w:val="000000"/>
          <w:kern w:val="0"/>
          <w:sz w:val="32"/>
          <w:szCs w:val="32"/>
          <w:shd w:val="clear" w:color="auto" w:fill="FFFFFF"/>
          <w:lang w:val="zh-CN"/>
        </w:rPr>
        <w:t>%；项目支出</w:t>
      </w:r>
      <w:r>
        <w:rPr>
          <w:rFonts w:hint="eastAsia" w:ascii="仿宋_GB2312" w:hAnsi="宋体" w:eastAsia="仿宋_GB2312" w:cs="宋体"/>
          <w:color w:val="000000"/>
          <w:kern w:val="0"/>
          <w:sz w:val="32"/>
          <w:szCs w:val="32"/>
          <w:shd w:val="clear" w:color="auto" w:fill="FFFFFF"/>
          <w:lang w:val="en-US" w:eastAsia="zh-CN"/>
        </w:rPr>
        <w:t>12.20</w:t>
      </w:r>
      <w:r>
        <w:rPr>
          <w:rFonts w:hint="eastAsia" w:ascii="仿宋_GB2312" w:hAnsi="宋体" w:eastAsia="仿宋_GB2312" w:cs="宋体"/>
          <w:color w:val="000000"/>
          <w:kern w:val="0"/>
          <w:sz w:val="32"/>
          <w:szCs w:val="32"/>
          <w:shd w:val="clear" w:color="auto" w:fill="FFFFFF"/>
          <w:lang w:val="zh-CN"/>
        </w:rPr>
        <w:t>万元，占</w:t>
      </w:r>
      <w:r>
        <w:rPr>
          <w:rFonts w:hint="eastAsia" w:ascii="仿宋_GB2312" w:hAnsi="宋体" w:eastAsia="仿宋_GB2312" w:cs="宋体"/>
          <w:color w:val="000000"/>
          <w:kern w:val="0"/>
          <w:sz w:val="32"/>
          <w:szCs w:val="32"/>
          <w:shd w:val="clear" w:color="auto" w:fill="FFFFFF"/>
          <w:lang w:val="en-US" w:eastAsia="zh-CN"/>
        </w:rPr>
        <w:t>18.66</w:t>
      </w:r>
      <w:r>
        <w:rPr>
          <w:rFonts w:hint="eastAsia" w:ascii="仿宋_GB2312" w:hAnsi="宋体" w:eastAsia="仿宋_GB2312" w:cs="宋体"/>
          <w:color w:val="000000"/>
          <w:kern w:val="0"/>
          <w:sz w:val="32"/>
          <w:szCs w:val="32"/>
          <w:shd w:val="clear" w:color="auto" w:fill="FFFFFF"/>
          <w:lang w:val="zh-CN"/>
        </w:rPr>
        <w:t>%；上缴上级支出0万元，占0%；经营支出0万元，占0%；对附属单位补助支出0万元，占0%。</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spacing w:line="580" w:lineRule="exact"/>
        <w:ind w:firstLine="960" w:firstLineChars="3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r>
        <w:rPr>
          <w:rFonts w:hint="eastAsia" w:ascii="仿宋_GB2312" w:hAnsi="方正仿宋简体" w:eastAsia="仿宋_GB2312" w:cs="方正仿宋简体"/>
          <w:color w:val="000000"/>
          <w:sz w:val="32"/>
          <w:szCs w:val="32"/>
        </w:rPr>
        <w:t>按照“费随事定”的原则，按要求编制了项目绩效目标,同时编制了部门整体绩效目标。部门年度绩效目标为：完成上级下达的各项目标任务。预算绩效管理分为基本支出和项目支出。基本支出方面严格按照内部管理制度、印章管理制度、审批制度竞选资金管理。严格遵守</w:t>
      </w:r>
      <w:r>
        <w:rPr>
          <w:rFonts w:hint="eastAsia" w:ascii="仿宋_GB2312" w:hAnsi="方正仿宋简体" w:eastAsia="仿宋_GB2312" w:cs="方正仿宋简体"/>
          <w:color w:val="000000"/>
          <w:sz w:val="32"/>
          <w:szCs w:val="32"/>
          <w:lang w:eastAsia="zh-CN"/>
        </w:rPr>
        <w:t>中央八项规定</w:t>
      </w:r>
      <w:r>
        <w:rPr>
          <w:rFonts w:hint="eastAsia" w:ascii="仿宋_GB2312" w:hAnsi="方正仿宋简体" w:eastAsia="仿宋_GB2312" w:cs="方正仿宋简体"/>
          <w:color w:val="000000"/>
          <w:sz w:val="32"/>
          <w:szCs w:val="32"/>
        </w:rPr>
        <w:t>和 “三公经费”使用和管理制度。项目支出方面年初预算全部落实到位，制定年度目标责任书，按照“清单制+责任制”推动各项目标任务完成。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抓好三江新区规划建设统筹、协调工作。今年以来，三江新区利州片区实施各类项目34个，其中区本级31个、市本级3个。区本级31个项目概算总投资135.4亿元，1-10月完成固定资产投资26.86亿元，占全年目标的81%，预计年底完成33.2亿元。其中10个项目纳入市委市政府三江新区建设绩效考核目标，估算总投资30.36亿元，2019年考核投资6.22亿元，截止11月底完成投资6.31亿元，年底有望完成投资7.64亿元，占全年目标的123%。完成招商引资新签约项目7个，其中亿元以上项目4个。</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年部门整体支出资金管理使用规范、效果明显。</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（二）存在问题。在专业性问题上缺乏足够的专业知识和经验，还有待进一步加强。</w:t>
      </w:r>
    </w:p>
    <w:p>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t>（三）改进建议。合理安排学习计划，加强业务专业性和针对性学习，按财政专项资金管理的有关规定科学地编制项目预算，设定绩效目标。努力完成各项项目指标，确保高质量完成各项目标任务。</w:t>
      </w:r>
    </w:p>
    <w:p>
      <w:pPr>
        <w:spacing w:line="580" w:lineRule="exact"/>
        <w:outlineLvl w:val="0"/>
        <w:rPr>
          <w:rFonts w:hint="eastAsia" w:ascii="黑体" w:hAnsi="黑体" w:eastAsia="黑体" w:cs="黑体"/>
          <w:sz w:val="32"/>
          <w:szCs w:val="32"/>
        </w:rPr>
      </w:pPr>
      <w:bookmarkStart w:id="84" w:name="_Toc19944"/>
    </w:p>
    <w:p>
      <w:pPr>
        <w:spacing w:line="580" w:lineRule="exact"/>
        <w:outlineLvl w:val="0"/>
        <w:rPr>
          <w:rFonts w:hint="eastAsia" w:ascii="黑体" w:hAnsi="黑体" w:eastAsia="黑体" w:cs="黑体"/>
          <w:sz w:val="32"/>
          <w:szCs w:val="32"/>
        </w:rPr>
      </w:pPr>
      <w:r>
        <w:rPr>
          <w:rFonts w:hint="eastAsia" w:ascii="黑体" w:hAnsi="黑体" w:eastAsia="黑体" w:cs="黑体"/>
          <w:sz w:val="32"/>
          <w:szCs w:val="32"/>
        </w:rPr>
        <w:t>附件2</w:t>
      </w:r>
      <w:bookmarkEnd w:id="84"/>
    </w:p>
    <w:p>
      <w:pPr>
        <w:spacing w:line="580" w:lineRule="exact"/>
        <w:outlineLvl w:val="0"/>
        <w:rPr>
          <w:rFonts w:hint="eastAsia" w:ascii="黑体" w:hAnsi="黑体" w:eastAsia="黑体" w:cs="黑体"/>
          <w:sz w:val="32"/>
          <w:szCs w:val="32"/>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利州区委全面深化改革工作经费</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仿宋_GB2312" w:hAnsi="宋体" w:eastAsia="仿宋_GB2312" w:cs="宋体"/>
          <w:color w:val="000000"/>
          <w:kern w:val="0"/>
          <w:sz w:val="32"/>
          <w:szCs w:val="32"/>
          <w:shd w:val="clear" w:color="auto" w:fill="FFFFFF"/>
          <w:lang w:val="en-US" w:eastAsia="zh-CN"/>
        </w:rPr>
        <w:t>贯彻落实党中央和省委关于城市新区建设的方针政策以及市委、区委关于三江新区建设的决策部署，同时为区委各项重大决策服务、从事综合性研究，在履行职责过程中坚持和加强区委对各项工作的统一领导。根据项目资金要求，通过单位资金预算申报，财政局核准，批复下达再具体实施，我单位“利州区委全面深化改革工作经费”项目运行资金项目申报内容与具体实施内容相符、申报目标合理可行。</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方正仿宋_GBK" w:hAnsi="方正仿宋_GBK" w:eastAsia="方正仿宋_GBK" w:cs="方正仿宋_GBK"/>
          <w:b w:val="0"/>
          <w:bCs/>
          <w:sz w:val="32"/>
          <w:szCs w:val="32"/>
          <w:lang w:val="zh-CN"/>
        </w:rPr>
        <w:t>全年对</w:t>
      </w:r>
      <w:r>
        <w:rPr>
          <w:rFonts w:hint="eastAsia" w:ascii="方正仿宋_GBK" w:hAnsi="方正仿宋_GBK" w:eastAsia="方正仿宋_GBK" w:cs="方正仿宋_GBK"/>
          <w:b w:val="0"/>
          <w:bCs/>
          <w:sz w:val="32"/>
          <w:szCs w:val="32"/>
          <w:lang w:val="en-US" w:eastAsia="zh-CN"/>
        </w:rPr>
        <w:t>2个以上改革试点每个进行2次以上调研指导，</w:t>
      </w:r>
      <w:r>
        <w:rPr>
          <w:rFonts w:hint="eastAsia" w:ascii="仿宋_GB2312" w:hAnsi="宋体" w:eastAsia="仿宋_GB2312" w:cs="宋体"/>
          <w:color w:val="000000"/>
          <w:kern w:val="0"/>
          <w:sz w:val="32"/>
          <w:szCs w:val="32"/>
          <w:shd w:val="clear" w:color="auto" w:fill="FFFFFF"/>
          <w:lang w:val="en-US" w:eastAsia="zh-CN"/>
        </w:rPr>
        <w:t>坚持新发展理念，研究建立协同配合、高效运转的工作机制，负责拟定三江新区建设工作计划，统筹安排各类项目，牵头做好三江新区投融资相关工作，分解落实年度投资计划。</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本单位项目绩效自评采用量化指标评价方法，将项目绩效指标分解为一级指标，进而细分为二级指标，从</w:t>
      </w:r>
      <w:r>
        <w:rPr>
          <w:rFonts w:hint="eastAsia" w:ascii="仿宋_GB2312" w:hAnsi="宋体" w:eastAsia="仿宋_GB2312"/>
          <w:sz w:val="32"/>
          <w:szCs w:val="32"/>
          <w:lang w:val="en-US" w:eastAsia="zh-CN"/>
        </w:rPr>
        <w:t>6个不同的指标对</w:t>
      </w:r>
      <w:r>
        <w:rPr>
          <w:rFonts w:hint="eastAsia" w:ascii="仿宋_GB2312" w:hAnsi="宋体" w:eastAsia="仿宋_GB2312" w:cs="宋体"/>
          <w:color w:val="000000"/>
          <w:kern w:val="0"/>
          <w:sz w:val="32"/>
          <w:szCs w:val="32"/>
          <w:shd w:val="clear" w:color="auto" w:fill="FFFFFF"/>
          <w:lang w:val="en-US" w:eastAsia="zh-CN"/>
        </w:rPr>
        <w:t>利州区委全面深化改革工作经费进行综合性评价。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根据项目资金要求，通过单位资金预算申报，财政局核准，批复下达再具体实施，我单位“利州区委全面深化改革工作经费”项目运行资金项目申报内容与具体实施内容相符、申报目标合理可行。</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8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cs="宋体"/>
          <w:color w:val="000000"/>
          <w:kern w:val="0"/>
          <w:sz w:val="32"/>
          <w:szCs w:val="32"/>
          <w:shd w:val="clear" w:color="auto" w:fill="FFFFFF"/>
          <w:lang w:val="en-US" w:eastAsia="zh-CN"/>
        </w:rPr>
        <w:t>利州区委全面深化改革工作经费</w:t>
      </w:r>
      <w:r>
        <w:rPr>
          <w:rFonts w:hint="eastAsia" w:ascii="仿宋_GB2312" w:hAnsi="宋体" w:eastAsia="仿宋_GB2312"/>
          <w:sz w:val="32"/>
          <w:szCs w:val="32"/>
          <w:lang w:val="zh-CN"/>
        </w:rPr>
        <w:t>项目资金由财政全额拨款</w:t>
      </w:r>
      <w:r>
        <w:rPr>
          <w:rFonts w:hint="eastAsia" w:ascii="仿宋_GB2312" w:hAnsi="宋体" w:eastAsia="仿宋_GB2312"/>
          <w:sz w:val="32"/>
          <w:szCs w:val="32"/>
          <w:lang w:val="en-US" w:eastAsia="zh-CN"/>
        </w:rPr>
        <w:t>8.50万元，</w:t>
      </w:r>
      <w:r>
        <w:rPr>
          <w:rFonts w:hint="eastAsia" w:ascii="仿宋_GB2312" w:eastAsia="仿宋_GB2312"/>
          <w:sz w:val="32"/>
          <w:szCs w:val="32"/>
        </w:rPr>
        <w:t>资金按要求及时下发</w:t>
      </w:r>
      <w:r>
        <w:rPr>
          <w:rFonts w:hint="eastAsia" w:ascii="仿宋_GB2312" w:eastAsia="仿宋_GB2312"/>
          <w:sz w:val="32"/>
          <w:szCs w:val="32"/>
          <w:lang w:eastAsia="zh-CN"/>
        </w:rPr>
        <w:t>。</w:t>
      </w:r>
      <w:r>
        <w:rPr>
          <w:rFonts w:hint="eastAsia" w:ascii="仿宋_GB2312" w:eastAsia="仿宋_GB2312"/>
          <w:sz w:val="32"/>
          <w:szCs w:val="32"/>
        </w:rPr>
        <w:t>经财政局批复下达后，及时下发至</w:t>
      </w:r>
      <w:r>
        <w:rPr>
          <w:rFonts w:hint="eastAsia" w:ascii="仿宋_GB2312" w:eastAsia="仿宋_GB2312"/>
          <w:sz w:val="32"/>
          <w:szCs w:val="32"/>
          <w:lang w:eastAsia="zh-CN"/>
        </w:rPr>
        <w:t>单位</w:t>
      </w:r>
      <w:r>
        <w:rPr>
          <w:rFonts w:hint="eastAsia" w:ascii="仿宋_GB2312" w:eastAsia="仿宋_GB2312"/>
          <w:sz w:val="32"/>
          <w:szCs w:val="32"/>
        </w:rPr>
        <w:t>账户，确保及时到位。财务人员严格按照项目资金管理办法，对资金进行计划申请、转账，及时、规范对收支进行账务处理和会计核算。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eastAsia="仿宋_GB2312"/>
          <w:sz w:val="32"/>
          <w:szCs w:val="32"/>
        </w:rPr>
        <w:t>财务人员严格按照项目资金管理办法，对资金进行计划申请、转账，及时、规范对收支进行账务处理和会计核算。</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仿宋_GB2312" w:hAnsi="Times New Roman" w:eastAsia="仿宋_GB2312" w:cs="Times New Roman"/>
          <w:sz w:val="32"/>
          <w:szCs w:val="32"/>
          <w:lang w:val="zh-CN"/>
        </w:rPr>
        <w:t>区委三江新区办主要职能是制定项目计划和目标，开展项目立项、组织实施工作，管理、监督项目运作过程，确保项目顺利完成。财务人员参与组织业务培训，完善职业道德，及时收集项目进度数据，确保预算编制的依据准确真实，为领导决策提供切实可行的依据。</w:t>
      </w:r>
    </w:p>
    <w:p>
      <w:pPr>
        <w:numPr>
          <w:ilvl w:val="0"/>
          <w:numId w:val="6"/>
        </w:num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项目管理情况。</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eastAsia="仿宋_GB2312"/>
          <w:sz w:val="32"/>
          <w:szCs w:val="32"/>
        </w:rPr>
        <w:t>经财政局批复下达后，及时下发至</w:t>
      </w:r>
      <w:r>
        <w:rPr>
          <w:rFonts w:hint="eastAsia" w:ascii="仿宋_GB2312" w:eastAsia="仿宋_GB2312"/>
          <w:sz w:val="32"/>
          <w:szCs w:val="32"/>
          <w:lang w:eastAsia="zh-CN"/>
        </w:rPr>
        <w:t>单位</w:t>
      </w:r>
      <w:r>
        <w:rPr>
          <w:rFonts w:hint="eastAsia" w:ascii="仿宋_GB2312" w:eastAsia="仿宋_GB2312"/>
          <w:sz w:val="32"/>
          <w:szCs w:val="32"/>
        </w:rPr>
        <w:t>账户，确保及时到位。财务人员严格按照项目资金管理办法，对资金进行计划申请、转账，及时、规范对收支进行账务处理和会计核算。</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numPr>
          <w:ilvl w:val="0"/>
          <w:numId w:val="0"/>
        </w:numPr>
        <w:adjustRightInd w:val="0"/>
        <w:snapToGrid w:val="0"/>
        <w:spacing w:line="600" w:lineRule="exact"/>
        <w:ind w:firstLine="640" w:firstLineChars="200"/>
        <w:rPr>
          <w:rFonts w:hint="eastAsia" w:ascii="楷体_GB2312" w:hAnsi="宋体" w:eastAsia="楷体_GB2312"/>
          <w:b/>
          <w:sz w:val="32"/>
          <w:szCs w:val="32"/>
          <w:lang w:val="zh-CN"/>
        </w:rPr>
      </w:pPr>
      <w:r>
        <w:rPr>
          <w:rFonts w:hint="eastAsia" w:ascii="仿宋_GB2312" w:hAnsi="宋体" w:eastAsia="仿宋_GB2312"/>
          <w:sz w:val="32"/>
          <w:szCs w:val="32"/>
          <w:lang w:val="zh-CN"/>
        </w:rPr>
        <w:t>区委三江新区办负责</w:t>
      </w:r>
      <w:r>
        <w:rPr>
          <w:rFonts w:hint="eastAsia" w:ascii="仿宋_GB2312" w:hAnsi="宋体" w:eastAsia="仿宋_GB2312"/>
          <w:sz w:val="32"/>
          <w:szCs w:val="32"/>
          <w:lang w:val="zh-CN" w:eastAsia="zh-CN"/>
        </w:rPr>
        <w:t>三江新区利州区规划内建设、管理实施的组织指挥、统筹协调以及指导服务和监督项目执行情况。</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仿宋_GB2312" w:hAnsi="仿宋" w:eastAsia="仿宋_GB2312" w:cs="仿宋_GB2312"/>
          <w:color w:val="000000" w:themeColor="text1"/>
          <w:sz w:val="32"/>
          <w:szCs w:val="32"/>
          <w14:textFill>
            <w14:solidFill>
              <w14:schemeClr w14:val="tx1"/>
            </w14:solidFill>
          </w14:textFill>
        </w:rPr>
        <w:t>项目全年预算数</w:t>
      </w:r>
      <w:r>
        <w:rPr>
          <w:rFonts w:hint="eastAsia" w:ascii="仿宋_GB2312" w:hAnsi="仿宋" w:eastAsia="仿宋_GB2312" w:cs="仿宋_GB2312"/>
          <w:color w:val="000000" w:themeColor="text1"/>
          <w:sz w:val="32"/>
          <w:szCs w:val="32"/>
          <w:lang w:val="en-US" w:eastAsia="zh-CN"/>
          <w14:textFill>
            <w14:solidFill>
              <w14:schemeClr w14:val="tx1"/>
            </w14:solidFill>
          </w14:textFill>
        </w:rPr>
        <w:t>8.50</w:t>
      </w:r>
      <w:r>
        <w:rPr>
          <w:rFonts w:hint="eastAsia" w:ascii="仿宋_GB2312" w:hAnsi="仿宋" w:eastAsia="仿宋_GB2312" w:cs="仿宋_GB2312"/>
          <w:color w:val="000000" w:themeColor="text1"/>
          <w:sz w:val="32"/>
          <w:szCs w:val="32"/>
          <w14:textFill>
            <w14:solidFill>
              <w14:schemeClr w14:val="tx1"/>
            </w14:solidFill>
          </w14:textFill>
        </w:rPr>
        <w:t>万元，执行数为</w:t>
      </w:r>
      <w:r>
        <w:rPr>
          <w:rFonts w:hint="eastAsia" w:ascii="仿宋_GB2312" w:hAnsi="仿宋" w:eastAsia="仿宋_GB2312" w:cs="仿宋_GB2312"/>
          <w:color w:val="000000" w:themeColor="text1"/>
          <w:sz w:val="32"/>
          <w:szCs w:val="32"/>
          <w:lang w:val="en-US" w:eastAsia="zh-CN"/>
          <w14:textFill>
            <w14:solidFill>
              <w14:schemeClr w14:val="tx1"/>
            </w14:solidFill>
          </w14:textFill>
        </w:rPr>
        <w:t>8.50</w:t>
      </w:r>
      <w:r>
        <w:rPr>
          <w:rFonts w:hint="eastAsia" w:ascii="仿宋_GB2312" w:hAnsi="仿宋" w:eastAsia="仿宋_GB2312" w:cs="仿宋_GB2312"/>
          <w:color w:val="000000" w:themeColor="text1"/>
          <w:sz w:val="32"/>
          <w:szCs w:val="32"/>
          <w14:textFill>
            <w14:solidFill>
              <w14:schemeClr w14:val="tx1"/>
            </w14:solidFill>
          </w14:textFill>
        </w:rPr>
        <w:t>万元，完成预算的100%。</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b/>
          <w:bCs/>
          <w:sz w:val="32"/>
          <w:szCs w:val="32"/>
          <w:lang w:val="zh-CN"/>
        </w:rPr>
        <w:t>一是</w:t>
      </w:r>
      <w:r>
        <w:rPr>
          <w:rFonts w:hint="eastAsia" w:ascii="仿宋_GB2312" w:hAnsi="宋体" w:eastAsia="仿宋_GB2312"/>
          <w:sz w:val="32"/>
          <w:szCs w:val="32"/>
          <w:lang w:val="zh-CN"/>
        </w:rPr>
        <w:t>根据机构改革精神，区委三江新区办挂牌区委政研室，2019年区委政研室主持起草各类文字材料30余万字，较好地完成了以文辅政、参谋助手作用。探索推进智库建设，选取独立信息咨询研究机构购买信息服务，为全区各级党政领导干部提供决策咨询参考。</w:t>
      </w:r>
      <w:r>
        <w:rPr>
          <w:rFonts w:hint="eastAsia" w:ascii="仿宋_GB2312" w:hAnsi="宋体" w:eastAsia="仿宋_GB2312"/>
          <w:b/>
          <w:bCs/>
          <w:sz w:val="32"/>
          <w:szCs w:val="32"/>
          <w:lang w:val="zh-CN"/>
        </w:rPr>
        <w:t>二是</w:t>
      </w:r>
      <w:r>
        <w:rPr>
          <w:rFonts w:hint="eastAsia" w:ascii="仿宋_GB2312" w:hAnsi="宋体" w:eastAsia="仿宋_GB2312"/>
          <w:sz w:val="32"/>
          <w:szCs w:val="32"/>
          <w:lang w:val="zh-CN"/>
        </w:rPr>
        <w:t>积极落实文明城市创建，深化政务公开，落实政务服务（含“马上办”）及时从电子政务网上收转各级文件，全面超额完成政务公开信息和政务信息任务。</w:t>
      </w:r>
      <w:r>
        <w:rPr>
          <w:rFonts w:hint="eastAsia" w:ascii="仿宋_GB2312" w:hAnsi="宋体" w:eastAsia="仿宋_GB2312"/>
          <w:b/>
          <w:bCs/>
          <w:sz w:val="32"/>
          <w:szCs w:val="32"/>
          <w:lang w:val="zh-CN"/>
        </w:rPr>
        <w:t>三是</w:t>
      </w:r>
      <w:r>
        <w:rPr>
          <w:rFonts w:hint="eastAsia" w:ascii="仿宋_GB2312" w:hAnsi="宋体" w:eastAsia="仿宋_GB2312"/>
          <w:sz w:val="32"/>
          <w:szCs w:val="32"/>
          <w:lang w:val="zh-CN"/>
        </w:rPr>
        <w:t>我区农村集体产权制度改革国家级试点顺利通过第三方评估，改革经验成效显著，典型经验在农业农村部推广。</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利州区委全面深化改革工作经费专项经费共计</w:t>
      </w:r>
      <w:r>
        <w:rPr>
          <w:rFonts w:hint="eastAsia" w:ascii="仿宋_GB2312" w:hAnsi="宋体" w:eastAsia="仿宋_GB2312"/>
          <w:sz w:val="32"/>
          <w:szCs w:val="32"/>
          <w:lang w:val="en-US" w:eastAsia="zh-CN"/>
        </w:rPr>
        <w:t>8.50</w:t>
      </w:r>
      <w:r>
        <w:rPr>
          <w:rFonts w:hint="eastAsia" w:ascii="仿宋_GB2312" w:hAnsi="宋体" w:eastAsia="仿宋_GB2312"/>
          <w:sz w:val="32"/>
          <w:szCs w:val="32"/>
          <w:lang w:val="zh-CN"/>
        </w:rPr>
        <w:t>万元，资金按要求及时下发，使用规范合理。</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合理安排学习计划，加强业务专业性和针对性学习，按财政专项资金管理的有关规定科学地编制项目预算，设定绩效目标。努力完成各项项目指标，确保高质量完成各项目标任务。</w:t>
      </w:r>
    </w:p>
    <w:p>
      <w:pPr>
        <w:spacing w:line="580" w:lineRule="exact"/>
        <w:ind w:firstLine="640"/>
        <w:rPr>
          <w:rFonts w:hint="eastAsia" w:ascii="仿宋_GB2312" w:hAnsi="宋体" w:eastAsia="仿宋_GB2312" w:cs="宋体"/>
          <w:color w:val="000000"/>
          <w:kern w:val="0"/>
          <w:sz w:val="32"/>
          <w:szCs w:val="32"/>
          <w:shd w:val="clear" w:color="auto" w:fill="FFFFFF"/>
          <w:lang w:val="zh-CN"/>
        </w:rPr>
      </w:pPr>
    </w:p>
    <w:p>
      <w:pPr>
        <w:spacing w:line="580" w:lineRule="exact"/>
        <w:ind w:firstLine="640"/>
        <w:rPr>
          <w:rFonts w:hint="eastAsia" w:ascii="仿宋_GB2312" w:hAnsi="宋体" w:eastAsia="仿宋_GB2312" w:cs="宋体"/>
          <w:color w:val="000000"/>
          <w:kern w:val="0"/>
          <w:sz w:val="32"/>
          <w:szCs w:val="32"/>
          <w:shd w:val="clear" w:color="auto" w:fill="FFFFFF"/>
          <w:lang w:val="zh-CN"/>
        </w:rPr>
      </w:pPr>
    </w:p>
    <w:p>
      <w:pPr>
        <w:spacing w:line="580" w:lineRule="exact"/>
        <w:ind w:firstLine="640"/>
        <w:rPr>
          <w:rFonts w:hint="eastAsia" w:ascii="仿宋_GB2312" w:hAnsi="宋体" w:eastAsia="仿宋_GB2312" w:cs="宋体"/>
          <w:color w:val="000000"/>
          <w:kern w:val="0"/>
          <w:sz w:val="32"/>
          <w:szCs w:val="32"/>
          <w:shd w:val="clear" w:color="auto" w:fill="FFFFFF"/>
          <w:lang w:val="zh-CN"/>
        </w:rPr>
      </w:pPr>
    </w:p>
    <w:p>
      <w:pPr>
        <w:spacing w:line="580" w:lineRule="exact"/>
        <w:ind w:firstLine="640"/>
        <w:rPr>
          <w:rFonts w:hint="eastAsia" w:ascii="仿宋_GB2312" w:hAnsi="宋体" w:eastAsia="仿宋_GB2312" w:cs="宋体"/>
          <w:color w:val="000000"/>
          <w:kern w:val="0"/>
          <w:sz w:val="32"/>
          <w:szCs w:val="32"/>
          <w:shd w:val="clear" w:color="auto" w:fill="FFFFFF"/>
          <w:lang w:val="zh-CN"/>
        </w:rPr>
      </w:pPr>
    </w:p>
    <w:p>
      <w:pPr>
        <w:spacing w:line="580" w:lineRule="exact"/>
        <w:ind w:firstLine="640"/>
        <w:rPr>
          <w:rFonts w:hint="eastAsia" w:ascii="仿宋_GB2312" w:hAnsi="宋体" w:eastAsia="仿宋_GB2312" w:cs="宋体"/>
          <w:color w:val="000000"/>
          <w:kern w:val="0"/>
          <w:sz w:val="32"/>
          <w:szCs w:val="32"/>
          <w:shd w:val="clear" w:color="auto" w:fill="FFFFFF"/>
          <w:lang w:val="zh-CN"/>
        </w:rPr>
      </w:pPr>
    </w:p>
    <w:p>
      <w:pPr>
        <w:spacing w:line="580" w:lineRule="exact"/>
        <w:ind w:firstLine="640"/>
        <w:rPr>
          <w:rFonts w:hint="eastAsia" w:ascii="仿宋_GB2312" w:hAnsi="宋体" w:eastAsia="仿宋_GB2312" w:cs="宋体"/>
          <w:color w:val="000000"/>
          <w:kern w:val="0"/>
          <w:sz w:val="32"/>
          <w:szCs w:val="32"/>
          <w:shd w:val="clear" w:color="auto" w:fill="FFFFFF"/>
          <w:lang w:val="zh-CN"/>
        </w:rPr>
      </w:pPr>
    </w:p>
    <w:p>
      <w:pPr>
        <w:spacing w:line="580" w:lineRule="exact"/>
        <w:ind w:firstLine="640"/>
        <w:rPr>
          <w:rFonts w:hint="eastAsia" w:ascii="仿宋_GB2312" w:hAnsi="宋体" w:eastAsia="仿宋_GB2312" w:cs="宋体"/>
          <w:color w:val="000000"/>
          <w:kern w:val="0"/>
          <w:sz w:val="32"/>
          <w:szCs w:val="32"/>
          <w:shd w:val="clear" w:color="auto" w:fill="FFFFFF"/>
          <w:lang w:val="zh-CN"/>
        </w:rPr>
      </w:pPr>
    </w:p>
    <w:p>
      <w:pPr>
        <w:spacing w:line="580" w:lineRule="exact"/>
        <w:ind w:firstLine="640"/>
        <w:rPr>
          <w:rFonts w:hint="eastAsia" w:ascii="仿宋_GB2312" w:hAnsi="宋体" w:eastAsia="仿宋_GB2312" w:cs="宋体"/>
          <w:color w:val="000000"/>
          <w:kern w:val="0"/>
          <w:sz w:val="32"/>
          <w:szCs w:val="32"/>
          <w:shd w:val="clear" w:color="auto" w:fill="FFFFFF"/>
          <w:lang w:val="zh-CN"/>
        </w:rPr>
      </w:pPr>
    </w:p>
    <w:p>
      <w:pPr>
        <w:spacing w:line="580" w:lineRule="exact"/>
        <w:ind w:firstLine="640"/>
        <w:rPr>
          <w:rFonts w:hint="eastAsia" w:ascii="仿宋_GB2312" w:hAnsi="宋体" w:eastAsia="仿宋_GB2312" w:cs="宋体"/>
          <w:color w:val="000000"/>
          <w:kern w:val="0"/>
          <w:sz w:val="32"/>
          <w:szCs w:val="32"/>
          <w:shd w:val="clear" w:color="auto" w:fill="FFFFFF"/>
          <w:lang w:val="zh-CN"/>
        </w:rPr>
      </w:pPr>
    </w:p>
    <w:p>
      <w:pPr>
        <w:spacing w:line="580" w:lineRule="exact"/>
        <w:ind w:firstLine="640"/>
        <w:rPr>
          <w:rFonts w:hint="eastAsia" w:ascii="仿宋_GB2312" w:hAnsi="宋体" w:eastAsia="仿宋_GB2312" w:cs="宋体"/>
          <w:color w:val="000000"/>
          <w:kern w:val="0"/>
          <w:sz w:val="32"/>
          <w:szCs w:val="32"/>
          <w:shd w:val="clear" w:color="auto" w:fill="FFFFFF"/>
          <w:lang w:val="zh-CN"/>
        </w:rPr>
      </w:pPr>
    </w:p>
    <w:p>
      <w:pPr>
        <w:spacing w:line="580" w:lineRule="exact"/>
        <w:ind w:firstLine="640"/>
        <w:rPr>
          <w:rFonts w:hint="eastAsia" w:ascii="仿宋_GB2312" w:hAnsi="宋体" w:eastAsia="仿宋_GB2312" w:cs="宋体"/>
          <w:color w:val="000000"/>
          <w:kern w:val="0"/>
          <w:sz w:val="32"/>
          <w:szCs w:val="32"/>
          <w:shd w:val="clear" w:color="auto" w:fill="FFFFFF"/>
          <w:lang w:val="zh-CN"/>
        </w:rPr>
      </w:pPr>
    </w:p>
    <w:p>
      <w:pPr>
        <w:spacing w:line="580" w:lineRule="exact"/>
        <w:ind w:firstLine="640"/>
        <w:rPr>
          <w:rFonts w:hint="eastAsia" w:ascii="仿宋_GB2312" w:hAnsi="宋体" w:eastAsia="仿宋_GB2312" w:cs="宋体"/>
          <w:color w:val="000000"/>
          <w:kern w:val="0"/>
          <w:sz w:val="32"/>
          <w:szCs w:val="32"/>
          <w:shd w:val="clear" w:color="auto" w:fill="FFFFFF"/>
          <w:lang w:val="zh-CN"/>
        </w:rPr>
      </w:pPr>
    </w:p>
    <w:p>
      <w:pPr>
        <w:spacing w:line="580" w:lineRule="exact"/>
        <w:rPr>
          <w:rFonts w:hint="eastAsia" w:ascii="仿宋_GB2312" w:hAnsi="宋体" w:eastAsia="仿宋_GB2312" w:cs="宋体"/>
          <w:color w:val="000000"/>
          <w:kern w:val="0"/>
          <w:sz w:val="32"/>
          <w:szCs w:val="32"/>
          <w:shd w:val="clear" w:color="auto" w:fill="FFFFFF"/>
          <w:lang w:val="zh-CN"/>
        </w:rPr>
      </w:pPr>
    </w:p>
    <w:p>
      <w:pPr>
        <w:spacing w:line="580" w:lineRule="exact"/>
        <w:outlineLvl w:val="0"/>
        <w:rPr>
          <w:rFonts w:hint="eastAsia" w:ascii="黑体" w:hAnsi="黑体" w:eastAsia="黑体" w:cs="黑体"/>
          <w:sz w:val="32"/>
          <w:szCs w:val="32"/>
          <w:lang w:val="en-US" w:eastAsia="zh-CN"/>
        </w:rPr>
      </w:pPr>
      <w:bookmarkStart w:id="85" w:name="_Toc13040"/>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End w:id="85"/>
    </w:p>
    <w:p>
      <w:pPr>
        <w:spacing w:line="580" w:lineRule="exact"/>
        <w:rPr>
          <w:rFonts w:hint="eastAsia" w:ascii="黑体" w:hAnsi="黑体" w:eastAsia="黑体" w:cs="黑体"/>
          <w:sz w:val="32"/>
          <w:szCs w:val="32"/>
        </w:rPr>
      </w:pPr>
    </w:p>
    <w:p>
      <w:pPr>
        <w:spacing w:line="600" w:lineRule="exact"/>
        <w:jc w:val="center"/>
        <w:outlineLvl w:val="0"/>
        <w:rPr>
          <w:rFonts w:ascii="方正小标宋简体" w:hAnsi="宋体" w:eastAsia="方正小标宋简体"/>
          <w:color w:val="000000"/>
          <w:kern w:val="0"/>
          <w:sz w:val="44"/>
          <w:szCs w:val="44"/>
          <w:lang w:val="zh-CN"/>
        </w:rPr>
      </w:pPr>
      <w:bookmarkStart w:id="86" w:name="_Toc9071"/>
      <w:r>
        <w:rPr>
          <w:rFonts w:hint="eastAsia" w:ascii="方正小标宋简体" w:hAnsi="宋体" w:eastAsia="方正小标宋简体"/>
          <w:color w:val="000000"/>
          <w:kern w:val="0"/>
          <w:sz w:val="44"/>
          <w:szCs w:val="44"/>
          <w:lang w:eastAsia="zh-CN"/>
        </w:rPr>
        <w:t>广元市三江新区开发建设指挥部利州分指挥部</w:t>
      </w:r>
      <w:r>
        <w:rPr>
          <w:rFonts w:hint="eastAsia" w:ascii="方正小标宋简体" w:hAnsi="宋体" w:eastAsia="方正小标宋简体"/>
          <w:color w:val="000000"/>
          <w:kern w:val="0"/>
          <w:sz w:val="44"/>
          <w:szCs w:val="44"/>
        </w:rPr>
        <w:t>工作经费</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bookmarkEnd w:id="86"/>
    </w:p>
    <w:p>
      <w:pPr>
        <w:spacing w:line="600" w:lineRule="exact"/>
        <w:rPr>
          <w:rFonts w:ascii="宋体" w:hAnsi="宋体"/>
          <w:sz w:val="32"/>
          <w:szCs w:val="32"/>
          <w:lang w:val="zh-CN"/>
        </w:rPr>
      </w:pPr>
    </w:p>
    <w:p>
      <w:pPr>
        <w:adjustRightInd w:val="0"/>
        <w:snapToGrid w:val="0"/>
        <w:spacing w:line="600" w:lineRule="exact"/>
        <w:ind w:firstLine="720"/>
        <w:outlineLvl w:val="1"/>
        <w:rPr>
          <w:rFonts w:ascii="黑体" w:hAnsi="宋体" w:eastAsia="黑体"/>
          <w:sz w:val="32"/>
          <w:szCs w:val="32"/>
          <w:lang w:val="zh-CN"/>
        </w:rPr>
      </w:pPr>
      <w:bookmarkStart w:id="87" w:name="_Toc20632"/>
      <w:r>
        <w:rPr>
          <w:rFonts w:hint="eastAsia" w:ascii="黑体" w:hAnsi="宋体" w:eastAsia="黑体"/>
          <w:sz w:val="32"/>
          <w:szCs w:val="32"/>
        </w:rPr>
        <w:t>一、</w:t>
      </w:r>
      <w:r>
        <w:rPr>
          <w:rFonts w:hint="eastAsia" w:ascii="黑体" w:hAnsi="宋体" w:eastAsia="黑体"/>
          <w:sz w:val="32"/>
          <w:szCs w:val="32"/>
          <w:lang w:val="zh-CN"/>
        </w:rPr>
        <w:t>项目概况</w:t>
      </w:r>
      <w:bookmarkEnd w:id="87"/>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eastAsia="zh-CN"/>
        </w:rPr>
        <w:t>负责三江新区利州区规划内建设、管理实施的组织指挥、统筹协调、指导服务和监督检查；负责三江新区利州规划区内对内对外开放、招商引资和经济合作工作；承担区三江新区建设发展领导小组交办的其他工作。</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推进全面深化改革、释放改革红利，为三江新区利州辖区完善城市功能，改善环境质量，促进经济发展、提高群众生活质量。</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本单位项目绩效自评采用量化指标评价方法，将项目绩效指标分解为一级指标，进而细分为二级指标，从</w:t>
      </w:r>
      <w:r>
        <w:rPr>
          <w:rFonts w:hint="eastAsia" w:ascii="仿宋_GB2312" w:hAnsi="宋体" w:eastAsia="仿宋_GB2312"/>
          <w:sz w:val="32"/>
          <w:szCs w:val="32"/>
          <w:lang w:val="en-US" w:eastAsia="zh-CN"/>
        </w:rPr>
        <w:t>6个不同的指标对</w:t>
      </w:r>
      <w:r>
        <w:rPr>
          <w:rFonts w:hint="eastAsia" w:ascii="仿宋_GB2312" w:hAnsi="宋体" w:eastAsia="仿宋_GB2312" w:cs="宋体"/>
          <w:color w:val="000000"/>
          <w:kern w:val="0"/>
          <w:sz w:val="32"/>
          <w:szCs w:val="32"/>
          <w:shd w:val="clear" w:color="auto" w:fill="FFFFFF"/>
          <w:lang w:val="en-US" w:eastAsia="zh-CN"/>
        </w:rPr>
        <w:t>广元市三江新区开发建设指挥部利州分指挥部工作经费进行综合性评价。</w:t>
      </w:r>
    </w:p>
    <w:p>
      <w:pPr>
        <w:adjustRightInd w:val="0"/>
        <w:snapToGrid w:val="0"/>
        <w:spacing w:line="600" w:lineRule="exact"/>
        <w:ind w:firstLine="720"/>
        <w:outlineLvl w:val="1"/>
        <w:rPr>
          <w:rFonts w:ascii="黑体" w:hAnsi="宋体" w:eastAsia="黑体"/>
          <w:sz w:val="32"/>
          <w:szCs w:val="32"/>
        </w:rPr>
      </w:pPr>
      <w:bookmarkStart w:id="88" w:name="_Toc29916"/>
      <w:r>
        <w:rPr>
          <w:rFonts w:hint="eastAsia" w:ascii="黑体" w:hAnsi="宋体" w:eastAsia="黑体"/>
          <w:sz w:val="32"/>
          <w:szCs w:val="32"/>
        </w:rPr>
        <w:t>二、项目资金申报及使用情况</w:t>
      </w:r>
      <w:bookmarkEnd w:id="88"/>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仿宋_GB2312" w:hAnsi="宋体" w:eastAsia="仿宋_GB2312" w:cs="宋体"/>
          <w:color w:val="000000"/>
          <w:kern w:val="0"/>
          <w:sz w:val="32"/>
          <w:szCs w:val="32"/>
          <w:shd w:val="clear" w:color="auto" w:fill="FFFFFF"/>
          <w:lang w:val="en-US" w:eastAsia="zh-CN"/>
        </w:rPr>
        <w:t>根据项目资金要求，通过单位资金预算申报，财政局核准，批复下达再具体实施，我单位“广元市三江新区开发建设指挥部利州分指挥部工作经费”项目运行资金项目申报内容与具体实施内容相符、申报目标合理可行。</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8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cs="宋体"/>
          <w:color w:val="000000"/>
          <w:kern w:val="0"/>
          <w:sz w:val="32"/>
          <w:szCs w:val="32"/>
          <w:shd w:val="clear" w:color="auto" w:fill="FFFFFF"/>
          <w:lang w:val="en-US" w:eastAsia="zh-CN"/>
        </w:rPr>
        <w:t>广元市三江新区开发建设指挥部利州分指挥部工作经费</w:t>
      </w:r>
      <w:r>
        <w:rPr>
          <w:rFonts w:hint="eastAsia" w:ascii="仿宋_GB2312" w:hAnsi="宋体" w:eastAsia="仿宋_GB2312"/>
          <w:sz w:val="32"/>
          <w:szCs w:val="32"/>
          <w:lang w:val="zh-CN"/>
        </w:rPr>
        <w:t>项目资金由财政全额拨款</w:t>
      </w:r>
      <w:r>
        <w:rPr>
          <w:rFonts w:hint="eastAsia" w:ascii="仿宋_GB2312" w:hAnsi="宋体" w:eastAsia="仿宋_GB2312"/>
          <w:sz w:val="32"/>
          <w:szCs w:val="32"/>
          <w:lang w:val="en-US" w:eastAsia="zh-CN"/>
        </w:rPr>
        <w:t>8.00万元，</w:t>
      </w:r>
      <w:r>
        <w:rPr>
          <w:rFonts w:hint="eastAsia" w:ascii="仿宋_GB2312" w:eastAsia="仿宋_GB2312"/>
          <w:sz w:val="32"/>
          <w:szCs w:val="32"/>
        </w:rPr>
        <w:t>资金按要求及时下发</w:t>
      </w:r>
      <w:r>
        <w:rPr>
          <w:rFonts w:hint="eastAsia" w:ascii="仿宋_GB2312" w:eastAsia="仿宋_GB2312"/>
          <w:sz w:val="32"/>
          <w:szCs w:val="32"/>
          <w:lang w:eastAsia="zh-CN"/>
        </w:rPr>
        <w:t>。</w:t>
      </w:r>
      <w:r>
        <w:rPr>
          <w:rFonts w:hint="eastAsia" w:ascii="仿宋_GB2312" w:eastAsia="仿宋_GB2312"/>
          <w:sz w:val="32"/>
          <w:szCs w:val="32"/>
        </w:rPr>
        <w:t>经财政局批复下达后，及时下发至</w:t>
      </w:r>
      <w:r>
        <w:rPr>
          <w:rFonts w:hint="eastAsia" w:ascii="仿宋_GB2312" w:eastAsia="仿宋_GB2312"/>
          <w:sz w:val="32"/>
          <w:szCs w:val="32"/>
          <w:lang w:eastAsia="zh-CN"/>
        </w:rPr>
        <w:t>单位</w:t>
      </w:r>
      <w:r>
        <w:rPr>
          <w:rFonts w:hint="eastAsia" w:ascii="仿宋_GB2312" w:eastAsia="仿宋_GB2312"/>
          <w:sz w:val="32"/>
          <w:szCs w:val="32"/>
        </w:rPr>
        <w:t>账户，确保及时到位。财务人员严格按照项目资金管理办法，对资金进行计划申请、转账，及时、规范对收支进行账务处理和会计核算。</w:t>
      </w:r>
    </w:p>
    <w:p>
      <w:pPr>
        <w:adjustRightInd w:val="0"/>
        <w:snapToGrid w:val="0"/>
        <w:spacing w:line="6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eastAsia="仿宋_GB2312"/>
          <w:sz w:val="32"/>
          <w:szCs w:val="32"/>
        </w:rPr>
        <w:t>财务人员严格按照项目资金管理办法，对资金进行计划申请、转账，及时、规范对收支进行账务处理和会计核算。</w:t>
      </w:r>
    </w:p>
    <w:p>
      <w:pPr>
        <w:adjustRightInd w:val="0"/>
        <w:snapToGrid w:val="0"/>
        <w:spacing w:line="600" w:lineRule="exact"/>
        <w:ind w:firstLine="640" w:firstLineChars="200"/>
        <w:outlineLvl w:val="1"/>
        <w:rPr>
          <w:rFonts w:ascii="黑体" w:hAnsi="宋体" w:eastAsia="黑体"/>
          <w:sz w:val="32"/>
          <w:szCs w:val="32"/>
        </w:rPr>
      </w:pPr>
      <w:bookmarkStart w:id="89" w:name="_Toc19911"/>
      <w:r>
        <w:rPr>
          <w:rFonts w:hint="eastAsia" w:ascii="黑体" w:hAnsi="宋体" w:eastAsia="黑体"/>
          <w:sz w:val="32"/>
          <w:szCs w:val="32"/>
        </w:rPr>
        <w:t>三、项目实施及管理情况</w:t>
      </w:r>
      <w:bookmarkEnd w:id="89"/>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80" w:lineRule="exact"/>
        <w:ind w:firstLine="640" w:firstLineChars="200"/>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区委三江新区办主要职能是制定项目计划和目标，开展项目立项、组织实施工作，管理、监督项目运作过程，确保项目顺利完成。财务人员参与组织业务培训，完善职业道德，及时收集项目进度数据，确保预算编制的依据准确真实，为领导决策提供切实可行的依据。</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eastAsia="仿宋_GB2312"/>
          <w:sz w:val="32"/>
          <w:szCs w:val="32"/>
        </w:rPr>
        <w:t>经财政局批复下达后，及时下发至</w:t>
      </w:r>
      <w:r>
        <w:rPr>
          <w:rFonts w:hint="eastAsia" w:ascii="仿宋_GB2312" w:eastAsia="仿宋_GB2312"/>
          <w:sz w:val="32"/>
          <w:szCs w:val="32"/>
          <w:lang w:eastAsia="zh-CN"/>
        </w:rPr>
        <w:t>单位</w:t>
      </w:r>
      <w:r>
        <w:rPr>
          <w:rFonts w:hint="eastAsia" w:ascii="仿宋_GB2312" w:eastAsia="仿宋_GB2312"/>
          <w:sz w:val="32"/>
          <w:szCs w:val="32"/>
        </w:rPr>
        <w:t>账户，确保及时到位。财务人员严格按照项目资金管理办法，对资金进行计划申请、转账，及时、规范对收支进行账务处理和会计核算。</w:t>
      </w:r>
    </w:p>
    <w:p>
      <w:pPr>
        <w:numPr>
          <w:ilvl w:val="0"/>
          <w:numId w:val="7"/>
        </w:numPr>
        <w:adjustRightInd w:val="0"/>
        <w:snapToGrid w:val="0"/>
        <w:spacing w:line="600" w:lineRule="exact"/>
        <w:ind w:firstLine="720"/>
        <w:rPr>
          <w:rFonts w:hint="eastAsia" w:ascii="仿宋_GB2312" w:hAnsi="宋体" w:eastAsia="仿宋_GB2312"/>
          <w:sz w:val="32"/>
          <w:szCs w:val="32"/>
          <w:lang w:val="zh-CN" w:eastAsia="zh-CN"/>
        </w:rPr>
      </w:pPr>
      <w:r>
        <w:rPr>
          <w:rFonts w:hint="eastAsia" w:ascii="楷体_GB2312" w:hAnsi="宋体" w:eastAsia="楷体_GB2312"/>
          <w:b/>
          <w:sz w:val="32"/>
          <w:szCs w:val="32"/>
          <w:lang w:val="zh-CN"/>
        </w:rPr>
        <w:t>项目监管情况。</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eastAsia="zh-CN"/>
        </w:rPr>
      </w:pPr>
      <w:r>
        <w:rPr>
          <w:rFonts w:hint="eastAsia" w:ascii="仿宋_GB2312" w:hAnsi="宋体" w:eastAsia="仿宋_GB2312"/>
          <w:sz w:val="32"/>
          <w:szCs w:val="32"/>
          <w:lang w:val="zh-CN"/>
        </w:rPr>
        <w:t>区委三江新区办负责</w:t>
      </w:r>
      <w:r>
        <w:rPr>
          <w:rFonts w:hint="eastAsia" w:ascii="仿宋_GB2312" w:hAnsi="宋体" w:eastAsia="仿宋_GB2312"/>
          <w:sz w:val="32"/>
          <w:szCs w:val="32"/>
          <w:lang w:val="zh-CN" w:eastAsia="zh-CN"/>
        </w:rPr>
        <w:t>三江新区利州区规划内建设、管理实施的组织指挥、统筹协调以及指导服务和监督项目执行情况。</w:t>
      </w:r>
    </w:p>
    <w:p>
      <w:pPr>
        <w:numPr>
          <w:ilvl w:val="0"/>
          <w:numId w:val="0"/>
        </w:numPr>
        <w:adjustRightInd w:val="0"/>
        <w:snapToGrid w:val="0"/>
        <w:spacing w:line="600" w:lineRule="exact"/>
        <w:ind w:firstLine="960" w:firstLineChars="300"/>
        <w:outlineLvl w:val="1"/>
        <w:rPr>
          <w:rFonts w:ascii="仿宋_GB2312" w:hAnsi="宋体" w:eastAsia="仿宋_GB2312"/>
          <w:sz w:val="32"/>
          <w:szCs w:val="32"/>
          <w:lang w:val="zh-CN"/>
        </w:rPr>
      </w:pPr>
      <w:bookmarkStart w:id="90" w:name="_Toc22287"/>
      <w:r>
        <w:rPr>
          <w:rFonts w:hint="eastAsia" w:ascii="黑体" w:hAnsi="宋体" w:eastAsia="黑体"/>
          <w:sz w:val="32"/>
          <w:szCs w:val="32"/>
        </w:rPr>
        <w:t>四、项目绩效情况</w:t>
      </w:r>
      <w:bookmarkEnd w:id="90"/>
      <w:r>
        <w:rPr>
          <w:rFonts w:hint="eastAsia" w:ascii="仿宋_GB2312" w:hAnsi="宋体" w:eastAsia="仿宋_GB2312"/>
          <w:sz w:val="32"/>
          <w:szCs w:val="32"/>
          <w:lang w:val="zh-CN"/>
        </w:rPr>
        <w:tab/>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仿宋_GB2312" w:hAnsi="仿宋" w:eastAsia="仿宋_GB2312" w:cs="仿宋_GB2312"/>
          <w:color w:val="000000" w:themeColor="text1"/>
          <w:sz w:val="32"/>
          <w:szCs w:val="32"/>
          <w14:textFill>
            <w14:solidFill>
              <w14:schemeClr w14:val="tx1"/>
            </w14:solidFill>
          </w14:textFill>
        </w:rPr>
        <w:t>项目全年预算数</w:t>
      </w:r>
      <w:r>
        <w:rPr>
          <w:rFonts w:hint="eastAsia" w:ascii="仿宋_GB2312" w:hAnsi="仿宋" w:eastAsia="仿宋_GB2312" w:cs="仿宋_GB2312"/>
          <w:color w:val="000000" w:themeColor="text1"/>
          <w:sz w:val="32"/>
          <w:szCs w:val="32"/>
          <w:lang w:val="en-US" w:eastAsia="zh-CN"/>
          <w14:textFill>
            <w14:solidFill>
              <w14:schemeClr w14:val="tx1"/>
            </w14:solidFill>
          </w14:textFill>
        </w:rPr>
        <w:t>8.00</w:t>
      </w:r>
      <w:r>
        <w:rPr>
          <w:rFonts w:hint="eastAsia" w:ascii="仿宋_GB2312" w:hAnsi="仿宋" w:eastAsia="仿宋_GB2312" w:cs="仿宋_GB2312"/>
          <w:color w:val="000000" w:themeColor="text1"/>
          <w:sz w:val="32"/>
          <w:szCs w:val="32"/>
          <w14:textFill>
            <w14:solidFill>
              <w14:schemeClr w14:val="tx1"/>
            </w14:solidFill>
          </w14:textFill>
        </w:rPr>
        <w:t>万元，执行数为</w:t>
      </w:r>
      <w:r>
        <w:rPr>
          <w:rFonts w:hint="eastAsia" w:ascii="仿宋_GB2312" w:hAnsi="仿宋" w:eastAsia="仿宋_GB2312" w:cs="仿宋_GB2312"/>
          <w:color w:val="000000" w:themeColor="text1"/>
          <w:sz w:val="32"/>
          <w:szCs w:val="32"/>
          <w:lang w:val="en-US" w:eastAsia="zh-CN"/>
          <w14:textFill>
            <w14:solidFill>
              <w14:schemeClr w14:val="tx1"/>
            </w14:solidFill>
          </w14:textFill>
        </w:rPr>
        <w:t>8.00</w:t>
      </w:r>
      <w:r>
        <w:rPr>
          <w:rFonts w:hint="eastAsia" w:ascii="仿宋_GB2312" w:hAnsi="仿宋" w:eastAsia="仿宋_GB2312" w:cs="仿宋_GB2312"/>
          <w:color w:val="000000" w:themeColor="text1"/>
          <w:sz w:val="32"/>
          <w:szCs w:val="32"/>
          <w14:textFill>
            <w14:solidFill>
              <w14:schemeClr w14:val="tx1"/>
            </w14:solidFill>
          </w14:textFill>
        </w:rPr>
        <w:t>万元，完成预算的100%。</w:t>
      </w:r>
    </w:p>
    <w:p>
      <w:pPr>
        <w:numPr>
          <w:ilvl w:val="0"/>
          <w:numId w:val="8"/>
        </w:numPr>
        <w:adjustRightInd w:val="0"/>
        <w:snapToGrid w:val="0"/>
        <w:spacing w:line="600" w:lineRule="exact"/>
        <w:ind w:firstLine="642"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pPr>
        <w:adjustRightInd w:val="0"/>
        <w:snapToGrid w:val="0"/>
        <w:spacing w:line="600" w:lineRule="exact"/>
        <w:ind w:firstLine="720"/>
        <w:rPr>
          <w:rFonts w:hint="eastAsia" w:ascii="仿宋_GB2312" w:hAnsi="宋体" w:eastAsia="仿宋_GB2312" w:cs="Times New Roman"/>
          <w:sz w:val="32"/>
          <w:szCs w:val="32"/>
          <w:lang w:val="zh-CN" w:eastAsia="zh-CN"/>
        </w:rPr>
      </w:pPr>
      <w:r>
        <w:rPr>
          <w:rFonts w:hint="eastAsia" w:ascii="仿宋_GB2312" w:hAnsi="宋体" w:eastAsia="仿宋_GB2312" w:cs="Times New Roman"/>
          <w:b/>
          <w:bCs/>
          <w:sz w:val="32"/>
          <w:szCs w:val="32"/>
          <w:lang w:val="zh-CN" w:eastAsia="zh-CN"/>
        </w:rPr>
        <w:t>一是</w:t>
      </w:r>
      <w:r>
        <w:rPr>
          <w:rFonts w:hint="eastAsia" w:ascii="仿宋_GB2312" w:hAnsi="宋体" w:eastAsia="仿宋_GB2312" w:cs="Times New Roman"/>
          <w:sz w:val="32"/>
          <w:szCs w:val="32"/>
          <w:lang w:val="zh-CN" w:eastAsia="zh-CN"/>
        </w:rPr>
        <w:t>强化项目招引。三江新区利州片区已建立并完善三江新区利州片区招商引资项目库，共计24个项目，2019年共招引项目8个，其中亿元以上项目7个，占市考核任务的100％。</w:t>
      </w:r>
      <w:r>
        <w:rPr>
          <w:rFonts w:hint="eastAsia" w:ascii="仿宋_GB2312" w:hAnsi="宋体" w:eastAsia="仿宋_GB2312" w:cs="Times New Roman"/>
          <w:b/>
          <w:bCs/>
          <w:sz w:val="32"/>
          <w:szCs w:val="32"/>
          <w:lang w:val="zh-CN" w:eastAsia="zh-CN"/>
        </w:rPr>
        <w:t>二是</w:t>
      </w:r>
      <w:r>
        <w:rPr>
          <w:rFonts w:hint="eastAsia" w:ascii="仿宋_GB2312" w:hAnsi="宋体" w:eastAsia="仿宋_GB2312" w:cs="Times New Roman"/>
          <w:sz w:val="32"/>
          <w:szCs w:val="32"/>
          <w:lang w:val="zh-CN" w:eastAsia="zh-CN"/>
        </w:rPr>
        <w:t>做好项目储备。三江新区利州片区已制定三年（2019-2021）目标任务，并建立和完善了重大投资项目储备库，共计82个项目。其中基础设施22个，产业发展项目40个，民生及社会事业项目20个。</w:t>
      </w:r>
      <w:r>
        <w:rPr>
          <w:rFonts w:hint="eastAsia" w:ascii="仿宋_GB2312" w:hAnsi="宋体" w:eastAsia="仿宋_GB2312" w:cs="Times New Roman"/>
          <w:b/>
          <w:bCs/>
          <w:sz w:val="32"/>
          <w:szCs w:val="32"/>
          <w:lang w:val="zh-CN" w:eastAsia="zh-CN"/>
        </w:rPr>
        <w:t>三是</w:t>
      </w:r>
      <w:r>
        <w:rPr>
          <w:rFonts w:hint="eastAsia" w:ascii="仿宋_GB2312" w:hAnsi="宋体" w:eastAsia="仿宋_GB2312" w:cs="Times New Roman"/>
          <w:sz w:val="32"/>
          <w:szCs w:val="32"/>
          <w:lang w:val="zh-CN" w:eastAsia="zh-CN"/>
        </w:rPr>
        <w:t>三江新区利州片区按时按量完成市委三江新区办统筹协调的各个工作任务。</w:t>
      </w:r>
    </w:p>
    <w:p>
      <w:pPr>
        <w:spacing w:line="576" w:lineRule="exact"/>
        <w:ind w:firstLine="640" w:firstLineChars="200"/>
        <w:outlineLvl w:val="1"/>
        <w:rPr>
          <w:rFonts w:ascii="黑体" w:hAnsi="宋体" w:eastAsia="黑体"/>
          <w:sz w:val="32"/>
          <w:szCs w:val="32"/>
        </w:rPr>
      </w:pPr>
      <w:bookmarkStart w:id="91" w:name="_Toc3981"/>
      <w:r>
        <w:rPr>
          <w:rFonts w:hint="eastAsia" w:ascii="黑体" w:hAnsi="宋体" w:eastAsia="黑体"/>
          <w:sz w:val="32"/>
          <w:szCs w:val="32"/>
        </w:rPr>
        <w:t>五、评价结论及建议</w:t>
      </w:r>
      <w:bookmarkEnd w:id="91"/>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广元市三江新区开发建设指挥部利州分指挥部专项经费共计</w:t>
      </w:r>
      <w:r>
        <w:rPr>
          <w:rFonts w:hint="eastAsia" w:ascii="仿宋_GB2312" w:hAnsi="宋体" w:eastAsia="仿宋_GB2312"/>
          <w:sz w:val="32"/>
          <w:szCs w:val="32"/>
          <w:lang w:val="en-US" w:eastAsia="zh-CN"/>
        </w:rPr>
        <w:t>8.00</w:t>
      </w:r>
      <w:r>
        <w:rPr>
          <w:rFonts w:hint="eastAsia" w:ascii="仿宋_GB2312" w:hAnsi="宋体" w:eastAsia="仿宋_GB2312"/>
          <w:sz w:val="32"/>
          <w:szCs w:val="32"/>
          <w:lang w:val="zh-CN"/>
        </w:rPr>
        <w:t>万元，资金按要求及时下发，使用规范合理。</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t>合理安排学习计划，加强业务专业性和针对性学习，按财政专项资金管理的有关规定科学地编制项目预算，设定绩效目标。努力完成各项项目指标，确保高质量完成各项目标任务。</w:t>
      </w: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bookmarkStart w:id="92" w:name="_Toc15396618"/>
      <w:bookmarkStart w:id="93" w:name="_Toc30663"/>
      <w:r>
        <w:rPr>
          <w:rFonts w:hint="eastAsia" w:ascii="黑体" w:hAnsi="黑体" w:eastAsia="黑体"/>
          <w:color w:val="000000"/>
          <w:sz w:val="44"/>
          <w:szCs w:val="44"/>
        </w:rPr>
        <w:t>第</w:t>
      </w:r>
      <w:r>
        <w:rPr>
          <w:rStyle w:val="24"/>
          <w:rFonts w:hint="eastAsia" w:ascii="黑体" w:hAnsi="黑体" w:eastAsia="黑体"/>
          <w:b w:val="0"/>
        </w:rPr>
        <w:t>五部分 附表</w:t>
      </w:r>
      <w:bookmarkEnd w:id="81"/>
      <w:bookmarkEnd w:id="92"/>
      <w:bookmarkEnd w:id="93"/>
    </w:p>
    <w:p>
      <w:pPr>
        <w:spacing w:line="600" w:lineRule="exact"/>
        <w:jc w:val="center"/>
        <w:outlineLvl w:val="9"/>
        <w:rPr>
          <w:rFonts w:ascii="仿宋" w:hAnsi="仿宋" w:eastAsia="仿宋"/>
          <w:b/>
          <w:color w:val="000000"/>
          <w:sz w:val="44"/>
          <w:szCs w:val="44"/>
        </w:rPr>
      </w:pPr>
    </w:p>
    <w:p>
      <w:pPr>
        <w:pStyle w:val="3"/>
        <w:rPr>
          <w:rFonts w:ascii="仿宋" w:hAnsi="仿宋" w:eastAsia="仿宋"/>
          <w:color w:val="000000"/>
        </w:rPr>
      </w:pPr>
      <w:bookmarkStart w:id="94" w:name="_Toc7660"/>
      <w:bookmarkStart w:id="95"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94"/>
      <w:bookmarkEnd w:id="95"/>
    </w:p>
    <w:p>
      <w:pPr>
        <w:pStyle w:val="3"/>
        <w:rPr>
          <w:rFonts w:ascii="仿宋" w:hAnsi="仿宋" w:eastAsia="仿宋"/>
          <w:color w:val="000000"/>
        </w:rPr>
      </w:pPr>
      <w:bookmarkStart w:id="96" w:name="_Toc15396620"/>
      <w:bookmarkStart w:id="97" w:name="_Toc4915"/>
      <w:r>
        <w:rPr>
          <w:rFonts w:hint="eastAsia" w:ascii="仿宋" w:hAnsi="仿宋" w:eastAsia="仿宋"/>
          <w:b w:val="0"/>
          <w:color w:val="000000"/>
        </w:rPr>
        <w:t>二、收</w:t>
      </w:r>
      <w:r>
        <w:rPr>
          <w:rStyle w:val="25"/>
          <w:rFonts w:hint="eastAsia" w:ascii="仿宋" w:hAnsi="仿宋" w:eastAsia="仿宋"/>
          <w:b w:val="0"/>
          <w:bCs w:val="0"/>
        </w:rPr>
        <w:t>入决算表</w:t>
      </w:r>
      <w:bookmarkEnd w:id="96"/>
      <w:bookmarkEnd w:id="97"/>
    </w:p>
    <w:p>
      <w:pPr>
        <w:pStyle w:val="3"/>
        <w:rPr>
          <w:rFonts w:ascii="仿宋" w:hAnsi="仿宋" w:eastAsia="仿宋"/>
          <w:color w:val="000000"/>
        </w:rPr>
      </w:pPr>
      <w:bookmarkStart w:id="98" w:name="_Toc12202"/>
      <w:bookmarkStart w:id="9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98"/>
      <w:bookmarkEnd w:id="99"/>
    </w:p>
    <w:p>
      <w:pPr>
        <w:pStyle w:val="3"/>
        <w:rPr>
          <w:rFonts w:ascii="仿宋" w:hAnsi="仿宋" w:eastAsia="仿宋"/>
          <w:b w:val="0"/>
          <w:color w:val="000000"/>
        </w:rPr>
      </w:pPr>
      <w:bookmarkStart w:id="100" w:name="_Toc15396622"/>
      <w:bookmarkStart w:id="101" w:name="_Toc2828"/>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100"/>
      <w:bookmarkEnd w:id="101"/>
    </w:p>
    <w:p>
      <w:pPr>
        <w:pStyle w:val="3"/>
        <w:rPr>
          <w:rStyle w:val="25"/>
          <w:rFonts w:ascii="仿宋" w:hAnsi="仿宋" w:eastAsia="仿宋"/>
          <w:b w:val="0"/>
          <w:bCs w:val="0"/>
        </w:rPr>
      </w:pPr>
      <w:bookmarkStart w:id="102" w:name="_Toc13699"/>
      <w:bookmarkStart w:id="103"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102"/>
      <w:bookmarkEnd w:id="103"/>
      <w:bookmarkStart w:id="104" w:name="_Toc15396624"/>
    </w:p>
    <w:p>
      <w:pPr>
        <w:pStyle w:val="3"/>
        <w:rPr>
          <w:rFonts w:ascii="仿宋" w:hAnsi="仿宋" w:eastAsia="仿宋"/>
          <w:color w:val="000000"/>
        </w:rPr>
      </w:pPr>
      <w:bookmarkStart w:id="105" w:name="_Toc21373"/>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104"/>
      <w:bookmarkEnd w:id="105"/>
    </w:p>
    <w:p>
      <w:pPr>
        <w:pStyle w:val="3"/>
        <w:rPr>
          <w:rFonts w:ascii="仿宋" w:hAnsi="仿宋" w:eastAsia="仿宋"/>
          <w:color w:val="000000"/>
        </w:rPr>
      </w:pPr>
      <w:bookmarkStart w:id="106" w:name="_Toc19565"/>
      <w:bookmarkStart w:id="107"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106"/>
      <w:bookmarkEnd w:id="107"/>
    </w:p>
    <w:p>
      <w:pPr>
        <w:pStyle w:val="3"/>
        <w:rPr>
          <w:rFonts w:ascii="仿宋" w:hAnsi="仿宋" w:eastAsia="仿宋"/>
          <w:color w:val="000000"/>
        </w:rPr>
      </w:pPr>
      <w:bookmarkStart w:id="108" w:name="_Toc13206"/>
      <w:bookmarkStart w:id="10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108"/>
      <w:bookmarkEnd w:id="109"/>
    </w:p>
    <w:p>
      <w:pPr>
        <w:pStyle w:val="3"/>
        <w:rPr>
          <w:rFonts w:ascii="仿宋" w:hAnsi="仿宋" w:eastAsia="仿宋"/>
          <w:color w:val="000000"/>
        </w:rPr>
      </w:pPr>
      <w:bookmarkStart w:id="110" w:name="_Toc15396627"/>
      <w:bookmarkStart w:id="111" w:name="_Toc4573"/>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110"/>
      <w:bookmarkEnd w:id="111"/>
    </w:p>
    <w:p>
      <w:pPr>
        <w:pStyle w:val="3"/>
        <w:rPr>
          <w:rFonts w:ascii="仿宋" w:hAnsi="仿宋" w:eastAsia="仿宋"/>
          <w:color w:val="000000"/>
        </w:rPr>
      </w:pPr>
      <w:bookmarkStart w:id="112" w:name="_Toc1325"/>
      <w:bookmarkStart w:id="113"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12"/>
      <w:bookmarkEnd w:id="113"/>
    </w:p>
    <w:p>
      <w:pPr>
        <w:pStyle w:val="3"/>
        <w:rPr>
          <w:rFonts w:ascii="仿宋" w:hAnsi="仿宋" w:eastAsia="仿宋"/>
          <w:color w:val="000000"/>
        </w:rPr>
      </w:pPr>
      <w:bookmarkStart w:id="114" w:name="_Toc25726"/>
      <w:bookmarkStart w:id="115"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14"/>
      <w:bookmarkEnd w:id="115"/>
    </w:p>
    <w:p>
      <w:pPr>
        <w:pStyle w:val="3"/>
        <w:rPr>
          <w:rFonts w:ascii="仿宋" w:hAnsi="仿宋" w:eastAsia="仿宋"/>
          <w:color w:val="000000"/>
        </w:rPr>
      </w:pPr>
      <w:bookmarkStart w:id="116" w:name="_Toc12219"/>
      <w:bookmarkStart w:id="117"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16"/>
      <w:bookmarkEnd w:id="117"/>
    </w:p>
    <w:p>
      <w:pPr>
        <w:pStyle w:val="3"/>
        <w:rPr>
          <w:rFonts w:ascii="仿宋" w:hAnsi="仿宋" w:eastAsia="仿宋"/>
          <w:color w:val="000000" w:themeColor="text1"/>
          <w14:textFill>
            <w14:solidFill>
              <w14:schemeClr w14:val="tx1"/>
            </w14:solidFill>
          </w14:textFill>
        </w:rPr>
      </w:pPr>
      <w:bookmarkStart w:id="118" w:name="_Toc5032"/>
      <w:bookmarkStart w:id="11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118"/>
      <w:bookmarkEnd w:id="119"/>
    </w:p>
    <w:sectPr>
      <w:footerReference r:id="rId6" w:type="firs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MS PMincho">
    <w:altName w:val="宋体"/>
    <w:panose1 w:val="02020600040205080304"/>
    <w:charset w:val="80"/>
    <w:family w:val="roman"/>
    <w:pitch w:val="default"/>
    <w:sig w:usb0="00000000" w:usb1="00000000"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7CB46"/>
    <w:multiLevelType w:val="singleLevel"/>
    <w:tmpl w:val="AA97CB46"/>
    <w:lvl w:ilvl="0" w:tentative="0">
      <w:start w:val="2"/>
      <w:numFmt w:val="chineseCounting"/>
      <w:suff w:val="nothing"/>
      <w:lvlText w:val="（%1）"/>
      <w:lvlJc w:val="left"/>
      <w:rPr>
        <w:rFonts w:hint="eastAsia"/>
      </w:rPr>
    </w:lvl>
  </w:abstractNum>
  <w:abstractNum w:abstractNumId="1">
    <w:nsid w:val="B73AD157"/>
    <w:multiLevelType w:val="singleLevel"/>
    <w:tmpl w:val="B73AD157"/>
    <w:lvl w:ilvl="0" w:tentative="0">
      <w:start w:val="3"/>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05227CEF"/>
    <w:multiLevelType w:val="singleLevel"/>
    <w:tmpl w:val="05227CEF"/>
    <w:lvl w:ilvl="0" w:tentative="0">
      <w:start w:val="1"/>
      <w:numFmt w:val="decimal"/>
      <w:lvlText w:val="%1."/>
      <w:lvlJc w:val="left"/>
      <w:pPr>
        <w:tabs>
          <w:tab w:val="left" w:pos="312"/>
        </w:tabs>
      </w:pPr>
    </w:lvl>
  </w:abstractNum>
  <w:abstractNum w:abstractNumId="5">
    <w:nsid w:val="100CD632"/>
    <w:multiLevelType w:val="singleLevel"/>
    <w:tmpl w:val="100CD632"/>
    <w:lvl w:ilvl="0" w:tentative="0">
      <w:start w:val="2"/>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3A588AD8"/>
    <w:multiLevelType w:val="singleLevel"/>
    <w:tmpl w:val="3A588AD8"/>
    <w:lvl w:ilvl="0" w:tentative="0">
      <w:start w:val="1"/>
      <w:numFmt w:val="decimal"/>
      <w:lvlText w:val="%1."/>
      <w:lvlJc w:val="left"/>
      <w:pPr>
        <w:tabs>
          <w:tab w:val="left" w:pos="312"/>
        </w:tabs>
      </w:pPr>
    </w:lvl>
  </w:abstractNum>
  <w:num w:numId="1">
    <w:abstractNumId w:val="6"/>
  </w:num>
  <w:num w:numId="2">
    <w:abstractNumId w:val="4"/>
  </w:num>
  <w:num w:numId="3">
    <w:abstractNumId w:val="2"/>
  </w:num>
  <w:num w:numId="4">
    <w:abstractNumId w:val="7"/>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238A"/>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2B9D"/>
    <w:rsid w:val="00FD3CC1"/>
    <w:rsid w:val="00FF1E02"/>
    <w:rsid w:val="00FF30B4"/>
    <w:rsid w:val="016A5CA0"/>
    <w:rsid w:val="022F4917"/>
    <w:rsid w:val="02436A7D"/>
    <w:rsid w:val="02C50649"/>
    <w:rsid w:val="051E04A3"/>
    <w:rsid w:val="05527122"/>
    <w:rsid w:val="07704507"/>
    <w:rsid w:val="08D879AF"/>
    <w:rsid w:val="09236411"/>
    <w:rsid w:val="0A91685A"/>
    <w:rsid w:val="0EC6138C"/>
    <w:rsid w:val="0F3D6EB4"/>
    <w:rsid w:val="0FAF7C9A"/>
    <w:rsid w:val="10C055FF"/>
    <w:rsid w:val="11D77BA0"/>
    <w:rsid w:val="124F3F91"/>
    <w:rsid w:val="13882BBF"/>
    <w:rsid w:val="154C26B0"/>
    <w:rsid w:val="16BB723D"/>
    <w:rsid w:val="18F07C62"/>
    <w:rsid w:val="1A0042DE"/>
    <w:rsid w:val="1B4B62DE"/>
    <w:rsid w:val="1B4D5477"/>
    <w:rsid w:val="1C925ABF"/>
    <w:rsid w:val="1CB93E9B"/>
    <w:rsid w:val="1D3965B7"/>
    <w:rsid w:val="1DB13906"/>
    <w:rsid w:val="1E941FA4"/>
    <w:rsid w:val="1F6A33C5"/>
    <w:rsid w:val="20D61403"/>
    <w:rsid w:val="2348250F"/>
    <w:rsid w:val="240371BF"/>
    <w:rsid w:val="249D7DE6"/>
    <w:rsid w:val="27433C45"/>
    <w:rsid w:val="2850776B"/>
    <w:rsid w:val="28936F1F"/>
    <w:rsid w:val="29391DA1"/>
    <w:rsid w:val="29654A0B"/>
    <w:rsid w:val="29FD04D3"/>
    <w:rsid w:val="2D287710"/>
    <w:rsid w:val="2E0E7302"/>
    <w:rsid w:val="2E752500"/>
    <w:rsid w:val="30344601"/>
    <w:rsid w:val="3041213D"/>
    <w:rsid w:val="3131686C"/>
    <w:rsid w:val="319F7F4E"/>
    <w:rsid w:val="34403AE5"/>
    <w:rsid w:val="353E67AD"/>
    <w:rsid w:val="3ACC0EDA"/>
    <w:rsid w:val="3B993A95"/>
    <w:rsid w:val="3CF646C1"/>
    <w:rsid w:val="3F72664C"/>
    <w:rsid w:val="40055EA4"/>
    <w:rsid w:val="40A17099"/>
    <w:rsid w:val="412C2449"/>
    <w:rsid w:val="41FB15E0"/>
    <w:rsid w:val="424D7543"/>
    <w:rsid w:val="430C5ED8"/>
    <w:rsid w:val="437D7E68"/>
    <w:rsid w:val="44C15006"/>
    <w:rsid w:val="45B91146"/>
    <w:rsid w:val="49503229"/>
    <w:rsid w:val="4B52796C"/>
    <w:rsid w:val="4D4565E9"/>
    <w:rsid w:val="4E783BB5"/>
    <w:rsid w:val="4ECE2238"/>
    <w:rsid w:val="5164300E"/>
    <w:rsid w:val="52D26A5A"/>
    <w:rsid w:val="52E742CE"/>
    <w:rsid w:val="535A1155"/>
    <w:rsid w:val="54D8577A"/>
    <w:rsid w:val="55B34A23"/>
    <w:rsid w:val="55FB1DC6"/>
    <w:rsid w:val="56560A54"/>
    <w:rsid w:val="5B136F65"/>
    <w:rsid w:val="5B3A144C"/>
    <w:rsid w:val="5B4B62B1"/>
    <w:rsid w:val="5CED48F7"/>
    <w:rsid w:val="5DBD0421"/>
    <w:rsid w:val="5E5D0CA1"/>
    <w:rsid w:val="5EA135F3"/>
    <w:rsid w:val="5F4471F7"/>
    <w:rsid w:val="5F6B536D"/>
    <w:rsid w:val="605C6603"/>
    <w:rsid w:val="60A92514"/>
    <w:rsid w:val="63203C6C"/>
    <w:rsid w:val="638F6A89"/>
    <w:rsid w:val="6457014D"/>
    <w:rsid w:val="64881188"/>
    <w:rsid w:val="66D6309F"/>
    <w:rsid w:val="6A9624E2"/>
    <w:rsid w:val="6B702751"/>
    <w:rsid w:val="72734D90"/>
    <w:rsid w:val="74F64B1E"/>
    <w:rsid w:val="7582087F"/>
    <w:rsid w:val="76DB4DDB"/>
    <w:rsid w:val="786517BB"/>
    <w:rsid w:val="798A6060"/>
    <w:rsid w:val="7A72742D"/>
    <w:rsid w:val="7B103062"/>
    <w:rsid w:val="7CD15CAD"/>
    <w:rsid w:val="7D025D6E"/>
    <w:rsid w:val="7DEE59DF"/>
    <w:rsid w:val="7ECE2F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图</a:t>
            </a:r>
            <a:r>
              <a:rPr lang="en-US" altLang="zh-CN"/>
              <a:t>1</a:t>
            </a:r>
            <a:r>
              <a:rPr altLang="en-US"/>
              <a:t>：收、支决算总计变动情况图（单位：万元）</a:t>
            </a:r>
            <a:endParaRPr altLang="en-US"/>
          </a:p>
        </c:rich>
      </c:tx>
      <c:layout>
        <c:manualLayout>
          <c:xMode val="edge"/>
          <c:yMode val="edge"/>
          <c:x val="0.13445318084346"/>
          <c:y val="0.0342150118232168"/>
        </c:manualLayout>
      </c:layout>
      <c:overlay val="false"/>
      <c:spPr>
        <a:noFill/>
        <a:ln>
          <a:noFill/>
        </a:ln>
        <a:effectLst/>
      </c:spPr>
    </c:title>
    <c:autoTitleDeleted val="false"/>
    <c:plotArea>
      <c:layout>
        <c:manualLayout>
          <c:layoutTarget val="inner"/>
          <c:xMode val="edge"/>
          <c:yMode val="edge"/>
          <c:x val="0.0510014399790549"/>
          <c:y val="0.23502011433411"/>
          <c:w val="0.901871972771305"/>
          <c:h val="0.524539487613805"/>
        </c:manualLayout>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75.76</c:v>
                </c:pt>
                <c:pt idx="1">
                  <c:v>65.29</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Sheet1!$C$2:$C$3</c:f>
              <c:numCache>
                <c:formatCode>General</c:formatCode>
                <c:ptCount val="2"/>
                <c:pt idx="0">
                  <c:v>75.76</c:v>
                </c:pt>
                <c:pt idx="1">
                  <c:v>65.29</c:v>
                </c:pt>
              </c:numCache>
            </c:numRef>
          </c:val>
        </c:ser>
        <c:dLbls>
          <c:showLegendKey val="false"/>
          <c:showVal val="false"/>
          <c:showCatName val="false"/>
          <c:showSerName val="false"/>
          <c:showPercent val="false"/>
          <c:showBubbleSize val="false"/>
        </c:dLbls>
        <c:gapWidth val="26"/>
        <c:overlap val="0"/>
        <c:axId val="784754137"/>
        <c:axId val="648389595"/>
      </c:barChart>
      <c:catAx>
        <c:axId val="78475413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8389595"/>
        <c:crosses val="autoZero"/>
        <c:auto val="true"/>
        <c:lblAlgn val="ctr"/>
        <c:lblOffset val="100"/>
        <c:noMultiLvlLbl val="false"/>
      </c:catAx>
      <c:valAx>
        <c:axId val="648389595"/>
        <c:scaling>
          <c:orientation val="minMax"/>
          <c:max val="80"/>
        </c:scaling>
        <c:delete val="false"/>
        <c:axPos val="l"/>
        <c:numFmt formatCode="General" sourceLinked="true"/>
        <c:majorTickMark val="none"/>
        <c:minorTickMark val="none"/>
        <c:tickLblPos val="nextTo"/>
        <c:spPr>
          <a:solidFill>
            <a:schemeClr val="bg1"/>
          </a:solid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475413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：收入决算结构图（单位：万元）</a:t>
            </a:r>
            <a:endParaRPr altLang="en-US"/>
          </a:p>
        </c:rich>
      </c:tx>
      <c:layout/>
      <c:overlay val="false"/>
      <c:spPr>
        <a:noFill/>
        <a:ln>
          <a:noFill/>
        </a:ln>
        <a:effectLst/>
      </c:spPr>
    </c:title>
    <c:autoTitleDeleted val="false"/>
    <c:plotArea>
      <c:layout>
        <c:manualLayout>
          <c:layoutTarget val="inner"/>
          <c:xMode val="edge"/>
          <c:yMode val="edge"/>
          <c:x val="0.0673010380622837"/>
          <c:y val="0.205344585091421"/>
          <c:w val="0.451557093425606"/>
          <c:h val="0.734177215189873"/>
        </c:manualLayout>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dLbl>
              <c:idx val="0"/>
              <c:layout>
                <c:manualLayout>
                  <c:x val="-0.0986165611790605"/>
                  <c:y val="-0.34452507492141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delete val="true"/>
            </c:dLbl>
            <c:dLbl>
              <c:idx val="2"/>
              <c:delete val="true"/>
            </c:dLbl>
            <c:dLbl>
              <c:idx val="3"/>
              <c:delete val="true"/>
            </c:dLbl>
            <c:dLbl>
              <c:idx val="4"/>
              <c:delete val="true"/>
            </c:dLbl>
            <c:dLbl>
              <c:idx val="5"/>
              <c:delete val="true"/>
            </c:dLbl>
            <c:dLbl>
              <c:idx val="6"/>
              <c:delete val="true"/>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65.29</c:v>
                </c:pt>
                <c:pt idx="1">
                  <c:v>0</c:v>
                </c:pt>
                <c:pt idx="2">
                  <c:v>0</c:v>
                </c:pt>
                <c:pt idx="3">
                  <c:v>0</c:v>
                </c:pt>
                <c:pt idx="4">
                  <c:v>0</c:v>
                </c:pt>
                <c:pt idx="5">
                  <c:v>0</c:v>
                </c:pt>
                <c:pt idx="6">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573702422145329"/>
          <c:y val="0.162025316455696"/>
          <c:w val="0.407266435986159"/>
          <c:h val="0.73670886075949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3</a:t>
            </a:r>
            <a:r>
              <a:rPr altLang="en-US"/>
              <a:t>：支出决算结构图（单位：万元）</a:t>
            </a:r>
            <a:endParaRPr altLang="en-US"/>
          </a:p>
        </c:rich>
      </c:tx>
      <c:layout/>
      <c:overlay val="false"/>
      <c:spPr>
        <a:noFill/>
        <a:ln>
          <a:noFill/>
        </a:ln>
        <a:effectLst/>
      </c:spPr>
    </c:title>
    <c:autoTitleDeleted val="false"/>
    <c:plotArea>
      <c:layout>
        <c:manualLayout>
          <c:layoutTarget val="inner"/>
          <c:xMode val="edge"/>
          <c:yMode val="edge"/>
          <c:x val="0.143270024772915"/>
          <c:y val="0.234616327531258"/>
          <c:w val="0.363886595100468"/>
          <c:h val="0.648198087766609"/>
        </c:manualLayout>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53.09</c:v>
                </c:pt>
                <c:pt idx="1">
                  <c:v>12.2</c:v>
                </c:pt>
                <c:pt idx="2">
                  <c:v>0</c:v>
                </c:pt>
                <c:pt idx="3">
                  <c:v>0</c:v>
                </c:pt>
                <c:pt idx="4">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637692232424627"/>
          <c:y val="0.192465167498705"/>
          <c:w val="0.351368454358488"/>
          <c:h val="0.68339575530586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：财政拨款收、支决算总计变动情况（单位：万元）</a:t>
            </a:r>
            <a:endParaRPr altLang="en-US"/>
          </a:p>
        </c:rich>
      </c:tx>
      <c:layout>
        <c:manualLayout>
          <c:xMode val="edge"/>
          <c:yMode val="edge"/>
          <c:x val="0.100023140113387"/>
          <c:y val="0.0334634690462911"/>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75.76</c:v>
                </c:pt>
                <c:pt idx="1">
                  <c:v>65.29</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Sheet1!$C$2:$C$3</c:f>
              <c:numCache>
                <c:formatCode>General</c:formatCode>
                <c:ptCount val="2"/>
                <c:pt idx="0">
                  <c:v>75.76</c:v>
                </c:pt>
                <c:pt idx="1">
                  <c:v>65.29</c:v>
                </c:pt>
              </c:numCache>
            </c:numRef>
          </c:val>
        </c:ser>
        <c:dLbls>
          <c:showLegendKey val="false"/>
          <c:showVal val="true"/>
          <c:showCatName val="false"/>
          <c:showSerName val="false"/>
          <c:showPercent val="false"/>
          <c:showBubbleSize val="false"/>
        </c:dLbls>
        <c:gapWidth val="107"/>
        <c:overlap val="2"/>
        <c:axId val="991285098"/>
        <c:axId val="854913959"/>
      </c:barChart>
      <c:catAx>
        <c:axId val="99128509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54913959"/>
        <c:crosses val="autoZero"/>
        <c:auto val="true"/>
        <c:lblAlgn val="ctr"/>
        <c:lblOffset val="100"/>
        <c:noMultiLvlLbl val="false"/>
      </c:catAx>
      <c:valAx>
        <c:axId val="854913959"/>
        <c:scaling>
          <c:orientation val="minMax"/>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128509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图</a:t>
            </a:r>
            <a:r>
              <a:rPr lang="en-US" altLang="zh-CN"/>
              <a:t>5</a:t>
            </a:r>
            <a:r>
              <a:rPr altLang="en-US"/>
              <a:t>：</a:t>
            </a:r>
            <a:r>
              <a:t>一般公共预算财政拨款支出决算变动情况</a:t>
            </a:r>
          </a:p>
          <a:p>
            <a:pPr defTabSz="914400">
              <a:defRPr lang="zh-CN" sz="1400" b="0" i="0" u="none" strike="noStrike" kern="1200" spc="0" baseline="0">
                <a:solidFill>
                  <a:schemeClr val="tx1">
                    <a:lumMod val="65000"/>
                    <a:lumOff val="35000"/>
                  </a:schemeClr>
                </a:solidFill>
                <a:latin typeface="+mn-lt"/>
                <a:ea typeface="+mn-ea"/>
                <a:cs typeface="+mn-cs"/>
              </a:defRPr>
            </a:pPr>
            <a:r>
              <a:t>                                                                             </a:t>
            </a:r>
            <a:r>
              <a:rPr sz="1050"/>
              <a:t>（单位：万元）</a:t>
            </a:r>
            <a:endParaRPr lang="en-US" altLang="zh-CN" sz="1050"/>
          </a:p>
        </c:rich>
      </c:tx>
      <c:layout>
        <c:manualLayout>
          <c:xMode val="edge"/>
          <c:yMode val="edge"/>
          <c:x val="0.0413373227297246"/>
          <c:y val="0.0333133692860543"/>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一般公共预算财政拨款支出</c:v>
                </c:pt>
              </c:strCache>
            </c:strRef>
          </c:tx>
          <c:spPr>
            <a:solidFill>
              <a:schemeClr val="accent1"/>
            </a:solidFill>
            <a:ln>
              <a:noFill/>
            </a:ln>
            <a:effectLst/>
          </c:spPr>
          <c:invertIfNegative val="false"/>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75.76</c:v>
                </c:pt>
                <c:pt idx="1">
                  <c:v>65.29</c:v>
                </c:pt>
              </c:numCache>
            </c:numRef>
          </c:val>
        </c:ser>
        <c:dLbls>
          <c:showLegendKey val="false"/>
          <c:showVal val="false"/>
          <c:showCatName val="false"/>
          <c:showSerName val="false"/>
          <c:showPercent val="false"/>
          <c:showBubbleSize val="false"/>
        </c:dLbls>
        <c:gapWidth val="148"/>
        <c:overlap val="-55"/>
        <c:axId val="811648551"/>
        <c:axId val="115423597"/>
      </c:barChart>
      <c:catAx>
        <c:axId val="81164855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5423597"/>
        <c:crosses val="autoZero"/>
        <c:auto val="true"/>
        <c:lblAlgn val="ctr"/>
        <c:lblOffset val="100"/>
        <c:noMultiLvlLbl val="false"/>
      </c:catAx>
      <c:valAx>
        <c:axId val="115423597"/>
        <c:scaling>
          <c:orientation val="minMax"/>
          <c:min val="0"/>
        </c:scaling>
        <c:delete val="false"/>
        <c:axPos val="l"/>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11648551"/>
        <c:crosses val="autoZero"/>
        <c:crossBetween val="between"/>
      </c:valAx>
      <c:spPr>
        <a:noFill/>
        <a:ln>
          <a:noFill/>
        </a:ln>
        <a:effectLst/>
      </c:spPr>
    </c:plotArea>
    <c:legend>
      <c:legendPos val="b"/>
      <c:layout>
        <c:manualLayout>
          <c:xMode val="edge"/>
          <c:yMode val="edge"/>
          <c:x val="0.335990888382688"/>
          <c:y val="0.860829493087558"/>
          <c:w val="0.356492027334852"/>
          <c:h val="0.10230414746543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6</a:t>
            </a:r>
            <a:r>
              <a:rPr altLang="en-US"/>
              <a:t>：</a:t>
            </a:r>
            <a:r>
              <a:t>一般公共预算财政拨款支出决算结构（单位：万元）</a:t>
            </a:r>
            <a:endParaRPr lang="en-US" altLang="zh-CN"/>
          </a:p>
        </c:rich>
      </c:tx>
      <c:layout>
        <c:manualLayout>
          <c:xMode val="edge"/>
          <c:yMode val="edge"/>
          <c:x val="0.123518397818425"/>
          <c:y val="0.0436435514247564"/>
        </c:manualLayout>
      </c:layout>
      <c:overlay val="false"/>
      <c:spPr>
        <a:noFill/>
        <a:ln>
          <a:noFill/>
        </a:ln>
        <a:effectLst/>
      </c:spPr>
    </c:title>
    <c:autoTitleDeleted val="false"/>
    <c:plotArea>
      <c:layout>
        <c:manualLayout>
          <c:layoutTarget val="inner"/>
          <c:xMode val="edge"/>
          <c:yMode val="edge"/>
          <c:x val="0.145257765927411"/>
          <c:y val="0.213843851197429"/>
          <c:w val="0.46955579631636"/>
          <c:h val="0.717074784910655"/>
        </c:manualLayout>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dLbl>
              <c:idx val="0"/>
              <c:layout>
                <c:manualLayout>
                  <c:x val="0.114727806883133"/>
                  <c:y val="-0.32223832529737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040260620084703"/>
                  <c:y val="0.022792624096434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00228587092409704"/>
                  <c:y val="0.012131172410370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c:v>
                </c:pt>
                <c:pt idx="1">
                  <c:v>教育支出</c:v>
                </c:pt>
                <c:pt idx="2">
                  <c:v>科学技术</c:v>
                </c:pt>
                <c:pt idx="3">
                  <c:v>文化旅游体育与传媒</c:v>
                </c:pt>
                <c:pt idx="4">
                  <c:v>社会保障和就业</c:v>
                </c:pt>
                <c:pt idx="5">
                  <c:v>卫生健康支出</c:v>
                </c:pt>
                <c:pt idx="6">
                  <c:v>住房保障支出</c:v>
                </c:pt>
                <c:pt idx="7">
                  <c:v>农林水支出</c:v>
                </c:pt>
              </c:strCache>
            </c:strRef>
          </c:cat>
          <c:val>
            <c:numRef>
              <c:f>Sheet1!$B$2:$B$9</c:f>
              <c:numCache>
                <c:formatCode>General</c:formatCode>
                <c:ptCount val="8"/>
                <c:pt idx="0">
                  <c:v>39.79</c:v>
                </c:pt>
                <c:pt idx="1">
                  <c:v>0</c:v>
                </c:pt>
                <c:pt idx="2">
                  <c:v>0</c:v>
                </c:pt>
                <c:pt idx="3">
                  <c:v>0</c:v>
                </c:pt>
                <c:pt idx="4">
                  <c:v>3.6</c:v>
                </c:pt>
                <c:pt idx="5">
                  <c:v>1.52</c:v>
                </c:pt>
                <c:pt idx="6">
                  <c:v>2.3</c:v>
                </c:pt>
                <c:pt idx="7">
                  <c:v>0.7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668147345612134"/>
          <c:y val="0.203342157511582"/>
          <c:w val="0.307367280606717"/>
          <c:h val="0.52465254798146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10</TotalTime>
  <ScaleCrop>false</ScaleCrop>
  <LinksUpToDate>false</LinksUpToDate>
  <CharactersWithSpaces>8536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2020-07-23T10:58:00Z</cp:lastPrinted>
  <dcterms:modified xsi:type="dcterms:W3CDTF">2023-07-14T10:38:54Z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