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000000"/>
          <w:sz w:val="30"/>
          <w:szCs w:val="30"/>
        </w:rPr>
      </w:pPr>
      <w:bookmarkStart w:id="94" w:name="_GoBack"/>
      <w:bookmarkEnd w:id="94"/>
      <w:bookmarkStart w:id="0" w:name="_Toc20734"/>
      <w:bookmarkStart w:id="1" w:name="_Toc15306267"/>
      <w:r>
        <w:rPr>
          <w:rFonts w:hint="eastAsia" w:ascii="方正小标宋简体" w:hAnsi="宋体" w:eastAsia="方正小标宋简体"/>
          <w:color w:val="000000"/>
          <w:sz w:val="30"/>
          <w:szCs w:val="30"/>
        </w:rPr>
        <w:t>附件</w:t>
      </w:r>
      <w:r>
        <w:rPr>
          <w:rFonts w:ascii="方正小标宋简体" w:hAnsi="宋体" w:eastAsia="方正小标宋简体"/>
          <w:color w:val="000000"/>
          <w:sz w:val="30"/>
          <w:szCs w:val="30"/>
        </w:rPr>
        <w:t>4</w:t>
      </w:r>
      <w:bookmarkEnd w:id="0"/>
    </w:p>
    <w:p>
      <w:pPr>
        <w:tabs>
          <w:tab w:val="left" w:pos="2698"/>
        </w:tabs>
        <w:spacing w:line="600" w:lineRule="exact"/>
        <w:jc w:val="left"/>
        <w:outlineLvl w:val="9"/>
        <w:rPr>
          <w:rFonts w:hint="eastAsia" w:ascii="方正小标宋简体" w:hAnsi="宋体" w:eastAsia="方正小标宋简体"/>
          <w:color w:val="000000"/>
          <w:sz w:val="72"/>
          <w:szCs w:val="72"/>
          <w:lang w:eastAsia="zh-CN"/>
        </w:rPr>
      </w:pPr>
      <w:r>
        <w:rPr>
          <w:rFonts w:hint="eastAsia" w:ascii="方正小标宋简体" w:hAnsi="宋体" w:eastAsia="方正小标宋简体"/>
          <w:color w:val="000000"/>
          <w:sz w:val="72"/>
          <w:szCs w:val="72"/>
          <w:lang w:eastAsia="zh-CN"/>
        </w:rPr>
        <w:tab/>
      </w:r>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2" w:name="_Toc15378441"/>
      <w:bookmarkStart w:id="3" w:name="_Toc15377193"/>
      <w:bookmarkStart w:id="4" w:name="_Toc15396597"/>
      <w:bookmarkStart w:id="5" w:name="_Toc15396475"/>
      <w:bookmarkStart w:id="6" w:name="_Toc15377425"/>
      <w:bookmarkStart w:id="7" w:name="_Toc9834"/>
      <w:r>
        <w:rPr>
          <w:rFonts w:ascii="黑体" w:hAnsi="黑体" w:eastAsia="黑体"/>
          <w:color w:val="000000"/>
          <w:sz w:val="72"/>
          <w:szCs w:val="72"/>
        </w:rPr>
        <w:t>2020</w:t>
      </w:r>
      <w:r>
        <w:rPr>
          <w:rFonts w:hint="eastAsia" w:ascii="方正小标宋简体" w:hAnsi="宋体" w:eastAsia="方正小标宋简体"/>
          <w:color w:val="000000"/>
          <w:sz w:val="72"/>
          <w:szCs w:val="72"/>
        </w:rPr>
        <w:t>年度</w:t>
      </w:r>
      <w:bookmarkEnd w:id="2"/>
      <w:bookmarkEnd w:id="3"/>
      <w:bookmarkEnd w:id="4"/>
      <w:bookmarkEnd w:id="5"/>
      <w:bookmarkEnd w:id="6"/>
      <w:bookmarkEnd w:id="7"/>
    </w:p>
    <w:p>
      <w:pPr>
        <w:adjustRightInd w:val="0"/>
        <w:snapToGrid w:val="0"/>
        <w:spacing w:line="360" w:lineRule="auto"/>
        <w:jc w:val="center"/>
        <w:outlineLvl w:val="0"/>
        <w:rPr>
          <w:rFonts w:ascii="方正小标宋简体" w:hAnsi="宋体" w:eastAsia="方正小标宋简体"/>
          <w:color w:val="000000"/>
          <w:sz w:val="72"/>
          <w:szCs w:val="72"/>
        </w:rPr>
      </w:pPr>
      <w:bookmarkStart w:id="8" w:name="_Toc15396476"/>
      <w:bookmarkStart w:id="9" w:name="_Toc15378442"/>
      <w:bookmarkStart w:id="10" w:name="_Toc15377194"/>
      <w:bookmarkStart w:id="11" w:name="_Toc3712"/>
      <w:bookmarkStart w:id="12" w:name="_Toc15377426"/>
      <w:bookmarkStart w:id="13" w:name="_Toc15396598"/>
      <w:r>
        <w:rPr>
          <w:rFonts w:hint="eastAsia" w:ascii="方正小标宋简体" w:hAnsi="宋体" w:eastAsia="方正小标宋简体"/>
          <w:color w:val="000000"/>
          <w:sz w:val="72"/>
          <w:szCs w:val="72"/>
        </w:rPr>
        <w:t>四川省</w:t>
      </w:r>
      <w:bookmarkEnd w:id="1"/>
      <w:bookmarkStart w:id="14" w:name="_Toc15306268"/>
      <w:r>
        <w:rPr>
          <w:rFonts w:hint="eastAsia" w:ascii="方正小标宋简体" w:hAnsi="宋体" w:eastAsia="方正小标宋简体"/>
          <w:color w:val="000000"/>
          <w:sz w:val="72"/>
          <w:szCs w:val="72"/>
          <w:lang w:eastAsia="zh-CN"/>
        </w:rPr>
        <w:t>广元市利州区司法局</w:t>
      </w:r>
      <w:r>
        <w:rPr>
          <w:rFonts w:hint="eastAsia" w:ascii="方正小标宋简体" w:hAnsi="宋体" w:eastAsia="方正小标宋简体"/>
          <w:color w:val="000000"/>
          <w:sz w:val="72"/>
          <w:szCs w:val="72"/>
        </w:rPr>
        <w:t>部门决算</w:t>
      </w:r>
      <w:bookmarkEnd w:id="8"/>
      <w:bookmarkEnd w:id="9"/>
      <w:bookmarkEnd w:id="10"/>
      <w:bookmarkEnd w:id="11"/>
      <w:bookmarkEnd w:id="12"/>
      <w:bookmarkEnd w:id="13"/>
      <w:bookmarkEnd w:id="14"/>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bookmarkStart w:id="15" w:name="_Toc15377196"/>
      <w:bookmarkStart w:id="16" w:name="_Toc15396599"/>
    </w:p>
    <w:sdt>
      <w:sdtPr>
        <w:rPr>
          <w:rFonts w:ascii="宋体" w:hAnsi="宋体" w:eastAsia="宋体" w:cs="Times New Roman"/>
          <w:kern w:val="2"/>
          <w:sz w:val="21"/>
          <w:szCs w:val="24"/>
          <w:lang w:val="en-US" w:eastAsia="zh-CN" w:bidi="ar-SA"/>
        </w:rPr>
        <w:id w:val="147457190"/>
        <w15:color w:val="DBDBDB"/>
        <w:docPartObj>
          <w:docPartGallery w:val="Table of Contents"/>
          <w:docPartUnique/>
        </w:docPartObj>
      </w:sdtPr>
      <w:sdtEndPr>
        <w:rPr>
          <w:rFonts w:ascii="仿宋" w:hAnsi="仿宋" w:eastAsia="仿宋" w:cs="Times New Roman"/>
          <w:bCs/>
          <w:kern w:val="44"/>
          <w:sz w:val="21"/>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21"/>
            </w:rPr>
          </w:pPr>
          <w:r>
            <w:rPr>
              <w:rFonts w:hint="eastAsia" w:ascii="黑体" w:hAnsi="黑体" w:eastAsia="黑体" w:cs="黑体"/>
              <w:sz w:val="48"/>
              <w:szCs w:val="48"/>
            </w:rPr>
            <w:t>目录</w:t>
          </w:r>
        </w:p>
        <w:p>
          <w:pPr>
            <w:pStyle w:val="12"/>
          </w:pPr>
          <w:r>
            <w:rPr>
              <w:rFonts w:hint="eastAsia"/>
            </w:rPr>
            <w:t>公开时间：</w:t>
          </w:r>
          <w:r>
            <w:t>2021</w:t>
          </w:r>
          <w:r>
            <w:rPr>
              <w:rFonts w:hint="eastAsia"/>
            </w:rPr>
            <w:t xml:space="preserve">年 </w:t>
          </w:r>
          <w:r>
            <w:rPr>
              <w:rFonts w:hint="eastAsia"/>
              <w:lang w:val="en-US" w:eastAsia="zh-CN"/>
            </w:rPr>
            <w:t>9</w:t>
          </w:r>
          <w:r>
            <w:rPr>
              <w:rFonts w:hint="eastAsia"/>
            </w:rPr>
            <w:t>月</w:t>
          </w:r>
          <w:r>
            <w:rPr>
              <w:rFonts w:hint="eastAsia"/>
              <w:lang w:val="en-US" w:eastAsia="zh-CN"/>
            </w:rPr>
            <w:t>29</w:t>
          </w:r>
          <w:r>
            <w:rPr>
              <w:rFonts w:hint="eastAsia"/>
            </w:rPr>
            <w:t xml:space="preserve"> 日</w:t>
          </w:r>
        </w:p>
        <w:p>
          <w:pPr>
            <w:pStyle w:val="2"/>
          </w:pPr>
        </w:p>
        <w:p>
          <w:pPr>
            <w:pStyle w:val="34"/>
            <w:tabs>
              <w:tab w:val="right" w:leader="dot" w:pos="8306"/>
            </w:tabs>
            <w:rPr>
              <w:rFonts w:ascii="仿宋" w:hAnsi="仿宋" w:eastAsia="仿宋"/>
              <w:bCs/>
              <w:kern w:val="44"/>
            </w:rPr>
          </w:pPr>
          <w:r>
            <w:rPr>
              <w:rFonts w:ascii="仿宋" w:hAnsi="仿宋" w:eastAsia="仿宋"/>
              <w:bCs/>
              <w:kern w:val="44"/>
              <w:sz w:val="24"/>
            </w:rPr>
            <w:fldChar w:fldCharType="begin"/>
          </w:r>
          <w:r>
            <w:rPr>
              <w:rFonts w:ascii="仿宋" w:hAnsi="仿宋" w:eastAsia="仿宋"/>
              <w:bCs/>
              <w:kern w:val="44"/>
              <w:sz w:val="24"/>
            </w:rPr>
            <w:instrText xml:space="preserve">TOC \o "1-1" \h \u </w:instrText>
          </w:r>
          <w:r>
            <w:rPr>
              <w:rFonts w:ascii="仿宋" w:hAnsi="仿宋" w:eastAsia="仿宋"/>
              <w:bCs/>
              <w:kern w:val="44"/>
              <w:sz w:val="24"/>
            </w:rPr>
            <w:fldChar w:fldCharType="separate"/>
          </w:r>
          <w:r>
            <w:rPr>
              <w:rFonts w:ascii="仿宋" w:hAnsi="仿宋" w:eastAsia="仿宋"/>
              <w:bCs/>
              <w:kern w:val="44"/>
            </w:rPr>
            <w:fldChar w:fldCharType="begin"/>
          </w:r>
          <w:r>
            <w:rPr>
              <w:rFonts w:ascii="仿宋" w:hAnsi="仿宋" w:eastAsia="仿宋"/>
              <w:bCs/>
              <w:kern w:val="44"/>
            </w:rPr>
            <w:instrText xml:space="preserve"> HYPERLINK \l _Toc19419 </w:instrText>
          </w:r>
          <w:r>
            <w:rPr>
              <w:rFonts w:ascii="仿宋" w:hAnsi="仿宋" w:eastAsia="仿宋"/>
              <w:bCs/>
              <w:kern w:val="44"/>
            </w:rPr>
            <w:fldChar w:fldCharType="separate"/>
          </w:r>
          <w:r>
            <w:rPr>
              <w:rFonts w:hint="eastAsia" w:ascii="黑体" w:hAnsi="黑体" w:eastAsia="黑体"/>
            </w:rPr>
            <w:t>第一部分</w:t>
          </w:r>
          <w:r>
            <w:rPr>
              <w:rFonts w:ascii="黑体" w:hAnsi="黑体" w:eastAsia="黑体"/>
            </w:rPr>
            <w:t xml:space="preserve"> </w:t>
          </w:r>
          <w:r>
            <w:rPr>
              <w:rFonts w:hint="eastAsia" w:ascii="黑体" w:hAnsi="黑体" w:eastAsia="黑体"/>
              <w:bCs w:val="0"/>
            </w:rPr>
            <w:t>部门概况</w:t>
          </w:r>
          <w:r>
            <w:tab/>
          </w:r>
          <w:r>
            <w:rPr>
              <w:rFonts w:hint="eastAsia"/>
              <w:lang w:val="en-US" w:eastAsia="zh-CN"/>
            </w:rPr>
            <w:t>2</w:t>
          </w:r>
          <w:r>
            <w:rPr>
              <w:rFonts w:ascii="仿宋" w:hAnsi="仿宋" w:eastAsia="仿宋"/>
              <w:bCs/>
              <w:kern w:val="44"/>
            </w:rPr>
            <w:fldChar w:fldCharType="end"/>
          </w:r>
        </w:p>
        <w:p>
          <w:pPr>
            <w:pStyle w:val="34"/>
            <w:tabs>
              <w:tab w:val="right" w:leader="dot" w:pos="8306"/>
            </w:tabs>
            <w:rPr>
              <w:rFonts w:hint="eastAsia"/>
              <w:lang w:val="en-US" w:eastAsia="zh-CN"/>
            </w:rPr>
          </w:pPr>
          <w:r>
            <w:rPr>
              <w:rFonts w:hint="eastAsia" w:ascii="仿宋" w:hAnsi="仿宋" w:eastAsia="仿宋"/>
              <w:bCs/>
              <w:kern w:val="44"/>
            </w:rPr>
            <w:t>一、基本职能及主要工作</w:t>
          </w:r>
          <w:r>
            <w:tab/>
          </w:r>
          <w:r>
            <w:rPr>
              <w:rFonts w:hint="eastAsia"/>
              <w:lang w:val="en-US" w:eastAsia="zh-CN"/>
            </w:rPr>
            <w:t>2</w:t>
          </w:r>
        </w:p>
        <w:p>
          <w:pPr>
            <w:pStyle w:val="34"/>
            <w:tabs>
              <w:tab w:val="right" w:leader="dot" w:pos="8306"/>
            </w:tabs>
            <w:rPr>
              <w:rFonts w:hint="eastAsia" w:eastAsia="宋体"/>
              <w:lang w:val="en-US" w:eastAsia="zh-CN"/>
            </w:rPr>
          </w:pPr>
          <w:r>
            <w:rPr>
              <w:rFonts w:hint="eastAsia"/>
              <w:lang w:val="en-US" w:eastAsia="zh-CN"/>
            </w:rPr>
            <w:t>二、机构设置</w:t>
          </w:r>
          <w:r>
            <w:tab/>
          </w:r>
          <w:r>
            <w:rPr>
              <w:rFonts w:hint="eastAsia"/>
              <w:lang w:val="en-US" w:eastAsia="zh-CN"/>
            </w:rPr>
            <w:t>9</w:t>
          </w:r>
        </w:p>
        <w:p>
          <w:pPr>
            <w:pStyle w:val="34"/>
            <w:tabs>
              <w:tab w:val="right" w:leader="dot" w:pos="8306"/>
            </w:tabs>
            <w:rPr>
              <w:rFonts w:ascii="仿宋" w:hAnsi="仿宋" w:eastAsia="仿宋"/>
              <w:bCs/>
              <w:kern w:val="44"/>
            </w:rPr>
          </w:pPr>
          <w:r>
            <w:rPr>
              <w:rFonts w:ascii="仿宋" w:hAnsi="仿宋" w:eastAsia="仿宋"/>
              <w:bCs/>
              <w:kern w:val="44"/>
            </w:rPr>
            <w:fldChar w:fldCharType="begin"/>
          </w:r>
          <w:r>
            <w:rPr>
              <w:rFonts w:ascii="仿宋" w:hAnsi="仿宋" w:eastAsia="仿宋"/>
              <w:bCs/>
              <w:kern w:val="44"/>
            </w:rPr>
            <w:instrText xml:space="preserve"> HYPERLINK \l _Toc26342 </w:instrText>
          </w:r>
          <w:r>
            <w:rPr>
              <w:rFonts w:ascii="仿宋" w:hAnsi="仿宋" w:eastAsia="仿宋"/>
              <w:bCs/>
              <w:kern w:val="44"/>
            </w:rPr>
            <w:fldChar w:fldCharType="separate"/>
          </w:r>
          <w:r>
            <w:rPr>
              <w:rFonts w:hint="eastAsia" w:ascii="黑体" w:hAnsi="黑体" w:eastAsia="黑体"/>
            </w:rPr>
            <w:t>第二部分</w:t>
          </w:r>
          <w:r>
            <w:rPr>
              <w:rFonts w:ascii="黑体" w:hAnsi="黑体" w:eastAsia="黑体"/>
            </w:rPr>
            <w:t xml:space="preserve"> </w:t>
          </w:r>
          <w:r>
            <w:rPr>
              <w:rFonts w:ascii="黑体" w:hAnsi="黑体" w:eastAsia="黑体"/>
              <w:bCs w:val="0"/>
            </w:rPr>
            <w:t>2020</w:t>
          </w:r>
          <w:r>
            <w:rPr>
              <w:rFonts w:hint="eastAsia" w:ascii="黑体" w:hAnsi="黑体" w:eastAsia="黑体"/>
              <w:bCs w:val="0"/>
            </w:rPr>
            <w:t>年度部门决算情况说明</w:t>
          </w:r>
          <w:r>
            <w:tab/>
          </w:r>
          <w:r>
            <w:rPr>
              <w:rFonts w:hint="eastAsia"/>
              <w:lang w:val="en-US" w:eastAsia="zh-CN"/>
            </w:rPr>
            <w:t>9</w:t>
          </w:r>
          <w:r>
            <w:rPr>
              <w:rFonts w:ascii="仿宋" w:hAnsi="仿宋" w:eastAsia="仿宋"/>
              <w:bCs/>
              <w:kern w:val="44"/>
            </w:rPr>
            <w:fldChar w:fldCharType="end"/>
          </w:r>
        </w:p>
        <w:p>
          <w:pPr>
            <w:pStyle w:val="34"/>
            <w:tabs>
              <w:tab w:val="right" w:leader="dot" w:pos="8306"/>
            </w:tabs>
            <w:rPr>
              <w:rFonts w:hint="eastAsia"/>
              <w:lang w:val="en-US" w:eastAsia="zh-CN"/>
            </w:rPr>
          </w:pPr>
          <w:r>
            <w:rPr>
              <w:rFonts w:hint="eastAsia" w:ascii="仿宋" w:hAnsi="仿宋" w:eastAsia="仿宋"/>
              <w:bCs/>
              <w:kern w:val="44"/>
              <w:lang w:eastAsia="zh-CN"/>
            </w:rPr>
            <w:t>一、</w:t>
          </w:r>
          <w:r>
            <w:rPr>
              <w:rFonts w:hint="eastAsia" w:ascii="仿宋" w:hAnsi="仿宋" w:eastAsia="仿宋"/>
              <w:bCs/>
              <w:kern w:val="44"/>
            </w:rPr>
            <w:t>收入支出决算总体情况说明</w:t>
          </w:r>
          <w:r>
            <w:tab/>
          </w:r>
          <w:r>
            <w:rPr>
              <w:rFonts w:hint="eastAsia"/>
              <w:lang w:val="en-US" w:eastAsia="zh-CN"/>
            </w:rPr>
            <w:t>9</w:t>
          </w:r>
        </w:p>
        <w:p>
          <w:pPr>
            <w:pStyle w:val="34"/>
            <w:tabs>
              <w:tab w:val="right" w:leader="dot" w:pos="8306"/>
            </w:tabs>
            <w:rPr>
              <w:rFonts w:hint="eastAsia"/>
              <w:lang w:val="en-US" w:eastAsia="zh-CN"/>
            </w:rPr>
          </w:pPr>
          <w:r>
            <w:rPr>
              <w:rFonts w:hint="eastAsia"/>
              <w:lang w:val="en-US" w:eastAsia="zh-CN"/>
            </w:rPr>
            <w:t>二、收入决算情况说明</w:t>
          </w:r>
          <w:r>
            <w:tab/>
          </w:r>
          <w:r>
            <w:rPr>
              <w:rFonts w:hint="eastAsia"/>
              <w:lang w:val="en-US" w:eastAsia="zh-CN"/>
            </w:rPr>
            <w:t>10</w:t>
          </w:r>
        </w:p>
        <w:p>
          <w:pPr>
            <w:pStyle w:val="34"/>
            <w:tabs>
              <w:tab w:val="right" w:leader="dot" w:pos="8306"/>
            </w:tabs>
            <w:rPr>
              <w:rFonts w:hint="eastAsia"/>
              <w:lang w:val="en-US" w:eastAsia="zh-CN"/>
            </w:rPr>
          </w:pPr>
          <w:r>
            <w:rPr>
              <w:rFonts w:hint="default"/>
              <w:lang w:val="en-US" w:eastAsia="zh-CN"/>
            </w:rPr>
            <w:t>三、支出决算情况说明</w:t>
          </w:r>
          <w:r>
            <w:tab/>
          </w:r>
          <w:r>
            <w:rPr>
              <w:rFonts w:hint="eastAsia"/>
              <w:lang w:val="en-US" w:eastAsia="zh-CN"/>
            </w:rPr>
            <w:t>11</w:t>
          </w:r>
        </w:p>
        <w:p>
          <w:pPr>
            <w:pStyle w:val="34"/>
            <w:tabs>
              <w:tab w:val="right" w:leader="dot" w:pos="8306"/>
            </w:tabs>
            <w:rPr>
              <w:rFonts w:hint="eastAsia"/>
              <w:lang w:val="en-US" w:eastAsia="zh-CN"/>
            </w:rPr>
          </w:pPr>
          <w:r>
            <w:rPr>
              <w:rFonts w:hint="default"/>
              <w:lang w:val="en-US" w:eastAsia="zh-CN"/>
            </w:rPr>
            <w:t>四、财政拨款收入支出决算总体情况说明</w:t>
          </w:r>
          <w:r>
            <w:tab/>
          </w:r>
          <w:r>
            <w:rPr>
              <w:rFonts w:hint="eastAsia"/>
              <w:lang w:val="en-US" w:eastAsia="zh-CN"/>
            </w:rPr>
            <w:t>12</w:t>
          </w:r>
        </w:p>
        <w:p>
          <w:pPr>
            <w:pStyle w:val="34"/>
            <w:tabs>
              <w:tab w:val="right" w:leader="dot" w:pos="8306"/>
            </w:tabs>
            <w:rPr>
              <w:rFonts w:hint="eastAsia"/>
              <w:lang w:val="en-US" w:eastAsia="zh-CN"/>
            </w:rPr>
          </w:pPr>
          <w:r>
            <w:rPr>
              <w:rFonts w:hint="default"/>
              <w:lang w:val="en-US" w:eastAsia="zh-CN"/>
            </w:rPr>
            <w:t>五、一般公共预算财政拨款支出决算情况说明</w:t>
          </w:r>
          <w:r>
            <w:tab/>
          </w:r>
          <w:r>
            <w:rPr>
              <w:rFonts w:hint="eastAsia"/>
              <w:lang w:val="en-US" w:eastAsia="zh-CN"/>
            </w:rPr>
            <w:t>13</w:t>
          </w:r>
        </w:p>
        <w:p>
          <w:pPr>
            <w:pStyle w:val="34"/>
            <w:tabs>
              <w:tab w:val="right" w:leader="dot" w:pos="8306"/>
            </w:tabs>
            <w:rPr>
              <w:rFonts w:hint="eastAsia"/>
              <w:lang w:val="en-US" w:eastAsia="zh-CN"/>
            </w:rPr>
          </w:pPr>
          <w:r>
            <w:rPr>
              <w:rFonts w:hint="default"/>
              <w:lang w:val="en-US" w:eastAsia="zh-CN"/>
            </w:rPr>
            <w:t>六、一般公共预算财政拨款基本支出决算情况说明</w:t>
          </w:r>
          <w:r>
            <w:tab/>
          </w:r>
          <w:r>
            <w:rPr>
              <w:rFonts w:hint="eastAsia"/>
              <w:lang w:val="en-US" w:eastAsia="zh-CN"/>
            </w:rPr>
            <w:t>18</w:t>
          </w:r>
        </w:p>
        <w:p>
          <w:pPr>
            <w:pStyle w:val="34"/>
            <w:tabs>
              <w:tab w:val="right" w:leader="dot" w:pos="8306"/>
            </w:tabs>
            <w:rPr>
              <w:rFonts w:hint="eastAsia"/>
              <w:lang w:val="en-US" w:eastAsia="zh-CN"/>
            </w:rPr>
          </w:pPr>
          <w:r>
            <w:rPr>
              <w:rFonts w:hint="default"/>
              <w:lang w:val="en-US" w:eastAsia="zh-CN"/>
            </w:rPr>
            <w:t>七、“三公”经费财政拨款支出决算情况说明</w:t>
          </w:r>
          <w:r>
            <w:tab/>
          </w:r>
          <w:r>
            <w:rPr>
              <w:rFonts w:hint="eastAsia"/>
              <w:lang w:val="en-US" w:eastAsia="zh-CN"/>
            </w:rPr>
            <w:t>18</w:t>
          </w:r>
        </w:p>
        <w:p>
          <w:pPr>
            <w:pStyle w:val="34"/>
            <w:tabs>
              <w:tab w:val="right" w:leader="dot" w:pos="8306"/>
            </w:tabs>
            <w:rPr>
              <w:rFonts w:hint="default" w:eastAsia="宋体"/>
              <w:lang w:val="en-US" w:eastAsia="zh-CN"/>
            </w:rPr>
          </w:pPr>
          <w:r>
            <w:rPr>
              <w:rFonts w:hint="default"/>
              <w:lang w:val="en-US" w:eastAsia="zh-CN"/>
            </w:rPr>
            <w:t>八、政府性基金预算支出决算情况说明</w:t>
          </w:r>
          <w:r>
            <w:tab/>
          </w:r>
          <w:r>
            <w:rPr>
              <w:rFonts w:hint="eastAsia"/>
              <w:lang w:val="en-US" w:eastAsia="zh-CN"/>
            </w:rPr>
            <w:t>21</w:t>
          </w:r>
        </w:p>
        <w:p>
          <w:pPr>
            <w:pStyle w:val="34"/>
            <w:tabs>
              <w:tab w:val="right" w:leader="dot" w:pos="8306"/>
            </w:tabs>
            <w:rPr>
              <w:rFonts w:hint="default" w:eastAsia="宋体"/>
              <w:lang w:val="en-US" w:eastAsia="zh-CN"/>
            </w:rPr>
          </w:pPr>
          <w:r>
            <w:rPr>
              <w:rFonts w:hint="default"/>
              <w:lang w:val="en-US" w:eastAsia="zh-CN"/>
            </w:rPr>
            <w:t>九、国有资本经营预算支出决算情况说明</w:t>
          </w:r>
          <w:r>
            <w:tab/>
          </w:r>
          <w:r>
            <w:rPr>
              <w:rFonts w:hint="eastAsia"/>
              <w:lang w:val="en-US" w:eastAsia="zh-CN"/>
            </w:rPr>
            <w:t>21</w:t>
          </w:r>
        </w:p>
        <w:p>
          <w:pPr>
            <w:pStyle w:val="34"/>
            <w:tabs>
              <w:tab w:val="right" w:leader="dot" w:pos="8306"/>
            </w:tabs>
            <w:rPr>
              <w:rFonts w:hint="default" w:eastAsia="宋体"/>
              <w:lang w:val="en-US" w:eastAsia="zh-CN"/>
            </w:rPr>
          </w:pPr>
          <w:r>
            <w:rPr>
              <w:rFonts w:hint="default"/>
              <w:lang w:val="en-US" w:eastAsia="zh-CN"/>
            </w:rPr>
            <w:t>十、其他重要事项的情况说明</w:t>
          </w:r>
          <w:r>
            <w:tab/>
          </w:r>
          <w:r>
            <w:rPr>
              <w:rFonts w:hint="eastAsia"/>
              <w:lang w:val="en-US" w:eastAsia="zh-CN"/>
            </w:rPr>
            <w:t>21</w:t>
          </w:r>
        </w:p>
        <w:p>
          <w:pPr>
            <w:pStyle w:val="34"/>
            <w:tabs>
              <w:tab w:val="right" w:leader="dot" w:pos="8306"/>
            </w:tabs>
          </w:pPr>
          <w:r>
            <w:rPr>
              <w:rFonts w:ascii="仿宋" w:hAnsi="仿宋" w:eastAsia="仿宋"/>
              <w:bCs/>
              <w:kern w:val="44"/>
            </w:rPr>
            <w:fldChar w:fldCharType="begin"/>
          </w:r>
          <w:r>
            <w:rPr>
              <w:rFonts w:ascii="仿宋" w:hAnsi="仿宋" w:eastAsia="仿宋"/>
              <w:bCs/>
              <w:kern w:val="44"/>
            </w:rPr>
            <w:instrText xml:space="preserve"> HYPERLINK \l _Toc16546 </w:instrText>
          </w:r>
          <w:r>
            <w:rPr>
              <w:rFonts w:ascii="仿宋" w:hAnsi="仿宋" w:eastAsia="仿宋"/>
              <w:bCs/>
              <w:kern w:val="44"/>
            </w:rPr>
            <w:fldChar w:fldCharType="separate"/>
          </w:r>
          <w:r>
            <w:rPr>
              <w:rFonts w:hint="eastAsia" w:ascii="黑体" w:hAnsi="黑体" w:eastAsia="黑体" w:cs="Times New Roman"/>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_Toc16546 </w:instrText>
          </w:r>
          <w:r>
            <w:fldChar w:fldCharType="separate"/>
          </w:r>
          <w:r>
            <w:t>37</w:t>
          </w:r>
          <w:r>
            <w:fldChar w:fldCharType="end"/>
          </w:r>
          <w:r>
            <w:rPr>
              <w:rFonts w:ascii="仿宋" w:hAnsi="仿宋" w:eastAsia="仿宋"/>
              <w:bCs/>
              <w:kern w:val="44"/>
            </w:rPr>
            <w:fldChar w:fldCharType="end"/>
          </w:r>
        </w:p>
        <w:p>
          <w:pPr>
            <w:pStyle w:val="34"/>
            <w:tabs>
              <w:tab w:val="right" w:leader="dot" w:pos="8306"/>
            </w:tabs>
            <w:rPr>
              <w:rFonts w:ascii="仿宋" w:hAnsi="仿宋" w:eastAsia="仿宋"/>
              <w:bCs/>
              <w:kern w:val="44"/>
            </w:rPr>
          </w:pPr>
          <w:r>
            <w:rPr>
              <w:rFonts w:ascii="仿宋" w:hAnsi="仿宋" w:eastAsia="仿宋"/>
              <w:bCs/>
              <w:kern w:val="44"/>
            </w:rPr>
            <w:fldChar w:fldCharType="begin"/>
          </w:r>
          <w:r>
            <w:rPr>
              <w:rFonts w:ascii="仿宋" w:hAnsi="仿宋" w:eastAsia="仿宋"/>
              <w:bCs/>
              <w:kern w:val="44"/>
            </w:rPr>
            <w:instrText xml:space="preserve"> HYPERLINK \l _Toc1605 </w:instrText>
          </w:r>
          <w:r>
            <w:rPr>
              <w:rFonts w:ascii="仿宋" w:hAnsi="仿宋" w:eastAsia="仿宋"/>
              <w:bCs/>
              <w:kern w:val="44"/>
            </w:rPr>
            <w:fldChar w:fldCharType="separate"/>
          </w:r>
          <w:r>
            <w:rPr>
              <w:rFonts w:hint="eastAsia" w:ascii="黑体" w:hAnsi="黑体" w:eastAsia="黑体"/>
              <w:szCs w:val="44"/>
            </w:rPr>
            <w:t>第</w:t>
          </w:r>
          <w:r>
            <w:rPr>
              <w:rFonts w:hint="eastAsia" w:ascii="黑体" w:hAnsi="黑体" w:eastAsia="黑体"/>
            </w:rPr>
            <w:t>四部分</w:t>
          </w:r>
          <w:r>
            <w:rPr>
              <w:rFonts w:ascii="黑体" w:hAnsi="黑体" w:eastAsia="黑体"/>
            </w:rPr>
            <w:t xml:space="preserve"> </w:t>
          </w:r>
          <w:r>
            <w:rPr>
              <w:rFonts w:hint="eastAsia" w:ascii="黑体" w:hAnsi="黑体" w:eastAsia="黑体"/>
            </w:rPr>
            <w:t>附件</w:t>
          </w:r>
          <w:r>
            <w:rPr>
              <w:rFonts w:hint="eastAsia" w:ascii="黑体" w:hAnsi="黑体" w:eastAsia="黑体"/>
              <w:lang w:val="en-US" w:eastAsia="zh-CN"/>
            </w:rPr>
            <w:t>1</w:t>
          </w:r>
          <w:r>
            <w:tab/>
          </w:r>
          <w:r>
            <w:fldChar w:fldCharType="begin"/>
          </w:r>
          <w:r>
            <w:instrText xml:space="preserve"> PAGEREF _Toc1605 </w:instrText>
          </w:r>
          <w:r>
            <w:fldChar w:fldCharType="separate"/>
          </w:r>
          <w:r>
            <w:t>40</w:t>
          </w:r>
          <w:r>
            <w:fldChar w:fldCharType="end"/>
          </w:r>
          <w:r>
            <w:rPr>
              <w:rFonts w:ascii="仿宋" w:hAnsi="仿宋" w:eastAsia="仿宋"/>
              <w:bCs/>
              <w:kern w:val="44"/>
            </w:rPr>
            <w:fldChar w:fldCharType="end"/>
          </w:r>
        </w:p>
        <w:p>
          <w:pPr>
            <w:pStyle w:val="34"/>
            <w:tabs>
              <w:tab w:val="right" w:leader="dot" w:pos="8306"/>
            </w:tabs>
            <w:rPr>
              <w:rFonts w:hint="eastAsia"/>
              <w:lang w:val="en-US" w:eastAsia="zh-CN"/>
            </w:rPr>
          </w:pPr>
          <w:r>
            <w:rPr>
              <w:rFonts w:hint="eastAsia" w:ascii="仿宋" w:hAnsi="仿宋" w:eastAsia="仿宋"/>
              <w:bCs/>
              <w:kern w:val="44"/>
            </w:rPr>
            <w:t>一、</w:t>
          </w:r>
          <w:r>
            <w:rPr>
              <w:rFonts w:hint="eastAsia" w:ascii="仿宋" w:hAnsi="仿宋" w:eastAsia="仿宋"/>
              <w:bCs/>
              <w:kern w:val="44"/>
              <w:lang w:val="zh-CN"/>
            </w:rPr>
            <w:t>部门（单位）概况</w:t>
          </w:r>
          <w:r>
            <w:tab/>
          </w:r>
          <w:r>
            <w:rPr>
              <w:rFonts w:hint="eastAsia"/>
              <w:lang w:val="en-US" w:eastAsia="zh-CN"/>
            </w:rPr>
            <w:t>40</w:t>
          </w:r>
        </w:p>
        <w:p>
          <w:pPr>
            <w:pStyle w:val="34"/>
            <w:tabs>
              <w:tab w:val="right" w:leader="dot" w:pos="8306"/>
            </w:tabs>
            <w:rPr>
              <w:rFonts w:hint="eastAsia"/>
              <w:lang w:val="en-US" w:eastAsia="zh-CN"/>
            </w:rPr>
          </w:pPr>
          <w:r>
            <w:rPr>
              <w:rFonts w:hint="default"/>
              <w:lang w:val="en-US" w:eastAsia="zh-CN"/>
            </w:rPr>
            <w:t>二、部门财政资金收支情况</w:t>
          </w:r>
          <w:r>
            <w:tab/>
          </w:r>
          <w:r>
            <w:rPr>
              <w:rFonts w:hint="eastAsia"/>
              <w:lang w:val="en-US" w:eastAsia="zh-CN"/>
            </w:rPr>
            <w:t>43</w:t>
          </w:r>
        </w:p>
        <w:p>
          <w:pPr>
            <w:pStyle w:val="34"/>
            <w:tabs>
              <w:tab w:val="right" w:leader="dot" w:pos="8306"/>
            </w:tabs>
            <w:rPr>
              <w:rFonts w:hint="eastAsia"/>
              <w:lang w:val="en-US" w:eastAsia="zh-CN"/>
            </w:rPr>
          </w:pPr>
          <w:r>
            <w:rPr>
              <w:rFonts w:hint="default"/>
              <w:lang w:val="en-US" w:eastAsia="zh-CN"/>
            </w:rPr>
            <w:t>三、部门整体预算绩效管理情况</w:t>
          </w:r>
          <w:r>
            <w:tab/>
          </w:r>
          <w:r>
            <w:rPr>
              <w:rFonts w:hint="eastAsia"/>
              <w:lang w:val="en-US" w:eastAsia="zh-CN"/>
            </w:rPr>
            <w:t>43</w:t>
          </w:r>
        </w:p>
        <w:p>
          <w:pPr>
            <w:pStyle w:val="34"/>
            <w:tabs>
              <w:tab w:val="right" w:leader="dot" w:pos="8306"/>
            </w:tabs>
            <w:rPr>
              <w:rFonts w:hint="default" w:eastAsia="宋体"/>
              <w:lang w:val="en-US" w:eastAsia="zh-CN"/>
            </w:rPr>
          </w:pPr>
          <w:r>
            <w:rPr>
              <w:rFonts w:hint="default"/>
              <w:lang w:val="en-US" w:eastAsia="zh-CN"/>
            </w:rPr>
            <w:t>四、评价结论及建议</w:t>
          </w:r>
          <w:r>
            <w:tab/>
          </w:r>
          <w:r>
            <w:rPr>
              <w:rFonts w:hint="eastAsia"/>
              <w:lang w:val="en-US" w:eastAsia="zh-CN"/>
            </w:rPr>
            <w:t>43</w:t>
          </w:r>
        </w:p>
        <w:p>
          <w:pPr>
            <w:pStyle w:val="34"/>
            <w:tabs>
              <w:tab w:val="right" w:leader="dot" w:pos="8306"/>
            </w:tabs>
            <w:rPr>
              <w:rFonts w:hint="eastAsia"/>
              <w:lang w:val="en-US" w:eastAsia="zh-CN"/>
            </w:rPr>
          </w:pPr>
          <w:r>
            <w:rPr>
              <w:rFonts w:ascii="仿宋" w:hAnsi="仿宋" w:eastAsia="仿宋"/>
              <w:bCs/>
              <w:kern w:val="44"/>
            </w:rPr>
            <w:fldChar w:fldCharType="begin"/>
          </w:r>
          <w:r>
            <w:rPr>
              <w:rFonts w:ascii="仿宋" w:hAnsi="仿宋" w:eastAsia="仿宋"/>
              <w:bCs/>
              <w:kern w:val="44"/>
            </w:rPr>
            <w:instrText xml:space="preserve"> HYPERLINK \l _Toc650 </w:instrText>
          </w:r>
          <w:r>
            <w:rPr>
              <w:rFonts w:ascii="仿宋" w:hAnsi="仿宋" w:eastAsia="仿宋"/>
              <w:bCs/>
              <w:kern w:val="44"/>
            </w:rPr>
            <w:fldChar w:fldCharType="separate"/>
          </w:r>
          <w:r>
            <w:rPr>
              <w:rFonts w:hint="eastAsia" w:ascii="黑体" w:hAnsi="黑体" w:eastAsia="黑体" w:cs="黑体"/>
              <w:szCs w:val="32"/>
            </w:rPr>
            <w:t>附件</w:t>
          </w:r>
          <w:r>
            <w:rPr>
              <w:rFonts w:hint="eastAsia" w:ascii="黑体" w:hAnsi="黑体" w:eastAsia="黑体" w:cs="黑体"/>
              <w:szCs w:val="32"/>
              <w:lang w:val="en-US" w:eastAsia="zh-CN"/>
            </w:rPr>
            <w:t>2法律援助项目2020年绩效评价报告</w:t>
          </w:r>
          <w:r>
            <w:tab/>
          </w:r>
          <w:r>
            <w:rPr>
              <w:rFonts w:hint="eastAsia"/>
              <w:lang w:val="en-US" w:eastAsia="zh-CN"/>
            </w:rPr>
            <w:t>44</w:t>
          </w:r>
        </w:p>
        <w:p>
          <w:pPr>
            <w:pStyle w:val="34"/>
            <w:tabs>
              <w:tab w:val="right" w:leader="dot" w:pos="8306"/>
            </w:tabs>
            <w:rPr>
              <w:rFonts w:hint="eastAsia"/>
              <w:lang w:val="en-US" w:eastAsia="zh-CN"/>
            </w:rPr>
          </w:pPr>
          <w:r>
            <w:rPr>
              <w:rFonts w:hint="default"/>
              <w:lang w:val="en-US" w:eastAsia="zh-CN"/>
            </w:rPr>
            <w:t>一、项目概况</w:t>
          </w:r>
          <w:r>
            <w:tab/>
          </w:r>
          <w:r>
            <w:rPr>
              <w:rFonts w:hint="eastAsia"/>
              <w:lang w:val="en-US" w:eastAsia="zh-CN"/>
            </w:rPr>
            <w:t>44</w:t>
          </w:r>
        </w:p>
        <w:p>
          <w:pPr>
            <w:pStyle w:val="34"/>
            <w:tabs>
              <w:tab w:val="right" w:leader="dot" w:pos="8306"/>
            </w:tabs>
            <w:rPr>
              <w:rFonts w:hint="eastAsia"/>
              <w:lang w:val="en-US" w:eastAsia="zh-CN"/>
            </w:rPr>
          </w:pPr>
          <w:r>
            <w:rPr>
              <w:rFonts w:hint="default"/>
              <w:lang w:val="en-US" w:eastAsia="zh-CN"/>
            </w:rPr>
            <w:t>二、项目资金申报及使用情况</w:t>
          </w:r>
          <w:r>
            <w:tab/>
          </w:r>
          <w:r>
            <w:rPr>
              <w:rFonts w:hint="eastAsia"/>
              <w:lang w:val="en-US" w:eastAsia="zh-CN"/>
            </w:rPr>
            <w:t>45</w:t>
          </w:r>
        </w:p>
        <w:p>
          <w:pPr>
            <w:pStyle w:val="34"/>
            <w:tabs>
              <w:tab w:val="right" w:leader="dot" w:pos="8306"/>
            </w:tabs>
            <w:rPr>
              <w:rFonts w:hint="eastAsia"/>
              <w:lang w:val="en-US" w:eastAsia="zh-CN"/>
            </w:rPr>
          </w:pPr>
          <w:r>
            <w:rPr>
              <w:rFonts w:hint="default"/>
              <w:lang w:val="en-US" w:eastAsia="zh-CN"/>
            </w:rPr>
            <w:t>三、项目实施及管理情况</w:t>
          </w:r>
          <w:r>
            <w:tab/>
          </w:r>
          <w:r>
            <w:rPr>
              <w:rFonts w:hint="eastAsia"/>
              <w:lang w:val="en-US" w:eastAsia="zh-CN"/>
            </w:rPr>
            <w:t>47</w:t>
          </w:r>
        </w:p>
        <w:p>
          <w:pPr>
            <w:pStyle w:val="34"/>
            <w:tabs>
              <w:tab w:val="right" w:leader="dot" w:pos="8306"/>
            </w:tabs>
            <w:rPr>
              <w:rFonts w:hint="default" w:ascii="仿宋" w:hAnsi="仿宋" w:eastAsia="仿宋"/>
              <w:bCs/>
              <w:kern w:val="44"/>
              <w:lang w:val="en-US" w:eastAsia="zh-CN"/>
            </w:rPr>
          </w:pPr>
          <w:r>
            <w:rPr>
              <w:rFonts w:hint="default"/>
              <w:lang w:val="en-US" w:eastAsia="zh-CN"/>
            </w:rPr>
            <w:t>四、项目绩效情况</w:t>
          </w:r>
          <w:r>
            <w:tab/>
          </w:r>
          <w:r>
            <w:rPr>
              <w:rFonts w:ascii="仿宋" w:hAnsi="仿宋" w:eastAsia="仿宋"/>
              <w:bCs/>
              <w:kern w:val="44"/>
            </w:rPr>
            <w:fldChar w:fldCharType="end"/>
          </w:r>
          <w:r>
            <w:rPr>
              <w:rFonts w:hint="eastAsia" w:ascii="仿宋" w:hAnsi="仿宋" w:eastAsia="仿宋"/>
              <w:bCs/>
              <w:kern w:val="44"/>
              <w:lang w:val="en-US" w:eastAsia="zh-CN"/>
            </w:rPr>
            <w:t>47</w:t>
          </w:r>
        </w:p>
        <w:p>
          <w:pPr>
            <w:pStyle w:val="34"/>
            <w:tabs>
              <w:tab w:val="right" w:leader="dot" w:pos="8306"/>
            </w:tabs>
          </w:pPr>
          <w:r>
            <w:rPr>
              <w:rFonts w:ascii="仿宋" w:hAnsi="仿宋" w:eastAsia="仿宋"/>
              <w:bCs/>
              <w:kern w:val="44"/>
            </w:rPr>
            <w:fldChar w:fldCharType="begin"/>
          </w:r>
          <w:r>
            <w:rPr>
              <w:rFonts w:ascii="仿宋" w:hAnsi="仿宋" w:eastAsia="仿宋"/>
              <w:bCs/>
              <w:kern w:val="44"/>
            </w:rPr>
            <w:instrText xml:space="preserve"> HYPERLINK \l _Toc6704 </w:instrText>
          </w:r>
          <w:r>
            <w:rPr>
              <w:rFonts w:ascii="仿宋" w:hAnsi="仿宋" w:eastAsia="仿宋"/>
              <w:bCs/>
              <w:kern w:val="44"/>
            </w:rPr>
            <w:fldChar w:fldCharType="separate"/>
          </w:r>
          <w:r>
            <w:rPr>
              <w:rFonts w:hint="eastAsia" w:ascii="黑体" w:hAnsi="黑体" w:eastAsia="黑体"/>
              <w:szCs w:val="44"/>
            </w:rPr>
            <w:t>第</w:t>
          </w:r>
          <w:r>
            <w:rPr>
              <w:rFonts w:hint="eastAsia" w:ascii="黑体" w:hAnsi="黑体" w:eastAsia="黑体"/>
            </w:rPr>
            <w:t>五部分</w:t>
          </w:r>
          <w:r>
            <w:rPr>
              <w:rFonts w:ascii="黑体" w:hAnsi="黑体" w:eastAsia="黑体"/>
            </w:rPr>
            <w:t xml:space="preserve"> </w:t>
          </w:r>
          <w:r>
            <w:rPr>
              <w:rFonts w:hint="eastAsia" w:ascii="黑体" w:hAnsi="黑体" w:eastAsia="黑体"/>
            </w:rPr>
            <w:t>附表</w:t>
          </w:r>
          <w:r>
            <w:tab/>
          </w:r>
          <w:r>
            <w:fldChar w:fldCharType="begin"/>
          </w:r>
          <w:r>
            <w:instrText xml:space="preserve"> PAGEREF _Toc6704 </w:instrText>
          </w:r>
          <w:r>
            <w:fldChar w:fldCharType="separate"/>
          </w:r>
          <w:r>
            <w:t>50</w:t>
          </w:r>
          <w:r>
            <w:fldChar w:fldCharType="end"/>
          </w:r>
          <w:r>
            <w:rPr>
              <w:rFonts w:ascii="仿宋" w:hAnsi="仿宋" w:eastAsia="仿宋"/>
              <w:bCs/>
              <w:kern w:val="44"/>
            </w:rPr>
            <w:fldChar w:fldCharType="end"/>
          </w:r>
        </w:p>
        <w:p>
          <w:pPr>
            <w:widowControl/>
            <w:spacing w:line="440" w:lineRule="exact"/>
            <w:jc w:val="left"/>
            <w:rPr>
              <w:rFonts w:ascii="仿宋" w:hAnsi="仿宋" w:eastAsia="仿宋"/>
              <w:bCs/>
              <w:kern w:val="44"/>
              <w:sz w:val="24"/>
            </w:rPr>
          </w:pPr>
          <w:r>
            <w:rPr>
              <w:rFonts w:ascii="仿宋" w:hAnsi="仿宋" w:eastAsia="仿宋"/>
              <w:bCs/>
              <w:kern w:val="44"/>
            </w:rPr>
            <w:fldChar w:fldCharType="end"/>
          </w:r>
        </w:p>
      </w:sdtContent>
    </w:sdt>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pPr>
    </w:p>
    <w:p>
      <w:pPr>
        <w:pStyle w:val="2"/>
        <w:rPr>
          <w:rFonts w:ascii="仿宋" w:hAnsi="仿宋" w:eastAsia="仿宋"/>
          <w:bCs/>
          <w:kern w:val="44"/>
          <w:sz w:val="24"/>
        </w:rPr>
        <w:sectPr>
          <w:footerReference r:id="rId6" w:type="first"/>
          <w:footerReference r:id="rId5" w:type="default"/>
          <w:pgSz w:w="11906" w:h="16838"/>
          <w:pgMar w:top="1440" w:right="1800" w:bottom="1440" w:left="1800" w:header="851" w:footer="992" w:gutter="0"/>
          <w:pgNumType w:fmt="decimal" w:start="1"/>
          <w:cols w:space="720" w:num="1"/>
          <w:titlePg/>
          <w:docGrid w:type="lines" w:linePitch="312" w:charSpace="0"/>
        </w:sectPr>
      </w:pPr>
    </w:p>
    <w:p>
      <w:pPr>
        <w:pStyle w:val="4"/>
        <w:jc w:val="center"/>
        <w:rPr>
          <w:rFonts w:ascii="黑体" w:eastAsia="黑体"/>
          <w:color w:val="000000"/>
          <w:sz w:val="32"/>
          <w:szCs w:val="32"/>
        </w:rPr>
      </w:pPr>
      <w:bookmarkStart w:id="17" w:name="_Toc19419"/>
      <w:r>
        <w:rPr>
          <w:rFonts w:hint="eastAsia" w:ascii="黑体" w:hAnsi="黑体" w:eastAsia="黑体"/>
          <w:b w:val="0"/>
        </w:rPr>
        <w:t>第一部分</w:t>
      </w:r>
      <w:r>
        <w:rPr>
          <w:rFonts w:ascii="黑体" w:hAnsi="黑体" w:eastAsia="黑体"/>
          <w:b w:val="0"/>
        </w:rPr>
        <w:t xml:space="preserve"> </w:t>
      </w:r>
      <w:r>
        <w:rPr>
          <w:rStyle w:val="26"/>
          <w:rFonts w:hint="eastAsia" w:ascii="黑体" w:hAnsi="黑体" w:eastAsia="黑体"/>
          <w:b w:val="0"/>
          <w:bCs w:val="0"/>
        </w:rPr>
        <w:t>部门概况</w:t>
      </w:r>
      <w:bookmarkEnd w:id="15"/>
      <w:bookmarkEnd w:id="16"/>
      <w:bookmarkEnd w:id="17"/>
    </w:p>
    <w:p>
      <w:pPr>
        <w:pStyle w:val="5"/>
        <w:rPr>
          <w:rStyle w:val="27"/>
          <w:rFonts w:ascii="仿宋" w:hAnsi="仿宋" w:eastAsia="仿宋"/>
          <w:b w:val="0"/>
          <w:bCs w:val="0"/>
        </w:rPr>
      </w:pPr>
      <w:bookmarkStart w:id="18" w:name="_Toc15377197"/>
      <w:bookmarkStart w:id="19" w:name="_Toc15396600"/>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8"/>
      <w:bookmarkEnd w:id="19"/>
    </w:p>
    <w:p>
      <w:pPr>
        <w:pStyle w:val="7"/>
        <w:adjustRightInd w:val="0"/>
        <w:snapToGrid w:val="0"/>
        <w:spacing w:before="93" w:line="600" w:lineRule="exact"/>
        <w:ind w:firstLine="672" w:firstLineChars="210"/>
        <w:outlineLvl w:val="2"/>
        <w:rPr>
          <w:rFonts w:hint="eastAsia" w:ascii="仿宋" w:hAnsi="仿宋" w:eastAsia="仿宋"/>
          <w:bCs/>
          <w:color w:val="FF0000"/>
          <w:sz w:val="32"/>
          <w:szCs w:val="32"/>
        </w:rPr>
      </w:pPr>
      <w:bookmarkStart w:id="20" w:name="_Toc15378445"/>
      <w:bookmarkStart w:id="21" w:name="_Toc15377198"/>
      <w:r>
        <w:rPr>
          <w:rFonts w:hint="eastAsia" w:ascii="仿宋" w:hAnsi="仿宋" w:eastAsia="仿宋"/>
          <w:bCs/>
          <w:color w:val="000000"/>
          <w:sz w:val="32"/>
          <w:szCs w:val="32"/>
        </w:rPr>
        <w:t>（一）主要职能。</w:t>
      </w:r>
      <w:r>
        <w:rPr>
          <w:rFonts w:hint="eastAsia" w:ascii="仿宋" w:hAnsi="仿宋" w:eastAsia="仿宋"/>
          <w:bCs/>
          <w:color w:val="FF0000"/>
          <w:sz w:val="32"/>
          <w:szCs w:val="32"/>
        </w:rPr>
        <w:t>（职能参照省政府批准的三定方案）</w:t>
      </w:r>
      <w:bookmarkEnd w:id="20"/>
      <w:bookmarkEnd w:id="21"/>
    </w:p>
    <w:p>
      <w:pPr>
        <w:spacing w:line="576"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广元市利州区司法局(简称区司法局)是广元市利州区人民政府</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工作部门，为正科级。</w:t>
      </w:r>
    </w:p>
    <w:p>
      <w:pPr>
        <w:overflowPunct w:val="0"/>
        <w:spacing w:line="576" w:lineRule="exact"/>
        <w:ind w:firstLine="63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中共广元市利州区委全面依法治区委员会办公室（简称区委依法治区办）设在区司法局，接受</w:t>
      </w:r>
      <w:r>
        <w:rPr>
          <w:rFonts w:hint="eastAsia" w:ascii="仿宋" w:hAnsi="仿宋" w:eastAsia="仿宋" w:cs="仿宋"/>
          <w:color w:val="auto"/>
          <w:sz w:val="32"/>
          <w:szCs w:val="32"/>
          <w:lang w:eastAsia="zh-CN"/>
        </w:rPr>
        <w:t>中共广元市利州区</w:t>
      </w:r>
      <w:r>
        <w:rPr>
          <w:rFonts w:hint="eastAsia" w:ascii="仿宋" w:hAnsi="仿宋" w:eastAsia="仿宋" w:cs="仿宋"/>
          <w:color w:val="auto"/>
          <w:sz w:val="32"/>
          <w:szCs w:val="32"/>
        </w:rPr>
        <w:t>委</w:t>
      </w:r>
      <w:r>
        <w:rPr>
          <w:rFonts w:hint="eastAsia" w:ascii="仿宋" w:hAnsi="仿宋" w:eastAsia="仿宋" w:cs="仿宋"/>
          <w:color w:val="auto"/>
          <w:sz w:val="32"/>
          <w:szCs w:val="32"/>
          <w:lang w:eastAsia="zh-CN"/>
        </w:rPr>
        <w:t>全面依法治区委员会（以下简称委员会）</w:t>
      </w:r>
      <w:r>
        <w:rPr>
          <w:rFonts w:hint="eastAsia" w:ascii="仿宋" w:hAnsi="仿宋" w:eastAsia="仿宋" w:cs="仿宋"/>
          <w:color w:val="auto"/>
          <w:sz w:val="32"/>
          <w:szCs w:val="32"/>
        </w:rPr>
        <w:t>的直接领导，承担委员会具体工作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组织开展全面依法治区重大问题的政策研究。协调督促有关方面落实委员会</w:t>
      </w:r>
      <w:r>
        <w:rPr>
          <w:rFonts w:hint="eastAsia" w:ascii="仿宋" w:hAnsi="仿宋" w:eastAsia="仿宋" w:cs="仿宋"/>
          <w:color w:val="auto"/>
          <w:sz w:val="32"/>
          <w:szCs w:val="32"/>
          <w:lang w:eastAsia="zh-CN"/>
        </w:rPr>
        <w:t>及其</w:t>
      </w:r>
      <w:r>
        <w:rPr>
          <w:rFonts w:hint="eastAsia" w:ascii="仿宋" w:hAnsi="仿宋" w:eastAsia="仿宋" w:cs="仿宋"/>
          <w:color w:val="auto"/>
          <w:sz w:val="32"/>
          <w:szCs w:val="32"/>
        </w:rPr>
        <w:t>办公室决定事项、工作部署和要求等。</w:t>
      </w:r>
      <w:r>
        <w:rPr>
          <w:rFonts w:hint="eastAsia" w:ascii="仿宋" w:hAnsi="仿宋" w:eastAsia="仿宋" w:cs="仿宋"/>
          <w:color w:val="auto"/>
          <w:sz w:val="32"/>
          <w:szCs w:val="32"/>
          <w:lang w:eastAsia="zh-CN"/>
        </w:rPr>
        <w:t>设置区委依法治区办秘书室，负责处理区委依法治区办日常事务。内设机构根据工作需要承担区委依法治区办相关工作，接受区委依法治区办的统筹协调。</w:t>
      </w:r>
    </w:p>
    <w:p>
      <w:pPr>
        <w:overflowPunct w:val="0"/>
        <w:spacing w:line="576"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负责贯彻落实党中央关于全面依法治国的方针政策和省委、市委、区委的决策部署，在履行职责过程中坚持和加强党对全面依法治区工作的集中统一领导。主要职责是：</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1</w:t>
      </w:r>
      <w:r>
        <w:rPr>
          <w:rFonts w:hint="eastAsia" w:ascii="楷体" w:hAnsi="楷体" w:eastAsia="楷体" w:cs="楷体"/>
          <w:color w:val="auto"/>
          <w:sz w:val="32"/>
          <w:szCs w:val="32"/>
        </w:rPr>
        <w:t>）</w:t>
      </w:r>
      <w:r>
        <w:rPr>
          <w:rFonts w:hint="eastAsia" w:ascii="仿宋" w:hAnsi="仿宋" w:eastAsia="仿宋" w:cs="仿宋"/>
          <w:color w:val="auto"/>
          <w:sz w:val="32"/>
          <w:szCs w:val="32"/>
        </w:rPr>
        <w:t>承担全面依法治国、依法治省、依法治市和依法治区重大问题的政策研究，协调有关方面提出全面依法治区规划建议，负责有关重大决策部署督察工作。</w:t>
      </w:r>
    </w:p>
    <w:p>
      <w:pPr>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2</w:t>
      </w:r>
      <w:r>
        <w:rPr>
          <w:rFonts w:hint="eastAsia" w:ascii="楷体" w:hAnsi="楷体" w:eastAsia="楷体" w:cs="楷体"/>
          <w:color w:val="auto"/>
          <w:sz w:val="32"/>
          <w:szCs w:val="32"/>
        </w:rPr>
        <w:t>）</w:t>
      </w:r>
      <w:r>
        <w:rPr>
          <w:rFonts w:hint="eastAsia" w:ascii="仿宋" w:hAnsi="仿宋" w:eastAsia="仿宋" w:cs="仿宋"/>
          <w:color w:val="auto"/>
          <w:sz w:val="32"/>
          <w:szCs w:val="32"/>
        </w:rPr>
        <w:t>贯彻执行国家、省、市、区关于司法行政工作的方针、政策，制定司法行政规范性文件、发展规划、工作计划并组织实施。</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3</w:t>
      </w:r>
      <w:r>
        <w:rPr>
          <w:rFonts w:hint="eastAsia" w:ascii="楷体" w:hAnsi="楷体" w:eastAsia="楷体" w:cs="楷体"/>
          <w:color w:val="auto"/>
          <w:sz w:val="32"/>
          <w:szCs w:val="32"/>
        </w:rPr>
        <w:t>）</w:t>
      </w:r>
      <w:r>
        <w:rPr>
          <w:rFonts w:hint="eastAsia" w:ascii="仿宋" w:hAnsi="仿宋" w:eastAsia="仿宋" w:cs="仿宋"/>
          <w:color w:val="auto"/>
          <w:sz w:val="32"/>
          <w:szCs w:val="32"/>
        </w:rPr>
        <w:t>负责区政府规范性文件、重大行政决策发布前的合法性审查。承办区政府规范性文件的报送备案工作。负责各乡镇（街道）政府（办事处）和区政府各部门报送区政府的规范性文件备案审查工作。组织开展规范性文件清理。</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4</w:t>
      </w:r>
      <w:r>
        <w:rPr>
          <w:rFonts w:hint="eastAsia" w:ascii="楷体" w:hAnsi="楷体" w:eastAsia="楷体" w:cs="楷体"/>
          <w:color w:val="auto"/>
          <w:sz w:val="32"/>
          <w:szCs w:val="32"/>
        </w:rPr>
        <w:t>）</w:t>
      </w:r>
      <w:r>
        <w:rPr>
          <w:rFonts w:hint="eastAsia" w:ascii="仿宋" w:hAnsi="仿宋" w:eastAsia="仿宋" w:cs="仿宋"/>
          <w:color w:val="auto"/>
          <w:sz w:val="32"/>
          <w:szCs w:val="32"/>
        </w:rPr>
        <w:t>承担统筹推进法治政府建设的责任。指导监督区政府各部门、各乡镇（街道）政府（办事处）依法行政工作。负责综合协调和监督检查行政执法，承担推进行政执法体制改革有关工作，推进严格规范公正文明执法。指导监督全区行政复议、行政应诉和行政赔偿工作，承办向区政府申请的行政复议、行政赔偿案件，代理区政府行政应诉案件。承担区政府法律顾问的聘任和管理，组织区政府行政行为听证等工作。负责全区行政执法主体、人员资格审查和行政执法证、监督检查证的审核管理及人员培训工作。</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5</w:t>
      </w:r>
      <w:r>
        <w:rPr>
          <w:rFonts w:hint="eastAsia" w:ascii="楷体" w:hAnsi="楷体" w:eastAsia="楷体" w:cs="楷体"/>
          <w:color w:val="auto"/>
          <w:sz w:val="32"/>
          <w:szCs w:val="32"/>
        </w:rPr>
        <w:t>）</w:t>
      </w:r>
      <w:r>
        <w:rPr>
          <w:rFonts w:hint="eastAsia" w:ascii="仿宋" w:hAnsi="仿宋" w:eastAsia="仿宋" w:cs="仿宋"/>
          <w:color w:val="auto"/>
          <w:sz w:val="32"/>
          <w:szCs w:val="32"/>
        </w:rPr>
        <w:t>承担统筹规划法治社会建设的责任。负责拟订法治宣传教育规划，组织实施普法宣传工作，组织对外法治宣传。推动人民参与和促进法治建设。指导依法治理和法治创建工作。指导人民调解、行政调解和行业性专业性调解等工作。参与人民监督员的选任、管理工作。负责人民陪审员选任工作的具体实施。指导监督司法所工作。</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6</w:t>
      </w:r>
      <w:r>
        <w:rPr>
          <w:rFonts w:hint="eastAsia" w:ascii="楷体" w:hAnsi="楷体" w:eastAsia="楷体" w:cs="楷体"/>
          <w:color w:val="auto"/>
          <w:sz w:val="32"/>
          <w:szCs w:val="32"/>
        </w:rPr>
        <w:t>）</w:t>
      </w:r>
      <w:r>
        <w:rPr>
          <w:rFonts w:hint="eastAsia" w:ascii="仿宋" w:hAnsi="仿宋" w:eastAsia="仿宋" w:cs="仿宋"/>
          <w:color w:val="auto"/>
          <w:sz w:val="32"/>
          <w:szCs w:val="32"/>
        </w:rPr>
        <w:t>指导管理社区矫正工作。负责刑满释放人员帮教安置工作。</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7</w:t>
      </w:r>
      <w:r>
        <w:rPr>
          <w:rFonts w:hint="eastAsia" w:ascii="楷体" w:hAnsi="楷体" w:eastAsia="楷体" w:cs="楷体"/>
          <w:color w:val="auto"/>
          <w:sz w:val="32"/>
          <w:szCs w:val="32"/>
        </w:rPr>
        <w:t>）</w:t>
      </w:r>
      <w:r>
        <w:rPr>
          <w:rFonts w:hint="eastAsia" w:ascii="仿宋" w:hAnsi="仿宋" w:eastAsia="仿宋" w:cs="仿宋"/>
          <w:color w:val="auto"/>
          <w:sz w:val="32"/>
          <w:szCs w:val="32"/>
        </w:rPr>
        <w:t>负责拟订全区公共法律服务体系建设规划并指导实施，统筹和布局全区城乡、区域法律服务资源。指导监督律师、法律援助、公证、仲裁和基层法律服务等工作。</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8</w:t>
      </w:r>
      <w:r>
        <w:rPr>
          <w:rFonts w:hint="eastAsia" w:ascii="楷体" w:hAnsi="楷体" w:eastAsia="楷体" w:cs="楷体"/>
          <w:color w:val="auto"/>
          <w:sz w:val="32"/>
          <w:szCs w:val="32"/>
        </w:rPr>
        <w:t>）</w:t>
      </w:r>
      <w:r>
        <w:rPr>
          <w:rFonts w:hint="eastAsia" w:ascii="仿宋" w:hAnsi="仿宋" w:eastAsia="仿宋" w:cs="仿宋"/>
          <w:color w:val="auto"/>
          <w:sz w:val="32"/>
          <w:szCs w:val="32"/>
        </w:rPr>
        <w:t>负责本</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财务、装备、设施、场所等保障工作。负责本</w:t>
      </w:r>
      <w:r>
        <w:rPr>
          <w:rFonts w:hint="eastAsia" w:ascii="仿宋" w:hAnsi="仿宋" w:eastAsia="仿宋" w:cs="仿宋"/>
          <w:color w:val="auto"/>
          <w:sz w:val="32"/>
          <w:szCs w:val="32"/>
          <w:lang w:eastAsia="zh-CN"/>
        </w:rPr>
        <w:t>系统</w:t>
      </w:r>
      <w:r>
        <w:rPr>
          <w:rFonts w:hint="eastAsia" w:ascii="仿宋" w:hAnsi="仿宋" w:eastAsia="仿宋" w:cs="仿宋"/>
          <w:color w:val="auto"/>
          <w:sz w:val="32"/>
          <w:szCs w:val="32"/>
        </w:rPr>
        <w:t>警车管理工作。</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9</w:t>
      </w:r>
      <w:r>
        <w:rPr>
          <w:rFonts w:hint="eastAsia" w:ascii="楷体" w:hAnsi="楷体" w:eastAsia="楷体" w:cs="楷体"/>
          <w:color w:val="auto"/>
          <w:sz w:val="32"/>
          <w:szCs w:val="32"/>
        </w:rPr>
        <w:t>）</w:t>
      </w:r>
      <w:r>
        <w:rPr>
          <w:rFonts w:hint="eastAsia" w:ascii="仿宋" w:hAnsi="仿宋" w:eastAsia="仿宋" w:cs="仿宋"/>
          <w:color w:val="auto"/>
          <w:sz w:val="32"/>
          <w:szCs w:val="32"/>
        </w:rPr>
        <w:t>规划、协调、指导法治人才队伍建设相关工作，负责本系统队伍建设。</w:t>
      </w:r>
    </w:p>
    <w:p>
      <w:pPr>
        <w:overflowPunct w:val="0"/>
        <w:spacing w:line="576" w:lineRule="exact"/>
        <w:ind w:firstLine="640" w:firstLineChars="200"/>
        <w:rPr>
          <w:rFonts w:hint="eastAsia" w:ascii="仿宋" w:hAnsi="仿宋" w:eastAsia="楷体" w:cs="仿宋"/>
          <w:color w:val="auto"/>
          <w:sz w:val="32"/>
          <w:szCs w:val="32"/>
          <w:lang w:eastAsia="zh-CN"/>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10</w:t>
      </w:r>
      <w:r>
        <w:rPr>
          <w:rFonts w:hint="eastAsia" w:ascii="楷体" w:hAnsi="楷体" w:eastAsia="楷体" w:cs="楷体"/>
          <w:color w:val="auto"/>
          <w:sz w:val="32"/>
          <w:szCs w:val="32"/>
        </w:rPr>
        <w:t>）</w:t>
      </w:r>
      <w:r>
        <w:rPr>
          <w:rFonts w:hint="eastAsia" w:ascii="仿宋" w:hAnsi="仿宋" w:eastAsia="仿宋" w:cs="仿宋"/>
          <w:color w:val="auto"/>
          <w:sz w:val="32"/>
          <w:szCs w:val="32"/>
          <w:lang w:eastAsia="zh-CN"/>
        </w:rPr>
        <w:t>承担职责范围内安全生产和职业健康、生态环境保护、审批服务便民化等工作。负责全区外来企业、民营企业法律服务工作。监督管理所属社团组织。</w:t>
      </w:r>
    </w:p>
    <w:p>
      <w:pPr>
        <w:pStyle w:val="7"/>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11</w:t>
      </w:r>
      <w:r>
        <w:rPr>
          <w:rFonts w:hint="eastAsia" w:ascii="楷体" w:hAnsi="楷体" w:eastAsia="楷体" w:cs="楷体"/>
          <w:color w:val="auto"/>
          <w:sz w:val="32"/>
          <w:szCs w:val="32"/>
        </w:rPr>
        <w:t>）</w:t>
      </w:r>
      <w:r>
        <w:rPr>
          <w:rFonts w:hint="eastAsia" w:ascii="仿宋" w:hAnsi="仿宋" w:eastAsia="仿宋" w:cs="仿宋"/>
          <w:color w:val="auto"/>
          <w:sz w:val="32"/>
          <w:szCs w:val="32"/>
        </w:rPr>
        <w:t>完成区委、区政府交办的其他任务。</w:t>
      </w:r>
    </w:p>
    <w:p>
      <w:pPr>
        <w:pStyle w:val="7"/>
        <w:adjustRightInd w:val="0"/>
        <w:snapToGrid w:val="0"/>
        <w:spacing w:before="93" w:line="600" w:lineRule="exact"/>
        <w:ind w:firstLine="672" w:firstLineChars="210"/>
        <w:outlineLvl w:val="2"/>
        <w:rPr>
          <w:rFonts w:hint="eastAsia" w:ascii="仿宋" w:hAnsi="仿宋" w:eastAsia="仿宋"/>
          <w:bCs/>
          <w:color w:val="FF0000"/>
          <w:sz w:val="32"/>
          <w:szCs w:val="32"/>
        </w:rPr>
      </w:pPr>
      <w:bookmarkStart w:id="22" w:name="_Toc15378446"/>
      <w:bookmarkStart w:id="23" w:name="_Toc15377199"/>
      <w:r>
        <w:rPr>
          <w:rFonts w:hint="eastAsia" w:ascii="仿宋" w:hAnsi="仿宋" w:eastAsia="仿宋"/>
          <w:bCs/>
          <w:color w:val="FF0000"/>
          <w:sz w:val="32"/>
          <w:szCs w:val="32"/>
        </w:rPr>
        <w:t>（二）</w:t>
      </w:r>
      <w:r>
        <w:rPr>
          <w:rFonts w:ascii="仿宋" w:hAnsi="仿宋" w:eastAsia="仿宋"/>
          <w:bCs/>
          <w:color w:val="FF0000"/>
          <w:sz w:val="32"/>
          <w:szCs w:val="32"/>
        </w:rPr>
        <w:t>2020</w:t>
      </w:r>
      <w:r>
        <w:rPr>
          <w:rFonts w:hint="eastAsia" w:ascii="仿宋" w:hAnsi="仿宋" w:eastAsia="仿宋"/>
          <w:bCs/>
          <w:color w:val="FF0000"/>
          <w:sz w:val="32"/>
          <w:szCs w:val="32"/>
        </w:rPr>
        <w:t>年重点工作完成情况。</w:t>
      </w:r>
      <w:bookmarkEnd w:id="22"/>
      <w:bookmarkEnd w:id="23"/>
    </w:p>
    <w:p>
      <w:pPr>
        <w:overflowPunct w:val="0"/>
        <w:spacing w:line="576"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新冠”疫情防控履职尽责。坚决服从区指挥部的统一调度，抽调机关7名干部集中到社区开展疫情防控工作。第一时间成立局防疫工作专班，分设法治宣传、特殊人群管控、应急保障等4个专项小组，通过“法治利州”微信公众号、“利州普法”微博发布防疫信息200余条，开展疫情防控法律知识访谈3期，制作防疫宣传音频用于流动宣传和村村通广播滚动播放，印制疫情防控法律知识等宣传资料50000余份。切实加强涉疫矛盾纠纷调处工作，着力推动前段化解。对辖区350余名社区矫正对象开展拉网式排查、台账式管理，未发生一例脱管。</w:t>
      </w:r>
    </w:p>
    <w:p>
      <w:pPr>
        <w:overflowPunct w:val="0"/>
        <w:spacing w:line="576"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全面依法治区纵深推进。一是完善工作体制机制。机构改革后，撤销区依法治区领导小组，组建区委全面依法治区委员会，下设立法、执法、司法和守法普法4个协调小组，印发了各协调小组和办公室工作规则（细则），先后召开区委全面依法治区委员会会议2次。二是认真履行统筹协调职责。严格落实区委全面依法治区委员会办公室职能职责，协调推动4个议事协调机构有序开展工作。印发了《依法治区年度工作要点》《法治政府建设年度工作重点》《乡村振兴法治建设实施方案（2020—2022年）》等一系列牵头揽总文件，全面推动党中央和省委、市委、区委重大决策部署落地落实。三是全覆盖开展法治督察。将依法治区工作列入“九项工作大比武”，纳入年度综合目标绩效考评。严格落实请示报告制度，每年向区委、区人大专题汇报法治建设情况，自觉接受区政协工作调研。建立了督察考评和责任清单管理机制，印发了《考评工作细则》，机构改革后，开展法治督察3次。</w:t>
      </w:r>
    </w:p>
    <w:p>
      <w:pPr>
        <w:overflowPunct w:val="0"/>
        <w:spacing w:line="576"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法治政府建设全面加强。一是规范决策程序。探索建立党政一体的法律顾问管理制度，印发了《广元市利州区法律顾问管理办法（试行）》，择优选聘法律顾问团队10个、律师51名，专业法律服务实现了党政、群团、区属国有企事业单位全覆盖，今年以来，审核政府投资协议</w:t>
      </w:r>
      <w:r>
        <w:rPr>
          <w:rFonts w:hint="eastAsia" w:ascii="仿宋" w:hAnsi="仿宋" w:eastAsia="仿宋" w:cs="仿宋"/>
          <w:color w:val="auto"/>
          <w:sz w:val="32"/>
          <w:szCs w:val="32"/>
          <w:lang w:val="en-US" w:eastAsia="zh-CN"/>
        </w:rPr>
        <w:t>35份</w:t>
      </w:r>
      <w:r>
        <w:rPr>
          <w:rFonts w:hint="eastAsia" w:ascii="仿宋" w:hAnsi="仿宋" w:eastAsia="仿宋" w:cs="仿宋"/>
          <w:color w:val="auto"/>
          <w:sz w:val="32"/>
          <w:szCs w:val="32"/>
          <w:lang w:eastAsia="zh-CN"/>
        </w:rPr>
        <w:t>。全面推行重大决策、规范性文件“四级审查”机制，今年累计审查各类事项</w:t>
      </w:r>
      <w:r>
        <w:rPr>
          <w:rFonts w:hint="eastAsia" w:ascii="仿宋" w:hAnsi="仿宋" w:eastAsia="仿宋" w:cs="仿宋"/>
          <w:color w:val="auto"/>
          <w:sz w:val="32"/>
          <w:szCs w:val="32"/>
          <w:lang w:val="en-US" w:eastAsia="zh-CN"/>
        </w:rPr>
        <w:t>120余件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出具书面合法性审查意见书100份，提供专业法律建议意见230余条，</w:t>
      </w:r>
      <w:r>
        <w:rPr>
          <w:rFonts w:hint="eastAsia" w:ascii="仿宋" w:hAnsi="仿宋" w:eastAsia="仿宋" w:cs="仿宋"/>
          <w:color w:val="auto"/>
          <w:sz w:val="32"/>
          <w:szCs w:val="32"/>
          <w:lang w:eastAsia="zh-CN"/>
        </w:rPr>
        <w:t>为党政决策提供有力法治支撑。二是规范行政执法。全面推进行政执法“三项”制度，加强了食品药品、环保、交通、城市管理等重点领域的执法监督及案件评查。今年</w:t>
      </w:r>
      <w:r>
        <w:rPr>
          <w:rFonts w:hint="eastAsia" w:ascii="仿宋" w:hAnsi="仿宋" w:eastAsia="仿宋" w:cs="仿宋"/>
          <w:color w:val="auto"/>
          <w:sz w:val="32"/>
          <w:szCs w:val="32"/>
          <w:lang w:val="en-US" w:eastAsia="zh-CN"/>
        </w:rPr>
        <w:t>11月</w:t>
      </w:r>
      <w:r>
        <w:rPr>
          <w:rFonts w:hint="eastAsia" w:ascii="仿宋" w:hAnsi="仿宋" w:eastAsia="仿宋" w:cs="仿宋"/>
          <w:color w:val="auto"/>
          <w:sz w:val="32"/>
          <w:szCs w:val="32"/>
          <w:lang w:eastAsia="zh-CN"/>
        </w:rPr>
        <w:t>，司法部行政执法协调监督局局长赵振华一行就基层全面落实行政执法“三项制度”、行政规范性文件合法性审核机制情况对我进行了专项监督调研，给与高度评价。三是规范行政复议应诉。印发了《广元市利州区行政应诉工作规程》《广元市利州区行政机关与人民法院联席会议制度》，实行行政复议案件会审和法律顾问介入机制，全面启用全国行政复议工作平台，案件录入和办理位居全市前列。今年以来，办理行政复议案件12件，按时办结率100%，全国行政复议平台同步录取率100%。办理区政府应诉案件22件，诉讼负责人出庭应诉率100%。</w:t>
      </w:r>
    </w:p>
    <w:p>
      <w:pPr>
        <w:overflowPunct w:val="0"/>
        <w:spacing w:line="576"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普法依法治理成效显著。一是建立完善机制。健全完善“党委统一领导、人大监督、政府实施、部门各负其责、全社会共同参与”的领导体制和工作机制。严格落实国家机关“谁执法谁普法”责任制，全面落实法治宣传教育“</w:t>
      </w:r>
      <w:bookmarkStart w:id="24" w:name="baidusnap5"/>
      <w:bookmarkEnd w:id="24"/>
      <w:r>
        <w:rPr>
          <w:rFonts w:hint="eastAsia" w:ascii="仿宋" w:hAnsi="仿宋" w:eastAsia="仿宋" w:cs="仿宋"/>
          <w:color w:val="auto"/>
          <w:sz w:val="32"/>
          <w:szCs w:val="32"/>
          <w:lang w:eastAsia="zh-CN"/>
        </w:rPr>
        <w:t>四项制度”，逗硬落实督查督办制度。二是务实推动工作。深入学习宣传习近平总书记全面依法治国新理念新思想新战略，抓好宪法、民法典及中国特色社会主义法律体系宣传学习，创新“654321”工作法，抓好“法律七进”和“法律进重点项目”，扎实开展“防控疫情、法治同行”等专项行动，建立健全媒体公益普法制度，系统推进“七五”普法工作，法治宣传教育工作覆盖面100%，人民群众“七五”普法知晓率达96%以上。三是突出示范带动。围绕服务和推动法治利州、脱贫攻坚、乡村振兴和重大项目建设等重点工作，强化法治文化阵地建设，依托基层普法“三类群体”，不断丰富普法宣传教育载体，深入推进实施法治扶贫“六个一”工程。全区建成特色法治文化阵地15个，利用“两微”及手机短信扎实开展普法教育，持续开展“百场法治文艺演出进基层”活动</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场，全区普法质效不断提升。</w:t>
      </w:r>
    </w:p>
    <w:p>
      <w:pPr>
        <w:overflowPunct w:val="0"/>
        <w:spacing w:line="576"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公共法律服务全面升级。一是服务体系不断完善。建成区、乡、村三级实体平台、电话热线平台、网络平台“三位一体”公共法律服务体系，实现157个村（社区）法律顾问全覆盖，集成提供法律咨询、法律援助、矛盾纠纷调解等多样化公共法律服务，率先实现公共法律服务“线上5分钟响应、线下1天内对接”。今年来，累计解答法律咨询</w:t>
      </w:r>
      <w:r>
        <w:rPr>
          <w:rFonts w:hint="eastAsia" w:ascii="仿宋" w:hAnsi="仿宋" w:eastAsia="仿宋" w:cs="仿宋"/>
          <w:color w:val="auto"/>
          <w:sz w:val="32"/>
          <w:szCs w:val="32"/>
          <w:lang w:val="en-US" w:eastAsia="zh-CN"/>
        </w:rPr>
        <w:t>3000余个，</w:t>
      </w:r>
      <w:r>
        <w:rPr>
          <w:rFonts w:hint="eastAsia" w:ascii="仿宋" w:hAnsi="仿宋" w:eastAsia="仿宋" w:cs="仿宋"/>
          <w:color w:val="auto"/>
          <w:sz w:val="32"/>
          <w:szCs w:val="32"/>
          <w:lang w:eastAsia="zh-CN"/>
        </w:rPr>
        <w:t>提供法律援助</w:t>
      </w:r>
      <w:r>
        <w:rPr>
          <w:rFonts w:hint="eastAsia" w:ascii="仿宋" w:hAnsi="仿宋" w:eastAsia="仿宋" w:cs="仿宋"/>
          <w:color w:val="auto"/>
          <w:sz w:val="32"/>
          <w:szCs w:val="32"/>
          <w:lang w:val="en-US" w:eastAsia="zh-CN"/>
        </w:rPr>
        <w:t>1985</w:t>
      </w:r>
      <w:r>
        <w:rPr>
          <w:rFonts w:hint="eastAsia" w:ascii="仿宋" w:hAnsi="仿宋" w:eastAsia="仿宋" w:cs="仿宋"/>
          <w:color w:val="auto"/>
          <w:sz w:val="32"/>
          <w:szCs w:val="32"/>
          <w:lang w:eastAsia="zh-CN"/>
        </w:rPr>
        <w:t>人次，完成全年目标任务1600人次的</w:t>
      </w:r>
      <w:r>
        <w:rPr>
          <w:rFonts w:hint="eastAsia" w:ascii="仿宋" w:hAnsi="仿宋" w:eastAsia="仿宋" w:cs="仿宋"/>
          <w:color w:val="auto"/>
          <w:sz w:val="32"/>
          <w:szCs w:val="32"/>
          <w:lang w:val="en-US" w:eastAsia="zh-CN"/>
        </w:rPr>
        <w:t>124</w:t>
      </w:r>
      <w:r>
        <w:rPr>
          <w:rFonts w:hint="eastAsia" w:ascii="仿宋" w:hAnsi="仿宋" w:eastAsia="仿宋" w:cs="仿宋"/>
          <w:color w:val="auto"/>
          <w:sz w:val="32"/>
          <w:szCs w:val="32"/>
          <w:lang w:eastAsia="zh-CN"/>
        </w:rPr>
        <w:t>%；受理法律援助案件</w:t>
      </w:r>
      <w:r>
        <w:rPr>
          <w:rFonts w:hint="eastAsia" w:ascii="仿宋" w:hAnsi="仿宋" w:eastAsia="仿宋" w:cs="仿宋"/>
          <w:color w:val="auto"/>
          <w:sz w:val="32"/>
          <w:szCs w:val="32"/>
          <w:lang w:val="en-US" w:eastAsia="zh-CN"/>
        </w:rPr>
        <w:t>336</w:t>
      </w:r>
      <w:r>
        <w:rPr>
          <w:rFonts w:hint="eastAsia" w:ascii="仿宋" w:hAnsi="仿宋" w:eastAsia="仿宋" w:cs="仿宋"/>
          <w:color w:val="auto"/>
          <w:sz w:val="32"/>
          <w:szCs w:val="32"/>
          <w:lang w:eastAsia="zh-CN"/>
        </w:rPr>
        <w:t>件，目标任务完成率</w:t>
      </w:r>
      <w:r>
        <w:rPr>
          <w:rFonts w:hint="eastAsia" w:ascii="仿宋" w:hAnsi="仿宋" w:eastAsia="仿宋" w:cs="仿宋"/>
          <w:color w:val="auto"/>
          <w:sz w:val="32"/>
          <w:szCs w:val="32"/>
          <w:lang w:val="en-US" w:eastAsia="zh-CN"/>
        </w:rPr>
        <w:t>224</w:t>
      </w:r>
      <w:r>
        <w:rPr>
          <w:rFonts w:hint="eastAsia" w:ascii="仿宋" w:hAnsi="仿宋" w:eastAsia="仿宋" w:cs="仿宋"/>
          <w:color w:val="auto"/>
          <w:sz w:val="32"/>
          <w:szCs w:val="32"/>
          <w:lang w:eastAsia="zh-CN"/>
        </w:rPr>
        <w:t>%；办理其他法律援助事项</w:t>
      </w:r>
      <w:r>
        <w:rPr>
          <w:rFonts w:hint="eastAsia" w:ascii="仿宋" w:hAnsi="仿宋" w:eastAsia="仿宋" w:cs="仿宋"/>
          <w:color w:val="auto"/>
          <w:sz w:val="32"/>
          <w:szCs w:val="32"/>
          <w:lang w:val="en-US" w:eastAsia="zh-CN"/>
        </w:rPr>
        <w:t>1313</w:t>
      </w:r>
      <w:r>
        <w:rPr>
          <w:rFonts w:hint="eastAsia" w:ascii="仿宋" w:hAnsi="仿宋" w:eastAsia="仿宋" w:cs="仿宋"/>
          <w:color w:val="auto"/>
          <w:sz w:val="32"/>
          <w:szCs w:val="32"/>
          <w:lang w:eastAsia="zh-CN"/>
        </w:rPr>
        <w:t>件，目标任务完成率</w:t>
      </w:r>
      <w:r>
        <w:rPr>
          <w:rFonts w:hint="eastAsia" w:ascii="仿宋" w:hAnsi="仿宋" w:eastAsia="仿宋" w:cs="仿宋"/>
          <w:color w:val="auto"/>
          <w:sz w:val="32"/>
          <w:szCs w:val="32"/>
          <w:lang w:val="en-US" w:eastAsia="zh-CN"/>
        </w:rPr>
        <w:t>101</w:t>
      </w:r>
      <w:r>
        <w:rPr>
          <w:rFonts w:hint="eastAsia" w:ascii="仿宋" w:hAnsi="仿宋" w:eastAsia="仿宋" w:cs="仿宋"/>
          <w:color w:val="auto"/>
          <w:sz w:val="32"/>
          <w:szCs w:val="32"/>
          <w:lang w:eastAsia="zh-CN"/>
        </w:rPr>
        <w:t>%，办理公证409件，公证费收入23万余元，满意率达到99％。二是营商环境不断优化。组建了以司法所助理员、律师、基层法律服务工作者为主的法律服务团14个，分片区、分行业全覆盖深入建筑工地、项目现场、产业园区，对劳务用工及企业运行开展法治体检</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lang w:eastAsia="zh-CN"/>
        </w:rPr>
        <w:t>0余次，涉及农民工</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000余人，梳理法律风险</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0余条，提供法律意见或建议</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lang w:eastAsia="zh-CN"/>
        </w:rPr>
        <w:t>0余条。三是服务效率不断提升。建成具有区域影响力的律师事务所和法律服务所</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个，示范带动行业整体提升，推动行业生态不断优化。</w:t>
      </w:r>
    </w:p>
    <w:p>
      <w:pPr>
        <w:overflowPunct w:val="0"/>
        <w:spacing w:line="576"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基层治理水平不断提升。一是规范社区矫正。健全完善社区矫正管理体制和工作机制，立足“管理、教育、帮扶”三大职能，切实抓好社区矫正工作，最大限度减少矫正对象重新犯罪。截至目前，全区累计接收社区矫正对象2379人，累计解矫2060人，目前在册社区矫正对象319人，重新犯罪率低于0.1%。二是做实人民调解。坚持日常排查、定期排查、专项排查相结合，对重点领域、重点行业、重点群体进行全方位摸排，持续深化“1133”矛盾多元化解工作方法，努力把矛盾解决在基层、化解在萌芽状态。今年以来，全区共受理人民调解案件</w:t>
      </w:r>
      <w:r>
        <w:rPr>
          <w:rFonts w:hint="eastAsia" w:ascii="仿宋" w:hAnsi="仿宋" w:eastAsia="仿宋" w:cs="仿宋"/>
          <w:color w:val="auto"/>
          <w:sz w:val="32"/>
          <w:szCs w:val="32"/>
          <w:lang w:val="en-US" w:eastAsia="zh-CN"/>
        </w:rPr>
        <w:t>766</w:t>
      </w:r>
      <w:r>
        <w:rPr>
          <w:rFonts w:hint="eastAsia" w:ascii="仿宋" w:hAnsi="仿宋" w:eastAsia="仿宋" w:cs="仿宋"/>
          <w:color w:val="auto"/>
          <w:sz w:val="32"/>
          <w:szCs w:val="32"/>
          <w:lang w:eastAsia="zh-CN"/>
        </w:rPr>
        <w:t>件，成功调解</w:t>
      </w:r>
      <w:r>
        <w:rPr>
          <w:rFonts w:hint="eastAsia" w:ascii="仿宋" w:hAnsi="仿宋" w:eastAsia="仿宋" w:cs="仿宋"/>
          <w:color w:val="auto"/>
          <w:sz w:val="32"/>
          <w:szCs w:val="32"/>
          <w:lang w:val="en-US" w:eastAsia="zh-CN"/>
        </w:rPr>
        <w:t>764</w:t>
      </w:r>
      <w:r>
        <w:rPr>
          <w:rFonts w:hint="eastAsia" w:ascii="仿宋" w:hAnsi="仿宋" w:eastAsia="仿宋" w:cs="仿宋"/>
          <w:color w:val="auto"/>
          <w:sz w:val="32"/>
          <w:szCs w:val="32"/>
          <w:lang w:eastAsia="zh-CN"/>
        </w:rPr>
        <w:t>件，调解成功率</w:t>
      </w:r>
      <w:r>
        <w:rPr>
          <w:rFonts w:hint="eastAsia" w:ascii="仿宋" w:hAnsi="仿宋" w:eastAsia="仿宋" w:cs="仿宋"/>
          <w:color w:val="auto"/>
          <w:sz w:val="32"/>
          <w:szCs w:val="32"/>
          <w:lang w:val="en-US" w:eastAsia="zh-CN"/>
        </w:rPr>
        <w:t>99.74</w:t>
      </w:r>
      <w:r>
        <w:rPr>
          <w:rFonts w:hint="eastAsia" w:ascii="仿宋" w:hAnsi="仿宋" w:eastAsia="仿宋" w:cs="仿宋"/>
          <w:color w:val="auto"/>
          <w:sz w:val="32"/>
          <w:szCs w:val="32"/>
          <w:lang w:eastAsia="zh-CN"/>
        </w:rPr>
        <w:t>%，涉及金额</w:t>
      </w:r>
      <w:r>
        <w:rPr>
          <w:rFonts w:hint="eastAsia" w:ascii="仿宋" w:hAnsi="仿宋" w:eastAsia="仿宋" w:cs="仿宋"/>
          <w:color w:val="auto"/>
          <w:sz w:val="32"/>
          <w:szCs w:val="32"/>
          <w:lang w:val="en-US" w:eastAsia="zh-CN"/>
        </w:rPr>
        <w:t>567.04</w:t>
      </w:r>
      <w:r>
        <w:rPr>
          <w:rFonts w:hint="eastAsia" w:ascii="仿宋" w:hAnsi="仿宋" w:eastAsia="仿宋" w:cs="仿宋"/>
          <w:color w:val="auto"/>
          <w:sz w:val="32"/>
          <w:szCs w:val="32"/>
          <w:lang w:eastAsia="zh-CN"/>
        </w:rPr>
        <w:t>万元，排查纠纷</w:t>
      </w:r>
      <w:r>
        <w:rPr>
          <w:rFonts w:hint="eastAsia" w:ascii="仿宋" w:hAnsi="仿宋" w:eastAsia="仿宋" w:cs="仿宋"/>
          <w:color w:val="auto"/>
          <w:sz w:val="32"/>
          <w:szCs w:val="32"/>
          <w:lang w:val="en-US" w:eastAsia="zh-CN"/>
        </w:rPr>
        <w:t>540</w:t>
      </w:r>
      <w:r>
        <w:rPr>
          <w:rFonts w:hint="eastAsia" w:ascii="仿宋" w:hAnsi="仿宋" w:eastAsia="仿宋" w:cs="仿宋"/>
          <w:color w:val="auto"/>
          <w:sz w:val="32"/>
          <w:szCs w:val="32"/>
          <w:lang w:eastAsia="zh-CN"/>
        </w:rPr>
        <w:t>次，预防纠纷</w:t>
      </w:r>
      <w:r>
        <w:rPr>
          <w:rFonts w:hint="eastAsia" w:ascii="仿宋" w:hAnsi="仿宋" w:eastAsia="仿宋" w:cs="仿宋"/>
          <w:color w:val="auto"/>
          <w:sz w:val="32"/>
          <w:szCs w:val="32"/>
          <w:lang w:val="en-US" w:eastAsia="zh-CN"/>
        </w:rPr>
        <w:t>86</w:t>
      </w:r>
      <w:r>
        <w:rPr>
          <w:rFonts w:hint="eastAsia" w:ascii="仿宋" w:hAnsi="仿宋" w:eastAsia="仿宋" w:cs="仿宋"/>
          <w:color w:val="auto"/>
          <w:sz w:val="32"/>
          <w:szCs w:val="32"/>
          <w:lang w:eastAsia="zh-CN"/>
        </w:rPr>
        <w:t>件，无民转刑案件发生。三是规范司法所建设。全面加强司法所标准化建设，做到外观机构设置、办公设施、标志标识、公示公开“四个统一”，内部管理规章制度、工作台账、档案管理“三个统一”，全区建成全国模范司法所1个、省级规范化司法所9个，规范化比例全省靠前。</w:t>
      </w:r>
    </w:p>
    <w:p>
      <w:pPr>
        <w:overflowPunct w:val="0"/>
        <w:spacing w:line="576" w:lineRule="exact"/>
        <w:ind w:firstLine="640" w:firstLineChars="200"/>
        <w:rPr>
          <w:rFonts w:hint="eastAsia" w:ascii="仿宋" w:hAnsi="仿宋" w:eastAsia="仿宋"/>
          <w:bCs/>
          <w:color w:val="000000"/>
          <w:sz w:val="32"/>
          <w:szCs w:val="32"/>
        </w:rPr>
      </w:pPr>
      <w:r>
        <w:rPr>
          <w:rFonts w:hint="eastAsia" w:ascii="仿宋" w:hAnsi="仿宋" w:eastAsia="仿宋" w:cs="仿宋"/>
          <w:color w:val="auto"/>
          <w:sz w:val="32"/>
          <w:szCs w:val="32"/>
          <w:lang w:val="en-US" w:eastAsia="zh-CN"/>
        </w:rPr>
        <w:t>（7）切实加强党的建设。一是严格落实党建主体责任。聚焦党建主责主业，力促党建工作与业务工作相融相促。以党建品牌创建为总抓手，抓好党员日常教育，大力推行党支部“十个标准化建设”，建立律师党支部4个，打造“两新”组织党建示范点1个。</w:t>
      </w:r>
      <w:r>
        <w:rPr>
          <w:rFonts w:hint="eastAsia" w:ascii="仿宋" w:hAnsi="仿宋" w:eastAsia="仿宋" w:cs="仿宋"/>
          <w:color w:val="auto"/>
          <w:sz w:val="32"/>
          <w:szCs w:val="32"/>
          <w:lang w:eastAsia="zh-CN"/>
        </w:rPr>
        <w:t>受到全国表彰</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人，全省表彰</w:t>
      </w:r>
      <w:r>
        <w:rPr>
          <w:rFonts w:hint="eastAsia" w:ascii="仿宋" w:hAnsi="仿宋" w:eastAsia="仿宋" w:cs="仿宋"/>
          <w:color w:val="auto"/>
          <w:sz w:val="32"/>
          <w:szCs w:val="32"/>
          <w:lang w:val="en-US" w:eastAsia="zh-CN"/>
        </w:rPr>
        <w:t>1人，</w:t>
      </w:r>
      <w:r>
        <w:rPr>
          <w:rFonts w:hint="eastAsia" w:ascii="仿宋" w:hAnsi="仿宋" w:eastAsia="仿宋" w:cs="仿宋"/>
          <w:color w:val="auto"/>
          <w:sz w:val="32"/>
          <w:szCs w:val="32"/>
          <w:lang w:eastAsia="zh-CN"/>
        </w:rPr>
        <w:t>干部队伍结构不断优化，素质不断提升。</w:t>
      </w:r>
      <w:r>
        <w:rPr>
          <w:rFonts w:hint="eastAsia" w:ascii="仿宋" w:hAnsi="仿宋" w:eastAsia="仿宋" w:cs="仿宋"/>
          <w:color w:val="auto"/>
          <w:sz w:val="32"/>
          <w:szCs w:val="32"/>
          <w:lang w:val="en-US" w:eastAsia="zh-CN"/>
        </w:rPr>
        <w:t>二是严格落实</w:t>
      </w:r>
      <w:r>
        <w:rPr>
          <w:rFonts w:hint="eastAsia" w:ascii="仿宋" w:hAnsi="仿宋" w:eastAsia="仿宋" w:cs="仿宋"/>
          <w:color w:val="auto"/>
          <w:sz w:val="32"/>
          <w:szCs w:val="32"/>
          <w:lang w:eastAsia="zh-CN"/>
        </w:rPr>
        <w:t>党风廉政“一岗双责”。认真落实“一把手”抓党风廉政建设工作机制，层层传导廉政压力，全面排查廉政风险点，积极构建廉政风险防控长效机制。三是认真落实意识形态工作责任制。落实领导班子主体责任、主要领导第一责任、分管领导直接责任、班子成员“一岗双责”责任意识，压紧压实工作责任，形成齐抓共管、各负其责、协同推进的工作格局。</w:t>
      </w:r>
    </w:p>
    <w:p>
      <w:pPr>
        <w:pStyle w:val="5"/>
        <w:rPr>
          <w:rStyle w:val="27"/>
          <w:b w:val="0"/>
          <w:bCs w:val="0"/>
        </w:rPr>
      </w:pPr>
      <w:bookmarkStart w:id="25" w:name="_Toc15396601"/>
      <w:bookmarkStart w:id="26" w:name="_Toc15377200"/>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25"/>
      <w:bookmarkEnd w:id="26"/>
    </w:p>
    <w:p>
      <w:pPr>
        <w:ind w:firstLine="800" w:firstLineChars="250"/>
        <w:rPr>
          <w:rFonts w:ascii="仿宋" w:hAnsi="仿宋" w:eastAsia="仿宋"/>
          <w:sz w:val="32"/>
          <w:szCs w:val="32"/>
        </w:rPr>
      </w:pPr>
      <w:r>
        <w:rPr>
          <w:rFonts w:hint="eastAsia" w:ascii="仿宋" w:hAnsi="仿宋" w:eastAsia="仿宋"/>
          <w:sz w:val="32"/>
          <w:szCs w:val="32"/>
          <w:lang w:eastAsia="zh-CN"/>
        </w:rPr>
        <w:t>利州区司法局</w:t>
      </w:r>
      <w:r>
        <w:rPr>
          <w:rFonts w:hint="eastAsia" w:ascii="仿宋" w:hAnsi="仿宋" w:eastAsia="仿宋"/>
          <w:sz w:val="32"/>
          <w:szCs w:val="32"/>
        </w:rPr>
        <w:t>下属二级单位</w:t>
      </w:r>
      <w:r>
        <w:rPr>
          <w:rFonts w:hint="eastAsia" w:ascii="仿宋" w:hAnsi="仿宋" w:eastAsia="仿宋"/>
          <w:sz w:val="32"/>
          <w:szCs w:val="32"/>
          <w:lang w:val="en-US" w:eastAsia="zh-CN"/>
        </w:rPr>
        <w:t>2</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1</w:t>
      </w:r>
      <w:r>
        <w:rPr>
          <w:rFonts w:hint="eastAsia" w:ascii="仿宋" w:hAnsi="仿宋" w:eastAsia="仿宋"/>
          <w:sz w:val="32"/>
          <w:szCs w:val="32"/>
        </w:rPr>
        <w:t>个，其他事业单位</w:t>
      </w:r>
      <w:r>
        <w:rPr>
          <w:rFonts w:hint="eastAsia" w:ascii="仿宋" w:hAnsi="仿宋" w:eastAsia="仿宋"/>
          <w:sz w:val="32"/>
          <w:szCs w:val="32"/>
          <w:lang w:val="en-US" w:eastAsia="zh-CN"/>
        </w:rPr>
        <w:t>1</w:t>
      </w:r>
      <w:r>
        <w:rPr>
          <w:rFonts w:hint="eastAsia" w:ascii="仿宋" w:hAnsi="仿宋" w:eastAsia="仿宋"/>
          <w:sz w:val="32"/>
          <w:szCs w:val="32"/>
        </w:rPr>
        <w:t>个。</w:t>
      </w:r>
    </w:p>
    <w:p>
      <w:pPr>
        <w:pStyle w:val="7"/>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ascii="仿宋" w:hAnsi="仿宋" w:eastAsia="仿宋"/>
          <w:color w:val="000000"/>
          <w:sz w:val="32"/>
          <w:szCs w:val="32"/>
        </w:rPr>
        <w:t>2020</w:t>
      </w:r>
      <w:r>
        <w:rPr>
          <w:rFonts w:hint="eastAsia" w:ascii="仿宋" w:hAnsi="仿宋" w:eastAsia="仿宋"/>
          <w:color w:val="000000"/>
          <w:sz w:val="32"/>
          <w:szCs w:val="32"/>
        </w:rPr>
        <w:t>年度部门决算编制范围的二级预算单位包括：</w:t>
      </w:r>
    </w:p>
    <w:p>
      <w:pPr>
        <w:pStyle w:val="7"/>
        <w:numPr>
          <w:ilvl w:val="0"/>
          <w:numId w:val="1"/>
        </w:numPr>
        <w:adjustRightInd w:val="0"/>
        <w:snapToGrid w:val="0"/>
        <w:spacing w:before="93" w:line="600" w:lineRule="exact"/>
        <w:ind w:left="1320" w:leftChars="0" w:firstLineChars="0"/>
        <w:outlineLvl w:val="2"/>
        <w:rPr>
          <w:rFonts w:hint="eastAsia" w:ascii="仿宋" w:hAnsi="仿宋" w:eastAsia="仿宋"/>
          <w:color w:val="000000"/>
          <w:sz w:val="32"/>
          <w:szCs w:val="32"/>
          <w:lang w:eastAsia="zh-CN"/>
        </w:rPr>
      </w:pPr>
      <w:bookmarkStart w:id="27" w:name="_Toc15377202"/>
      <w:bookmarkStart w:id="28" w:name="_Toc15306276"/>
      <w:bookmarkStart w:id="29" w:name="_Toc15377433"/>
      <w:bookmarkStart w:id="30" w:name="_Toc15378449"/>
      <w:r>
        <w:rPr>
          <w:rFonts w:hint="eastAsia" w:ascii="仿宋" w:hAnsi="仿宋" w:eastAsia="仿宋"/>
          <w:color w:val="000000"/>
          <w:sz w:val="32"/>
          <w:szCs w:val="32"/>
          <w:lang w:eastAsia="zh-CN"/>
        </w:rPr>
        <w:t>法律援助中心</w:t>
      </w:r>
      <w:bookmarkEnd w:id="27"/>
      <w:bookmarkEnd w:id="28"/>
      <w:bookmarkEnd w:id="29"/>
      <w:bookmarkEnd w:id="30"/>
    </w:p>
    <w:p>
      <w:pPr>
        <w:pStyle w:val="4"/>
        <w:ind w:right="440"/>
        <w:jc w:val="right"/>
      </w:pPr>
      <w:bookmarkStart w:id="31" w:name="_Toc15377204"/>
      <w:bookmarkStart w:id="32" w:name="_Toc26342"/>
      <w:bookmarkStart w:id="33" w:name="_Toc15396602"/>
      <w:r>
        <w:rPr>
          <w:rFonts w:hint="eastAsia" w:ascii="黑体" w:hAnsi="黑体" w:eastAsia="黑体"/>
          <w:b w:val="0"/>
          <w:color w:val="000000"/>
        </w:rPr>
        <w:t>第二部分</w:t>
      </w:r>
      <w:r>
        <w:rPr>
          <w:rFonts w:ascii="黑体" w:hAnsi="黑体" w:eastAsia="黑体"/>
          <w:color w:val="000000"/>
        </w:rPr>
        <w:t xml:space="preserve"> </w:t>
      </w:r>
      <w:r>
        <w:rPr>
          <w:rStyle w:val="26"/>
          <w:rFonts w:ascii="黑体" w:hAnsi="黑体" w:eastAsia="黑体"/>
          <w:b w:val="0"/>
          <w:bCs w:val="0"/>
        </w:rPr>
        <w:t>2020</w:t>
      </w:r>
      <w:r>
        <w:rPr>
          <w:rStyle w:val="26"/>
          <w:rFonts w:hint="eastAsia" w:ascii="黑体" w:hAnsi="黑体" w:eastAsia="黑体"/>
          <w:b w:val="0"/>
          <w:bCs w:val="0"/>
        </w:rPr>
        <w:t>年度部门决算情况说明</w:t>
      </w:r>
      <w:bookmarkEnd w:id="31"/>
      <w:bookmarkEnd w:id="32"/>
      <w:bookmarkEnd w:id="33"/>
    </w:p>
    <w:p>
      <w:pPr>
        <w:pStyle w:val="30"/>
        <w:numPr>
          <w:ilvl w:val="0"/>
          <w:numId w:val="2"/>
        </w:numPr>
        <w:spacing w:line="600" w:lineRule="exact"/>
        <w:ind w:firstLineChars="0"/>
        <w:outlineLvl w:val="1"/>
        <w:rPr>
          <w:rStyle w:val="27"/>
          <w:rFonts w:ascii="黑体" w:hAnsi="黑体" w:eastAsia="黑体"/>
          <w:b w:val="0"/>
        </w:rPr>
      </w:pPr>
      <w:bookmarkStart w:id="34" w:name="_Toc15396603"/>
      <w:bookmarkStart w:id="35" w:name="_Toc15377205"/>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34"/>
      <w:bookmarkEnd w:id="35"/>
    </w:p>
    <w:p>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2020</w:t>
      </w:r>
      <w:r>
        <w:rPr>
          <w:rFonts w:hint="eastAsia" w:ascii="仿宋" w:hAnsi="仿宋" w:eastAsia="仿宋"/>
          <w:color w:val="000000"/>
          <w:sz w:val="32"/>
          <w:szCs w:val="32"/>
        </w:rPr>
        <w:t>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1471.64</w:t>
      </w:r>
      <w:r>
        <w:rPr>
          <w:rFonts w:hint="eastAsia" w:ascii="仿宋" w:hAnsi="仿宋" w:eastAsia="仿宋"/>
          <w:color w:val="000000"/>
          <w:sz w:val="32"/>
          <w:szCs w:val="32"/>
        </w:rPr>
        <w:t>万元。与</w:t>
      </w:r>
      <w:r>
        <w:rPr>
          <w:rFonts w:ascii="仿宋" w:hAnsi="仿宋" w:eastAsia="仿宋"/>
          <w:color w:val="000000"/>
          <w:sz w:val="32"/>
          <w:szCs w:val="32"/>
        </w:rPr>
        <w:t>2019</w:t>
      </w:r>
      <w:r>
        <w:rPr>
          <w:rFonts w:hint="eastAsia" w:ascii="仿宋" w:hAnsi="仿宋" w:eastAsia="仿宋"/>
          <w:color w:val="000000"/>
          <w:sz w:val="32"/>
          <w:szCs w:val="32"/>
        </w:rPr>
        <w:t>年相比，收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总计各减少</w:t>
      </w:r>
      <w:r>
        <w:rPr>
          <w:rFonts w:hint="eastAsia" w:ascii="仿宋" w:hAnsi="仿宋" w:eastAsia="仿宋"/>
          <w:color w:val="000000"/>
          <w:sz w:val="32"/>
          <w:szCs w:val="32"/>
          <w:lang w:val="en-US" w:eastAsia="zh-CN"/>
        </w:rPr>
        <w:t>218.58</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12.93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2020年度支出1342.29万元，</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总计各减少</w:t>
      </w:r>
      <w:r>
        <w:rPr>
          <w:rFonts w:hint="eastAsia" w:ascii="仿宋" w:hAnsi="仿宋" w:eastAsia="仿宋"/>
          <w:color w:val="000000"/>
          <w:sz w:val="32"/>
          <w:szCs w:val="32"/>
          <w:lang w:val="en-US" w:eastAsia="zh-CN"/>
        </w:rPr>
        <w:t>82.57</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5.79</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2019年度我局购办公业务用房导致收入高于2020年度。</w:t>
      </w:r>
    </w:p>
    <w:p>
      <w:pPr>
        <w:spacing w:line="600" w:lineRule="exact"/>
        <w:rPr>
          <w:rFonts w:hint="default"/>
          <w:lang w:val="en-US" w:eastAsia="zh-CN"/>
        </w:rPr>
      </w:pPr>
      <w:r>
        <w:drawing>
          <wp:anchor distT="0" distB="0" distL="114300" distR="114300" simplePos="0" relativeHeight="251661312" behindDoc="0" locked="0" layoutInCell="1" allowOverlap="1">
            <wp:simplePos x="0" y="0"/>
            <wp:positionH relativeFrom="column">
              <wp:posOffset>441960</wp:posOffset>
            </wp:positionH>
            <wp:positionV relativeFrom="paragraph">
              <wp:posOffset>476885</wp:posOffset>
            </wp:positionV>
            <wp:extent cx="4441825" cy="2603500"/>
            <wp:effectExtent l="4445" t="4445" r="11430" b="20955"/>
            <wp:wrapSquare wrapText="bothSides"/>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pStyle w:val="30"/>
        <w:numPr>
          <w:ilvl w:val="0"/>
          <w:numId w:val="2"/>
        </w:numPr>
        <w:spacing w:line="600" w:lineRule="exact"/>
        <w:ind w:firstLineChars="0"/>
        <w:outlineLvl w:val="1"/>
        <w:rPr>
          <w:rStyle w:val="27"/>
          <w:rFonts w:ascii="黑体" w:hAnsi="黑体" w:eastAsia="黑体"/>
          <w:b w:val="0"/>
        </w:rPr>
      </w:pPr>
      <w:bookmarkStart w:id="36" w:name="_Toc15377206"/>
      <w:bookmarkStart w:id="37" w:name="_Toc15396604"/>
      <w:r>
        <w:rPr>
          <w:rFonts w:hint="eastAsia" w:ascii="黑体" w:hAnsi="黑体" w:eastAsia="黑体"/>
          <w:color w:val="000000"/>
          <w:sz w:val="32"/>
          <w:szCs w:val="32"/>
        </w:rPr>
        <w:t>收</w:t>
      </w:r>
      <w:r>
        <w:rPr>
          <w:rStyle w:val="27"/>
          <w:rFonts w:hint="eastAsia" w:ascii="黑体" w:hAnsi="黑体" w:eastAsia="黑体"/>
          <w:b w:val="0"/>
        </w:rPr>
        <w:t>入决算情况说明</w:t>
      </w:r>
      <w:bookmarkEnd w:id="36"/>
      <w:bookmarkEnd w:id="3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1471.64</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1471.64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；上级补助收入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2" w:firstLineChars="200"/>
        <w:outlineLvl w:val="1"/>
        <w:rPr>
          <w:rFonts w:hint="eastAsia"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01</w:t>
      </w:r>
      <w:r>
        <w:rPr>
          <w:rFonts w:hint="eastAsia" w:ascii="仿宋" w:hAnsi="仿宋" w:eastAsia="仿宋"/>
          <w:b/>
          <w:color w:val="FF0000"/>
          <w:sz w:val="32"/>
          <w:szCs w:val="32"/>
        </w:rPr>
        <w:t>表）</w:t>
      </w:r>
    </w:p>
    <w:p>
      <w:pPr>
        <w:spacing w:line="600" w:lineRule="exact"/>
        <w:ind w:firstLine="640" w:firstLineChars="200"/>
        <w:outlineLvl w:val="1"/>
        <w:rPr>
          <w:rFonts w:hint="eastAsia" w:ascii="仿宋" w:hAnsi="仿宋" w:eastAsia="仿宋"/>
          <w:b/>
          <w:color w:val="FF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：收入决算结构图）（饼状图）</w:t>
      </w:r>
    </w:p>
    <w:p>
      <w:pPr>
        <w:spacing w:line="600" w:lineRule="exact"/>
        <w:ind w:firstLine="420" w:firstLineChars="200"/>
      </w:pPr>
      <w:r>
        <w:drawing>
          <wp:anchor distT="0" distB="0" distL="114300" distR="114300" simplePos="0" relativeHeight="251659264" behindDoc="0" locked="0" layoutInCell="1" allowOverlap="1">
            <wp:simplePos x="0" y="0"/>
            <wp:positionH relativeFrom="column">
              <wp:posOffset>18415</wp:posOffset>
            </wp:positionH>
            <wp:positionV relativeFrom="paragraph">
              <wp:posOffset>231140</wp:posOffset>
            </wp:positionV>
            <wp:extent cx="5137150" cy="2962275"/>
            <wp:effectExtent l="4445" t="4445" r="20955" b="5080"/>
            <wp:wrapSquare wrapText="bothSides"/>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p>
    <w:p>
      <w:pPr>
        <w:pStyle w:val="2"/>
      </w:pPr>
    </w:p>
    <w:p>
      <w:pPr>
        <w:pStyle w:val="2"/>
        <w:ind w:left="0" w:leftChars="0" w:firstLine="0" w:firstLineChars="0"/>
        <w:rPr>
          <w:rFonts w:ascii="仿宋_GB2312" w:eastAsia="仿宋_GB2312"/>
          <w:color w:val="FF0000"/>
          <w:sz w:val="32"/>
          <w:szCs w:val="32"/>
        </w:rPr>
      </w:pPr>
    </w:p>
    <w:p>
      <w:pPr>
        <w:pStyle w:val="2"/>
      </w:pPr>
    </w:p>
    <w:p>
      <w:pPr>
        <w:pStyle w:val="30"/>
        <w:numPr>
          <w:ilvl w:val="0"/>
          <w:numId w:val="2"/>
        </w:numPr>
        <w:spacing w:line="600" w:lineRule="exact"/>
        <w:ind w:firstLineChars="0"/>
        <w:outlineLvl w:val="1"/>
        <w:rPr>
          <w:rFonts w:ascii="仿宋" w:hAnsi="仿宋" w:eastAsia="仿宋"/>
          <w:color w:val="000000"/>
          <w:sz w:val="32"/>
          <w:szCs w:val="32"/>
        </w:rPr>
      </w:pPr>
      <w:bookmarkStart w:id="38" w:name="_Toc15396605"/>
      <w:bookmarkStart w:id="39" w:name="_Toc15377207"/>
      <w:r>
        <w:rPr>
          <w:rFonts w:hint="eastAsia" w:ascii="黑体" w:hAnsi="黑体" w:eastAsia="黑体"/>
          <w:color w:val="000000"/>
          <w:sz w:val="32"/>
          <w:szCs w:val="32"/>
        </w:rPr>
        <w:t>支</w:t>
      </w:r>
      <w:r>
        <w:rPr>
          <w:rStyle w:val="27"/>
          <w:rFonts w:hint="eastAsia" w:ascii="黑体" w:hAnsi="黑体" w:eastAsia="黑体"/>
          <w:b w:val="0"/>
        </w:rPr>
        <w:t>出决算情况说明</w:t>
      </w:r>
      <w:bookmarkEnd w:id="38"/>
      <w:bookmarkEnd w:id="3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1342.29</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884.76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65.91</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457.53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34.09</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2" w:firstLineChars="200"/>
        <w:outlineLvl w:val="1"/>
        <w:rPr>
          <w:rFonts w:ascii="仿宋" w:hAnsi="仿宋" w:eastAsia="仿宋"/>
          <w:color w:val="000000"/>
          <w:sz w:val="32"/>
          <w:szCs w:val="32"/>
          <w:shd w:val="pct10" w:color="auto" w:fill="FFFFFF"/>
        </w:rPr>
      </w:pPr>
      <w:r>
        <w:rPr>
          <w:rFonts w:hint="eastAsia" w:ascii="仿宋" w:hAnsi="仿宋" w:eastAsia="仿宋"/>
          <w:b/>
          <w:color w:val="FF0000"/>
          <w:sz w:val="32"/>
          <w:szCs w:val="32"/>
        </w:rPr>
        <w:t>（注：数据来源于财决</w:t>
      </w:r>
      <w:r>
        <w:rPr>
          <w:rFonts w:ascii="仿宋" w:hAnsi="仿宋" w:eastAsia="仿宋"/>
          <w:b/>
          <w:color w:val="FF0000"/>
          <w:sz w:val="32"/>
          <w:szCs w:val="32"/>
        </w:rPr>
        <w:t>04</w:t>
      </w:r>
      <w:r>
        <w:rPr>
          <w:rFonts w:hint="eastAsia" w:ascii="仿宋" w:hAnsi="仿宋" w:eastAsia="仿宋"/>
          <w:b/>
          <w:color w:val="FF0000"/>
          <w:sz w:val="32"/>
          <w:szCs w:val="32"/>
        </w:rPr>
        <w:t>表）</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p>
    <w:p>
      <w:pPr>
        <w:spacing w:line="600" w:lineRule="exact"/>
        <w:ind w:firstLine="420" w:firstLineChars="200"/>
        <w:rPr>
          <w:rFonts w:ascii="仿宋_GB2312" w:eastAsia="仿宋_GB2312"/>
          <w:color w:val="FF0000"/>
          <w:sz w:val="32"/>
          <w:szCs w:val="32"/>
        </w:rPr>
      </w:pPr>
      <w:r>
        <w:drawing>
          <wp:anchor distT="0" distB="0" distL="114300" distR="114300" simplePos="0" relativeHeight="251660288" behindDoc="0" locked="0" layoutInCell="1" allowOverlap="1">
            <wp:simplePos x="0" y="0"/>
            <wp:positionH relativeFrom="column">
              <wp:posOffset>160655</wp:posOffset>
            </wp:positionH>
            <wp:positionV relativeFrom="paragraph">
              <wp:posOffset>104775</wp:posOffset>
            </wp:positionV>
            <wp:extent cx="4572000" cy="2743200"/>
            <wp:effectExtent l="4445" t="4445" r="14605" b="14605"/>
            <wp:wrapSquare wrapText="bothSides"/>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pStyle w:val="2"/>
        <w:rPr>
          <w:rFonts w:ascii="仿宋_GB2312" w:eastAsia="仿宋_GB2312"/>
          <w:color w:val="FF0000"/>
          <w:sz w:val="32"/>
          <w:szCs w:val="32"/>
        </w:rPr>
      </w:pPr>
    </w:p>
    <w:p>
      <w:pPr>
        <w:pStyle w:val="2"/>
        <w:rPr>
          <w:rFonts w:ascii="仿宋_GB2312" w:eastAsia="仿宋_GB2312"/>
          <w:color w:val="FF0000"/>
          <w:sz w:val="32"/>
          <w:szCs w:val="32"/>
        </w:rPr>
      </w:pPr>
    </w:p>
    <w:p>
      <w:pPr>
        <w:pStyle w:val="2"/>
        <w:rPr>
          <w:rFonts w:ascii="仿宋_GB2312" w:eastAsia="仿宋_GB2312"/>
          <w:color w:val="FF0000"/>
          <w:sz w:val="32"/>
          <w:szCs w:val="32"/>
        </w:rPr>
      </w:pPr>
    </w:p>
    <w:p>
      <w:pPr>
        <w:pStyle w:val="2"/>
        <w:rPr>
          <w:rFonts w:ascii="仿宋_GB2312" w:eastAsia="仿宋_GB2312"/>
          <w:color w:val="FF0000"/>
          <w:sz w:val="32"/>
          <w:szCs w:val="32"/>
        </w:rPr>
      </w:pPr>
    </w:p>
    <w:p>
      <w:pPr>
        <w:pStyle w:val="2"/>
        <w:rPr>
          <w:rFonts w:ascii="仿宋_GB2312" w:eastAsia="仿宋_GB2312"/>
          <w:color w:val="FF0000"/>
          <w:sz w:val="32"/>
          <w:szCs w:val="32"/>
        </w:rPr>
      </w:pPr>
    </w:p>
    <w:p>
      <w:pPr>
        <w:pStyle w:val="2"/>
        <w:rPr>
          <w:rFonts w:ascii="仿宋_GB2312" w:eastAsia="仿宋_GB2312"/>
          <w:color w:val="FF0000"/>
          <w:sz w:val="32"/>
          <w:szCs w:val="32"/>
        </w:rPr>
      </w:pPr>
    </w:p>
    <w:p>
      <w:pPr>
        <w:pStyle w:val="2"/>
        <w:rPr>
          <w:rFonts w:ascii="仿宋_GB2312" w:eastAsia="仿宋_GB2312"/>
          <w:color w:val="FF0000"/>
          <w:sz w:val="32"/>
          <w:szCs w:val="32"/>
        </w:rPr>
      </w:pPr>
    </w:p>
    <w:p>
      <w:pPr>
        <w:pStyle w:val="2"/>
        <w:rPr>
          <w:rFonts w:ascii="仿宋_GB2312" w:eastAsia="仿宋_GB2312"/>
          <w:color w:val="FF0000"/>
          <w:sz w:val="32"/>
          <w:szCs w:val="32"/>
        </w:rPr>
      </w:pPr>
    </w:p>
    <w:p>
      <w:pPr>
        <w:pStyle w:val="2"/>
        <w:rPr>
          <w:rFonts w:ascii="仿宋_GB2312" w:eastAsia="仿宋_GB2312"/>
          <w:color w:val="FF0000"/>
          <w:sz w:val="32"/>
          <w:szCs w:val="32"/>
        </w:rPr>
      </w:pPr>
    </w:p>
    <w:p>
      <w:pPr>
        <w:pStyle w:val="2"/>
        <w:rPr>
          <w:rFonts w:ascii="仿宋_GB2312" w:eastAsia="仿宋_GB2312"/>
          <w:color w:val="FF0000"/>
          <w:sz w:val="32"/>
          <w:szCs w:val="32"/>
        </w:rPr>
      </w:pPr>
    </w:p>
    <w:p>
      <w:pPr>
        <w:spacing w:line="600" w:lineRule="exact"/>
        <w:ind w:firstLine="640" w:firstLineChars="200"/>
        <w:outlineLvl w:val="1"/>
        <w:rPr>
          <w:rStyle w:val="27"/>
          <w:rFonts w:ascii="黑体" w:hAnsi="黑体" w:eastAsia="黑体"/>
          <w:b w:val="0"/>
        </w:rPr>
      </w:pPr>
      <w:bookmarkStart w:id="40" w:name="_Toc15396606"/>
      <w:bookmarkStart w:id="41" w:name="_Toc15377208"/>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40"/>
      <w:bookmarkEnd w:id="41"/>
    </w:p>
    <w:p>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2020</w:t>
      </w:r>
      <w:r>
        <w:rPr>
          <w:rFonts w:hint="eastAsia" w:ascii="仿宋" w:hAnsi="仿宋" w:eastAsia="仿宋"/>
          <w:color w:val="000000"/>
          <w:sz w:val="32"/>
          <w:szCs w:val="32"/>
        </w:rPr>
        <w:t>年财政拨款收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1471.64</w:t>
      </w:r>
      <w:r>
        <w:rPr>
          <w:rFonts w:hint="eastAsia" w:ascii="仿宋" w:hAnsi="仿宋" w:eastAsia="仿宋"/>
          <w:color w:val="000000"/>
          <w:sz w:val="32"/>
          <w:szCs w:val="32"/>
        </w:rPr>
        <w:t>万元。与</w:t>
      </w:r>
      <w:r>
        <w:rPr>
          <w:rFonts w:ascii="仿宋" w:hAnsi="仿宋" w:eastAsia="仿宋"/>
          <w:color w:val="000000"/>
          <w:sz w:val="32"/>
          <w:szCs w:val="32"/>
        </w:rPr>
        <w:t>2019</w:t>
      </w:r>
      <w:r>
        <w:rPr>
          <w:rFonts w:hint="eastAsia" w:ascii="仿宋" w:hAnsi="仿宋" w:eastAsia="仿宋"/>
          <w:color w:val="000000"/>
          <w:sz w:val="32"/>
          <w:szCs w:val="32"/>
        </w:rPr>
        <w:t>年相比，财政拨款收减少</w:t>
      </w:r>
      <w:r>
        <w:rPr>
          <w:rFonts w:hint="eastAsia" w:ascii="仿宋" w:hAnsi="仿宋" w:eastAsia="仿宋"/>
          <w:color w:val="000000"/>
          <w:sz w:val="32"/>
          <w:szCs w:val="32"/>
          <w:lang w:val="en-US" w:eastAsia="zh-CN"/>
        </w:rPr>
        <w:t>218.58</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218.58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支出</w:t>
      </w:r>
      <w:r>
        <w:rPr>
          <w:rFonts w:hint="eastAsia" w:ascii="仿宋" w:hAnsi="仿宋" w:eastAsia="仿宋"/>
          <w:color w:val="000000"/>
          <w:sz w:val="32"/>
          <w:szCs w:val="32"/>
          <w:lang w:val="en-US" w:eastAsia="zh-CN"/>
        </w:rPr>
        <w:t>1342.29万元，</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总计各减少</w:t>
      </w:r>
      <w:r>
        <w:rPr>
          <w:rFonts w:hint="eastAsia" w:ascii="仿宋" w:hAnsi="仿宋" w:eastAsia="仿宋"/>
          <w:color w:val="000000"/>
          <w:sz w:val="32"/>
          <w:szCs w:val="32"/>
          <w:lang w:val="en-US" w:eastAsia="zh-CN"/>
        </w:rPr>
        <w:t>82.57</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5.79</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主要变动原因主要变动原因原因是</w:t>
      </w:r>
      <w:r>
        <w:rPr>
          <w:rFonts w:hint="eastAsia" w:ascii="仿宋" w:hAnsi="仿宋" w:eastAsia="仿宋"/>
          <w:color w:val="000000"/>
          <w:sz w:val="32"/>
          <w:szCs w:val="32"/>
          <w:lang w:val="en-US" w:eastAsia="zh-CN"/>
        </w:rPr>
        <w:t>2019年度我局购办公业务用房导致收入高于2020年度。。</w:t>
      </w:r>
    </w:p>
    <w:p>
      <w:pPr>
        <w:spacing w:line="600" w:lineRule="exact"/>
        <w:ind w:firstLine="640"/>
        <w:rPr>
          <w:rFonts w:ascii="仿宋" w:hAnsi="仿宋" w:eastAsia="仿宋"/>
          <w:color w:val="000000"/>
          <w:sz w:val="32"/>
          <w:szCs w:val="32"/>
        </w:rPr>
      </w:pPr>
      <w:r>
        <w:rPr>
          <w:rFonts w:hint="eastAsia" w:ascii="仿宋" w:hAnsi="仿宋" w:eastAsia="仿宋"/>
          <w:b/>
          <w:color w:val="FF0000"/>
          <w:sz w:val="32"/>
          <w:szCs w:val="32"/>
        </w:rPr>
        <w:t>（注：除国有资本经营预算外，数据来源于财决</w:t>
      </w:r>
      <w:r>
        <w:rPr>
          <w:rFonts w:ascii="仿宋" w:hAnsi="仿宋" w:eastAsia="仿宋"/>
          <w:b/>
          <w:color w:val="FF0000"/>
          <w:sz w:val="32"/>
          <w:szCs w:val="32"/>
        </w:rPr>
        <w:t>Z01-1</w:t>
      </w:r>
      <w:r>
        <w:rPr>
          <w:rFonts w:hint="eastAsia" w:ascii="仿宋" w:hAnsi="仿宋" w:eastAsia="仿宋"/>
          <w:b/>
          <w:color w:val="FF0000"/>
          <w:sz w:val="32"/>
          <w:szCs w:val="32"/>
        </w:rPr>
        <w:t>表，口径为“总计”数</w:t>
      </w:r>
      <w:r>
        <w:rPr>
          <w:rFonts w:ascii="仿宋" w:hAnsi="仿宋" w:eastAsia="仿宋"/>
          <w:b/>
          <w:color w:val="FF0000"/>
          <w:sz w:val="32"/>
          <w:szCs w:val="32"/>
        </w:rPr>
        <w:t>+</w:t>
      </w:r>
      <w:r>
        <w:rPr>
          <w:rFonts w:hint="eastAsia" w:ascii="仿宋" w:hAnsi="仿宋" w:eastAsia="仿宋"/>
          <w:b/>
          <w:color w:val="FF0000"/>
          <w:sz w:val="32"/>
          <w:szCs w:val="32"/>
        </w:rPr>
        <w:t>国有资本经营预算。）</w:t>
      </w:r>
    </w:p>
    <w:p>
      <w:pPr>
        <w:spacing w:line="600" w:lineRule="exact"/>
        <w:ind w:firstLine="420" w:firstLineChars="200"/>
        <w:rPr>
          <w:rFonts w:ascii="仿宋" w:hAnsi="仿宋" w:eastAsia="仿宋"/>
          <w:color w:val="000000"/>
          <w:sz w:val="32"/>
          <w:szCs w:val="32"/>
        </w:rPr>
      </w:pPr>
      <w:r>
        <w:drawing>
          <wp:anchor distT="0" distB="0" distL="114300" distR="114300" simplePos="0" relativeHeight="251662336" behindDoc="0" locked="0" layoutInCell="1" allowOverlap="1">
            <wp:simplePos x="0" y="0"/>
            <wp:positionH relativeFrom="column">
              <wp:posOffset>280035</wp:posOffset>
            </wp:positionH>
            <wp:positionV relativeFrom="paragraph">
              <wp:posOffset>756920</wp:posOffset>
            </wp:positionV>
            <wp:extent cx="4441825" cy="2774950"/>
            <wp:effectExtent l="4445" t="4445" r="11430" b="20955"/>
            <wp:wrapSquare wrapText="bothSides"/>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：财政拨款收、支决算总计变动情况）（柱状图）</w:t>
      </w:r>
    </w:p>
    <w:p>
      <w:pPr>
        <w:spacing w:line="600" w:lineRule="exact"/>
        <w:ind w:firstLine="640"/>
        <w:rPr>
          <w:rFonts w:ascii="仿宋" w:hAnsi="仿宋" w:eastAsia="仿宋"/>
          <w:b/>
          <w:color w:val="00B050"/>
          <w:sz w:val="32"/>
          <w:szCs w:val="32"/>
        </w:rPr>
      </w:pPr>
    </w:p>
    <w:p>
      <w:pPr>
        <w:pStyle w:val="2"/>
        <w:rPr>
          <w:rFonts w:ascii="仿宋" w:hAnsi="仿宋" w:eastAsia="仿宋"/>
          <w:b/>
          <w:color w:val="00B050"/>
          <w:sz w:val="32"/>
          <w:szCs w:val="32"/>
        </w:rPr>
      </w:pPr>
    </w:p>
    <w:p>
      <w:pPr>
        <w:pStyle w:val="2"/>
        <w:rPr>
          <w:rFonts w:ascii="仿宋" w:hAnsi="仿宋" w:eastAsia="仿宋"/>
          <w:b/>
          <w:color w:val="00B050"/>
          <w:sz w:val="32"/>
          <w:szCs w:val="32"/>
        </w:rPr>
      </w:pPr>
    </w:p>
    <w:p>
      <w:pPr>
        <w:pStyle w:val="2"/>
        <w:rPr>
          <w:rFonts w:ascii="仿宋" w:hAnsi="仿宋" w:eastAsia="仿宋"/>
          <w:b/>
          <w:color w:val="00B050"/>
          <w:sz w:val="32"/>
          <w:szCs w:val="32"/>
        </w:rPr>
      </w:pPr>
    </w:p>
    <w:p>
      <w:pPr>
        <w:pStyle w:val="2"/>
        <w:rPr>
          <w:rFonts w:ascii="仿宋" w:hAnsi="仿宋" w:eastAsia="仿宋"/>
          <w:b/>
          <w:color w:val="00B050"/>
          <w:sz w:val="32"/>
          <w:szCs w:val="32"/>
        </w:rPr>
      </w:pPr>
    </w:p>
    <w:p>
      <w:pPr>
        <w:pStyle w:val="2"/>
        <w:rPr>
          <w:rFonts w:ascii="仿宋" w:hAnsi="仿宋" w:eastAsia="仿宋"/>
          <w:b/>
          <w:color w:val="00B050"/>
          <w:sz w:val="32"/>
          <w:szCs w:val="32"/>
        </w:rPr>
      </w:pPr>
    </w:p>
    <w:p>
      <w:pPr>
        <w:pStyle w:val="2"/>
        <w:rPr>
          <w:rFonts w:ascii="仿宋" w:hAnsi="仿宋" w:eastAsia="仿宋"/>
          <w:b/>
          <w:color w:val="00B050"/>
          <w:sz w:val="32"/>
          <w:szCs w:val="32"/>
        </w:rPr>
      </w:pPr>
    </w:p>
    <w:p>
      <w:pPr>
        <w:pStyle w:val="2"/>
        <w:rPr>
          <w:rFonts w:ascii="仿宋" w:hAnsi="仿宋" w:eastAsia="仿宋"/>
          <w:b/>
          <w:color w:val="00B050"/>
          <w:sz w:val="32"/>
          <w:szCs w:val="32"/>
        </w:rPr>
      </w:pPr>
    </w:p>
    <w:p>
      <w:pPr>
        <w:pStyle w:val="2"/>
        <w:rPr>
          <w:rFonts w:ascii="仿宋" w:hAnsi="仿宋" w:eastAsia="仿宋"/>
          <w:b/>
          <w:color w:val="00B050"/>
          <w:sz w:val="32"/>
          <w:szCs w:val="32"/>
        </w:rPr>
      </w:pPr>
    </w:p>
    <w:p>
      <w:pPr>
        <w:pStyle w:val="2"/>
        <w:rPr>
          <w:rFonts w:ascii="仿宋" w:hAnsi="仿宋" w:eastAsia="仿宋"/>
          <w:b/>
          <w:color w:val="00B050"/>
          <w:sz w:val="32"/>
          <w:szCs w:val="32"/>
        </w:rPr>
      </w:pPr>
    </w:p>
    <w:p>
      <w:pPr>
        <w:pStyle w:val="2"/>
        <w:rPr>
          <w:rFonts w:ascii="仿宋" w:hAnsi="仿宋" w:eastAsia="仿宋"/>
          <w:b/>
          <w:color w:val="00B050"/>
          <w:sz w:val="32"/>
          <w:szCs w:val="32"/>
        </w:rPr>
      </w:pPr>
    </w:p>
    <w:p>
      <w:pPr>
        <w:pStyle w:val="2"/>
        <w:rPr>
          <w:rFonts w:ascii="仿宋" w:hAnsi="仿宋" w:eastAsia="仿宋"/>
          <w:b/>
          <w:color w:val="00B050"/>
          <w:sz w:val="32"/>
          <w:szCs w:val="32"/>
        </w:rPr>
      </w:pPr>
    </w:p>
    <w:p>
      <w:pPr>
        <w:pStyle w:val="2"/>
        <w:rPr>
          <w:rFonts w:ascii="仿宋" w:hAnsi="仿宋" w:eastAsia="仿宋"/>
          <w:b/>
          <w:color w:val="00B050"/>
          <w:sz w:val="32"/>
          <w:szCs w:val="32"/>
        </w:rPr>
      </w:pPr>
    </w:p>
    <w:p>
      <w:pPr>
        <w:spacing w:line="600" w:lineRule="exact"/>
        <w:ind w:firstLine="640" w:firstLineChars="200"/>
        <w:outlineLvl w:val="1"/>
        <w:rPr>
          <w:rStyle w:val="27"/>
          <w:rFonts w:ascii="黑体" w:hAnsi="黑体" w:eastAsia="黑体"/>
          <w:b w:val="0"/>
        </w:rPr>
      </w:pPr>
      <w:bookmarkStart w:id="42" w:name="_Toc15396607"/>
      <w:bookmarkStart w:id="4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42"/>
      <w:bookmarkEnd w:id="43"/>
    </w:p>
    <w:p>
      <w:pPr>
        <w:spacing w:line="600" w:lineRule="exact"/>
        <w:ind w:firstLine="642" w:firstLineChars="200"/>
        <w:outlineLvl w:val="2"/>
        <w:rPr>
          <w:rFonts w:ascii="仿宋" w:hAnsi="仿宋" w:eastAsia="仿宋"/>
          <w:b/>
          <w:color w:val="000000"/>
          <w:sz w:val="32"/>
          <w:szCs w:val="32"/>
        </w:rPr>
      </w:pPr>
      <w:bookmarkStart w:id="44" w:name="_Toc15377210"/>
      <w:r>
        <w:rPr>
          <w:rFonts w:hint="eastAsia" w:ascii="仿宋" w:hAnsi="仿宋" w:eastAsia="仿宋"/>
          <w:b/>
          <w:color w:val="000000"/>
          <w:sz w:val="32"/>
          <w:szCs w:val="32"/>
        </w:rPr>
        <w:t>（一）一般公共预算财政拨款支出决算总体情况</w:t>
      </w:r>
      <w:bookmarkEnd w:id="44"/>
    </w:p>
    <w:p>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1342.29</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年相比，一般公共预算财政拨款减少</w:t>
      </w:r>
      <w:r>
        <w:rPr>
          <w:rFonts w:hint="eastAsia" w:ascii="仿宋" w:hAnsi="仿宋" w:eastAsia="仿宋"/>
          <w:color w:val="000000"/>
          <w:sz w:val="32"/>
          <w:szCs w:val="32"/>
          <w:lang w:val="en-US" w:eastAsia="zh-CN"/>
        </w:rPr>
        <w:t>82.57</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5.79</w:t>
      </w:r>
      <w:r>
        <w:rPr>
          <w:rFonts w:ascii="仿宋" w:hAnsi="仿宋" w:eastAsia="仿宋"/>
          <w:color w:val="000000"/>
          <w:sz w:val="32"/>
          <w:szCs w:val="32"/>
        </w:rPr>
        <w:t>%</w:t>
      </w:r>
      <w:r>
        <w:rPr>
          <w:rFonts w:hint="eastAsia" w:ascii="仿宋" w:hAnsi="仿宋" w:eastAsia="仿宋"/>
          <w:color w:val="000000"/>
          <w:sz w:val="32"/>
          <w:szCs w:val="32"/>
        </w:rPr>
        <w:t>。主要变动原因是原因是</w:t>
      </w:r>
      <w:r>
        <w:rPr>
          <w:rFonts w:hint="eastAsia" w:ascii="仿宋" w:hAnsi="仿宋" w:eastAsia="仿宋"/>
          <w:color w:val="000000"/>
          <w:sz w:val="32"/>
          <w:szCs w:val="32"/>
          <w:lang w:val="en-US" w:eastAsia="zh-CN"/>
        </w:rPr>
        <w:t>2019年度我局购办公业务用房导致收入高于2020年度。</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p>
    <w:p>
      <w:pPr>
        <w:pStyle w:val="2"/>
      </w:pPr>
      <w:r>
        <w:drawing>
          <wp:anchor distT="0" distB="0" distL="114300" distR="114300" simplePos="0" relativeHeight="251663360" behindDoc="0" locked="0" layoutInCell="1" allowOverlap="1">
            <wp:simplePos x="0" y="0"/>
            <wp:positionH relativeFrom="column">
              <wp:posOffset>709295</wp:posOffset>
            </wp:positionH>
            <wp:positionV relativeFrom="paragraph">
              <wp:posOffset>90170</wp:posOffset>
            </wp:positionV>
            <wp:extent cx="4572000" cy="2743200"/>
            <wp:effectExtent l="4445" t="4445" r="14605" b="14605"/>
            <wp:wrapSquare wrapText="bothSides"/>
            <wp:docPr id="5"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600" w:lineRule="exact"/>
        <w:ind w:firstLine="642" w:firstLineChars="200"/>
        <w:outlineLvl w:val="9"/>
        <w:rPr>
          <w:rFonts w:hint="eastAsia" w:ascii="仿宋" w:hAnsi="仿宋" w:eastAsia="仿宋"/>
          <w:b/>
          <w:color w:val="000000"/>
          <w:sz w:val="32"/>
          <w:szCs w:val="32"/>
        </w:rPr>
      </w:pPr>
      <w:bookmarkStart w:id="45" w:name="_Toc15377211"/>
    </w:p>
    <w:p>
      <w:pPr>
        <w:spacing w:line="600" w:lineRule="exact"/>
        <w:ind w:firstLine="642" w:firstLineChars="200"/>
        <w:outlineLvl w:val="9"/>
        <w:rPr>
          <w:rFonts w:hint="eastAsia" w:ascii="仿宋" w:hAnsi="仿宋" w:eastAsia="仿宋"/>
          <w:b/>
          <w:color w:val="000000"/>
          <w:sz w:val="32"/>
          <w:szCs w:val="32"/>
        </w:rPr>
      </w:pPr>
    </w:p>
    <w:p>
      <w:pPr>
        <w:spacing w:line="600" w:lineRule="exact"/>
        <w:ind w:firstLine="642" w:firstLineChars="200"/>
        <w:outlineLvl w:val="9"/>
        <w:rPr>
          <w:rFonts w:hint="eastAsia" w:ascii="仿宋" w:hAnsi="仿宋" w:eastAsia="仿宋"/>
          <w:b/>
          <w:color w:val="000000"/>
          <w:sz w:val="32"/>
          <w:szCs w:val="32"/>
        </w:rPr>
      </w:pPr>
    </w:p>
    <w:p>
      <w:pPr>
        <w:spacing w:line="600" w:lineRule="exact"/>
        <w:ind w:firstLine="642" w:firstLineChars="200"/>
        <w:outlineLvl w:val="9"/>
        <w:rPr>
          <w:rFonts w:hint="eastAsia" w:ascii="仿宋" w:hAnsi="仿宋" w:eastAsia="仿宋"/>
          <w:b/>
          <w:color w:val="000000"/>
          <w:sz w:val="32"/>
          <w:szCs w:val="32"/>
        </w:rPr>
      </w:pPr>
    </w:p>
    <w:p>
      <w:pPr>
        <w:pStyle w:val="2"/>
        <w:rPr>
          <w:rFonts w:hint="eastAsia" w:ascii="仿宋" w:hAnsi="仿宋" w:eastAsia="仿宋"/>
          <w:b/>
          <w:color w:val="000000"/>
          <w:sz w:val="32"/>
          <w:szCs w:val="32"/>
        </w:rPr>
      </w:pPr>
    </w:p>
    <w:p>
      <w:pPr>
        <w:pStyle w:val="2"/>
        <w:rPr>
          <w:rFonts w:hint="eastAsia" w:ascii="仿宋" w:hAnsi="仿宋" w:eastAsia="仿宋"/>
          <w:b/>
          <w:color w:val="000000"/>
          <w:sz w:val="32"/>
          <w:szCs w:val="32"/>
        </w:rPr>
      </w:pPr>
    </w:p>
    <w:p>
      <w:pPr>
        <w:spacing w:line="600" w:lineRule="exact"/>
        <w:outlineLvl w:val="9"/>
        <w:rPr>
          <w:rFonts w:hint="eastAsia" w:ascii="仿宋" w:hAnsi="仿宋" w:eastAsia="仿宋"/>
          <w:b/>
          <w:color w:val="000000"/>
          <w:sz w:val="32"/>
          <w:szCs w:val="32"/>
        </w:rPr>
      </w:pPr>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lang w:eastAsia="zh-CN"/>
        </w:rPr>
        <w:t>（</w:t>
      </w:r>
      <w:r>
        <w:rPr>
          <w:rFonts w:hint="eastAsia" w:ascii="仿宋" w:hAnsi="仿宋" w:eastAsia="仿宋"/>
          <w:b/>
          <w:color w:val="000000"/>
          <w:sz w:val="32"/>
          <w:szCs w:val="32"/>
        </w:rPr>
        <w:t>二）一般公共预算财政拨款支出决算结构情况</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1342.29</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1209.27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90.09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教育支出（类）</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科学技术（类）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文化旅游体育与传媒（类）支出</w:t>
      </w:r>
      <w:r>
        <w:rPr>
          <w:rFonts w:hint="eastAsia" w:ascii="仿宋" w:hAnsi="仿宋" w:eastAsia="仿宋"/>
          <w:b/>
          <w:bCs/>
          <w:color w:val="000000"/>
          <w:sz w:val="32"/>
          <w:szCs w:val="32"/>
          <w:lang w:val="en-US" w:eastAsia="zh-CN"/>
        </w:rPr>
        <w:t>0</w:t>
      </w:r>
      <w:r>
        <w:rPr>
          <w:rFonts w:hint="eastAsia" w:ascii="仿宋" w:hAnsi="仿宋" w:eastAsia="仿宋"/>
          <w:b/>
          <w:bCs/>
          <w:color w:val="000000"/>
          <w:sz w:val="32"/>
          <w:szCs w:val="32"/>
        </w:rPr>
        <w:t>万元，占</w:t>
      </w:r>
      <w:r>
        <w:rPr>
          <w:rFonts w:hint="eastAsia" w:ascii="仿宋" w:hAnsi="仿宋" w:eastAsia="仿宋"/>
          <w:b/>
          <w:bCs/>
          <w:color w:val="000000"/>
          <w:sz w:val="32"/>
          <w:szCs w:val="32"/>
          <w:lang w:val="en-US" w:eastAsia="zh-CN"/>
        </w:rPr>
        <w:t>0</w:t>
      </w:r>
      <w:r>
        <w:rPr>
          <w:rFonts w:ascii="仿宋" w:hAnsi="仿宋" w:eastAsia="仿宋"/>
          <w:b/>
          <w:bCs/>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71.16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5.17</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color w:val="000000"/>
          <w:sz w:val="32"/>
          <w:szCs w:val="32"/>
          <w:lang w:val="en-US" w:eastAsia="zh-CN"/>
        </w:rPr>
        <w:t>25.03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1.86</w:t>
      </w:r>
      <w:r>
        <w:rPr>
          <w:rFonts w:ascii="仿宋" w:hAnsi="仿宋" w:eastAsia="仿宋"/>
          <w:color w:val="000000"/>
          <w:sz w:val="32"/>
          <w:szCs w:val="32"/>
        </w:rPr>
        <w:t>%</w:t>
      </w:r>
      <w:r>
        <w:rPr>
          <w:rFonts w:hint="eastAsia" w:ascii="仿宋" w:hAnsi="仿宋" w:eastAsia="仿宋"/>
          <w:color w:val="000000"/>
          <w:sz w:val="32"/>
          <w:szCs w:val="32"/>
        </w:rPr>
        <w:t>；住房保障支出</w:t>
      </w:r>
      <w:r>
        <w:rPr>
          <w:rFonts w:hint="eastAsia" w:ascii="仿宋" w:hAnsi="仿宋" w:eastAsia="仿宋"/>
          <w:color w:val="000000"/>
          <w:sz w:val="32"/>
          <w:szCs w:val="32"/>
          <w:lang w:val="en-US" w:eastAsia="zh-CN"/>
        </w:rPr>
        <w:t>36.32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2.70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农林水支出</w:t>
      </w:r>
      <w:r>
        <w:rPr>
          <w:rFonts w:hint="eastAsia" w:ascii="仿宋" w:hAnsi="仿宋" w:eastAsia="仿宋"/>
          <w:color w:val="000000"/>
          <w:sz w:val="32"/>
          <w:szCs w:val="32"/>
          <w:lang w:val="en-US" w:eastAsia="zh-CN"/>
        </w:rPr>
        <w:t>0.5万元，占0.04%</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pPr>
        <w:spacing w:line="600" w:lineRule="exact"/>
        <w:ind w:firstLine="420" w:firstLineChars="200"/>
        <w:rPr>
          <w:rFonts w:ascii="仿宋" w:hAnsi="仿宋" w:eastAsia="仿宋"/>
          <w:color w:val="000000"/>
          <w:sz w:val="32"/>
          <w:szCs w:val="32"/>
        </w:rPr>
      </w:pPr>
      <w:r>
        <w:drawing>
          <wp:anchor distT="0" distB="0" distL="114300" distR="114300" simplePos="0" relativeHeight="251664384" behindDoc="0" locked="0" layoutInCell="1" allowOverlap="1">
            <wp:simplePos x="0" y="0"/>
            <wp:positionH relativeFrom="column">
              <wp:posOffset>-5080</wp:posOffset>
            </wp:positionH>
            <wp:positionV relativeFrom="paragraph">
              <wp:posOffset>4445</wp:posOffset>
            </wp:positionV>
            <wp:extent cx="4572000" cy="2743200"/>
            <wp:effectExtent l="4445" t="4445" r="14605" b="14605"/>
            <wp:wrapSquare wrapText="bothSides"/>
            <wp:docPr id="6"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2" w:firstLineChars="200"/>
        <w:outlineLvl w:val="9"/>
        <w:rPr>
          <w:rFonts w:hint="eastAsia" w:ascii="仿宋" w:hAnsi="仿宋" w:eastAsia="仿宋"/>
          <w:b/>
          <w:color w:val="000000"/>
          <w:sz w:val="32"/>
          <w:szCs w:val="32"/>
        </w:rPr>
      </w:pPr>
      <w:bookmarkStart w:id="46" w:name="_Toc15377212"/>
    </w:p>
    <w:p>
      <w:pPr>
        <w:spacing w:line="600" w:lineRule="exact"/>
        <w:ind w:firstLine="642" w:firstLineChars="200"/>
        <w:outlineLvl w:val="9"/>
        <w:rPr>
          <w:rFonts w:hint="eastAsia" w:ascii="仿宋" w:hAnsi="仿宋" w:eastAsia="仿宋"/>
          <w:b/>
          <w:color w:val="000000"/>
          <w:sz w:val="32"/>
          <w:szCs w:val="32"/>
        </w:rPr>
      </w:pPr>
    </w:p>
    <w:p>
      <w:pPr>
        <w:spacing w:line="600" w:lineRule="exact"/>
        <w:ind w:firstLine="642" w:firstLineChars="200"/>
        <w:outlineLvl w:val="9"/>
        <w:rPr>
          <w:rFonts w:hint="eastAsia" w:ascii="仿宋" w:hAnsi="仿宋" w:eastAsia="仿宋"/>
          <w:b/>
          <w:color w:val="000000"/>
          <w:sz w:val="32"/>
          <w:szCs w:val="32"/>
        </w:rPr>
      </w:pPr>
    </w:p>
    <w:p>
      <w:pPr>
        <w:spacing w:line="600" w:lineRule="exact"/>
        <w:ind w:firstLine="642" w:firstLineChars="200"/>
        <w:outlineLvl w:val="9"/>
        <w:rPr>
          <w:rFonts w:hint="eastAsia" w:ascii="仿宋" w:hAnsi="仿宋" w:eastAsia="仿宋"/>
          <w:b/>
          <w:color w:val="000000"/>
          <w:sz w:val="32"/>
          <w:szCs w:val="32"/>
        </w:rPr>
      </w:pPr>
    </w:p>
    <w:p>
      <w:pPr>
        <w:spacing w:line="600" w:lineRule="exact"/>
        <w:ind w:firstLine="642" w:firstLineChars="200"/>
        <w:outlineLvl w:val="9"/>
        <w:rPr>
          <w:rFonts w:hint="eastAsia" w:ascii="仿宋" w:hAnsi="仿宋" w:eastAsia="仿宋"/>
          <w:b/>
          <w:color w:val="000000"/>
          <w:sz w:val="32"/>
          <w:szCs w:val="32"/>
        </w:rPr>
      </w:pPr>
    </w:p>
    <w:p>
      <w:pPr>
        <w:spacing w:line="600" w:lineRule="exact"/>
        <w:ind w:firstLine="642" w:firstLineChars="200"/>
        <w:outlineLvl w:val="9"/>
        <w:rPr>
          <w:rFonts w:hint="eastAsia" w:ascii="仿宋" w:hAnsi="仿宋" w:eastAsia="仿宋"/>
          <w:b/>
          <w:color w:val="000000"/>
          <w:sz w:val="32"/>
          <w:szCs w:val="32"/>
        </w:rPr>
      </w:pPr>
    </w:p>
    <w:p>
      <w:pPr>
        <w:spacing w:line="600" w:lineRule="exact"/>
        <w:ind w:firstLine="642" w:firstLineChars="200"/>
        <w:outlineLvl w:val="9"/>
        <w:rPr>
          <w:rFonts w:hint="eastAsia" w:ascii="仿宋" w:hAnsi="仿宋" w:eastAsia="仿宋"/>
          <w:b/>
          <w:color w:val="000000"/>
          <w:sz w:val="32"/>
          <w:szCs w:val="32"/>
        </w:rPr>
      </w:pPr>
    </w:p>
    <w:p>
      <w:pPr>
        <w:spacing w:line="600" w:lineRule="exact"/>
        <w:ind w:firstLine="642" w:firstLineChars="200"/>
        <w:outlineLvl w:val="9"/>
        <w:rPr>
          <w:rFonts w:hint="eastAsia" w:ascii="仿宋" w:hAnsi="仿宋" w:eastAsia="仿宋"/>
          <w:b/>
          <w:color w:val="000000"/>
          <w:sz w:val="32"/>
          <w:szCs w:val="32"/>
        </w:rPr>
      </w:pPr>
    </w:p>
    <w:p>
      <w:pPr>
        <w:spacing w:line="600" w:lineRule="exact"/>
        <w:ind w:firstLine="642" w:firstLineChars="200"/>
        <w:outlineLvl w:val="9"/>
        <w:rPr>
          <w:rFonts w:hint="eastAsia" w:ascii="仿宋" w:hAnsi="仿宋" w:eastAsia="仿宋"/>
          <w:b/>
          <w:color w:val="000000"/>
          <w:sz w:val="32"/>
          <w:szCs w:val="32"/>
        </w:rPr>
      </w:pPr>
    </w:p>
    <w:p>
      <w:pPr>
        <w:spacing w:line="600" w:lineRule="exact"/>
        <w:ind w:firstLine="642" w:firstLineChars="200"/>
        <w:outlineLvl w:val="9"/>
        <w:rPr>
          <w:rFonts w:hint="eastAsia" w:ascii="仿宋" w:hAnsi="仿宋" w:eastAsia="仿宋"/>
          <w:b/>
          <w:color w:val="000000"/>
          <w:sz w:val="32"/>
          <w:szCs w:val="32"/>
        </w:rPr>
      </w:pPr>
    </w:p>
    <w:p>
      <w:pPr>
        <w:spacing w:line="600" w:lineRule="exact"/>
        <w:ind w:firstLine="642" w:firstLineChars="200"/>
        <w:outlineLvl w:val="9"/>
        <w:rPr>
          <w:rFonts w:hint="eastAsia" w:ascii="仿宋" w:hAnsi="仿宋" w:eastAsia="仿宋"/>
          <w:b/>
          <w:color w:val="000000"/>
          <w:sz w:val="32"/>
          <w:szCs w:val="32"/>
        </w:rPr>
      </w:pPr>
    </w:p>
    <w:p>
      <w:pPr>
        <w:spacing w:line="600" w:lineRule="exact"/>
        <w:ind w:firstLine="642" w:firstLineChars="200"/>
        <w:outlineLvl w:val="9"/>
        <w:rPr>
          <w:rFonts w:hint="eastAsia" w:ascii="仿宋" w:hAnsi="仿宋" w:eastAsia="仿宋"/>
          <w:b/>
          <w:color w:val="000000"/>
          <w:sz w:val="32"/>
          <w:szCs w:val="32"/>
        </w:rPr>
      </w:pPr>
    </w:p>
    <w:p>
      <w:pPr>
        <w:spacing w:line="600" w:lineRule="exact"/>
        <w:ind w:firstLine="642" w:firstLineChars="200"/>
        <w:outlineLvl w:val="9"/>
        <w:rPr>
          <w:rFonts w:hint="eastAsia" w:ascii="仿宋" w:hAnsi="仿宋" w:eastAsia="仿宋"/>
          <w:b/>
          <w:color w:val="000000"/>
          <w:sz w:val="32"/>
          <w:szCs w:val="32"/>
        </w:rPr>
      </w:pPr>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46"/>
    </w:p>
    <w:p>
      <w:pPr>
        <w:spacing w:line="600" w:lineRule="exact"/>
        <w:ind w:firstLine="642" w:firstLineChars="200"/>
        <w:outlineLvl w:val="2"/>
        <w:rPr>
          <w:rFonts w:ascii="仿宋" w:hAnsi="仿宋" w:eastAsia="仿宋"/>
          <w:color w:val="FF0000"/>
          <w:sz w:val="32"/>
          <w:szCs w:val="32"/>
        </w:rPr>
      </w:pPr>
      <w:bookmarkStart w:id="47" w:name="_Toc15378460"/>
      <w:bookmarkStart w:id="48" w:name="_Toc15377444"/>
      <w:bookmarkStart w:id="49" w:name="_Toc15377213"/>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w:t>
      </w:r>
      <w:r>
        <w:rPr>
          <w:rFonts w:hint="eastAsia" w:ascii="仿宋" w:hAnsi="仿宋" w:eastAsia="仿宋"/>
          <w:color w:val="000000"/>
          <w:sz w:val="32"/>
          <w:szCs w:val="32"/>
          <w:lang w:val="en-US" w:eastAsia="zh-CN"/>
        </w:rPr>
        <w:t>1342.29万元</w:t>
      </w:r>
      <w:r>
        <w:rPr>
          <w:rFonts w:hint="eastAsia" w:ascii="仿宋" w:hAnsi="仿宋" w:eastAsia="仿宋"/>
          <w:color w:val="000000"/>
          <w:sz w:val="32"/>
          <w:szCs w:val="32"/>
        </w:rPr>
        <w:t>，</w:t>
      </w:r>
      <w:r>
        <w:rPr>
          <w:rStyle w:val="17"/>
          <w:rFonts w:hint="eastAsia" w:ascii="仿宋" w:hAnsi="仿宋" w:eastAsia="仿宋"/>
          <w:bCs/>
          <w:color w:val="000000"/>
          <w:sz w:val="32"/>
          <w:szCs w:val="32"/>
        </w:rPr>
        <w:t>完成预算</w:t>
      </w:r>
      <w:r>
        <w:rPr>
          <w:rStyle w:val="17"/>
          <w:rFonts w:hint="eastAsia" w:ascii="仿宋" w:hAnsi="仿宋" w:eastAsia="仿宋"/>
          <w:bCs/>
          <w:color w:val="000000"/>
          <w:sz w:val="32"/>
          <w:szCs w:val="32"/>
          <w:lang w:val="en-US" w:eastAsia="zh-CN"/>
        </w:rPr>
        <w:t>91.21</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。其中：</w:t>
      </w:r>
      <w:bookmarkEnd w:id="47"/>
      <w:bookmarkEnd w:id="48"/>
      <w:bookmarkEnd w:id="49"/>
    </w:p>
    <w:p>
      <w:pPr>
        <w:numPr>
          <w:ilvl w:val="0"/>
          <w:numId w:val="3"/>
        </w:numPr>
        <w:spacing w:line="600" w:lineRule="exact"/>
        <w:ind w:firstLine="642"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eastAsia="zh-CN"/>
        </w:rPr>
        <w:t>公共安全支出</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司法</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行政运行</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Fonts w:hint="eastAsia" w:ascii="仿宋" w:hAnsi="仿宋" w:eastAsia="仿宋"/>
          <w:color w:val="000000"/>
          <w:sz w:val="32"/>
          <w:szCs w:val="32"/>
          <w:lang w:val="en-US" w:eastAsia="zh-CN"/>
        </w:rPr>
        <w:t>752.24</w:t>
      </w:r>
      <w:r>
        <w:rPr>
          <w:rStyle w:val="17"/>
          <w:rFonts w:hint="eastAsia" w:ascii="仿宋" w:hAnsi="仿宋" w:eastAsia="仿宋"/>
          <w:b w:val="0"/>
          <w:bCs/>
          <w:color w:val="000000"/>
          <w:sz w:val="32"/>
          <w:szCs w:val="32"/>
        </w:rPr>
        <w:t>万元，完成预算</w:t>
      </w:r>
      <w:r>
        <w:rPr>
          <w:rFonts w:hint="eastAsia" w:ascii="仿宋" w:hAnsi="仿宋" w:eastAsia="仿宋"/>
          <w:color w:val="000000"/>
          <w:sz w:val="32"/>
          <w:szCs w:val="32"/>
          <w:lang w:val="en-US" w:eastAsia="zh-CN"/>
        </w:rPr>
        <w:t>90.09</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，决算数小于预算数的主要原因是</w:t>
      </w:r>
      <w:r>
        <w:rPr>
          <w:rStyle w:val="17"/>
          <w:rFonts w:hint="eastAsia" w:ascii="仿宋" w:hAnsi="仿宋" w:eastAsia="仿宋"/>
          <w:b w:val="0"/>
          <w:bCs/>
          <w:color w:val="000000"/>
          <w:sz w:val="32"/>
          <w:szCs w:val="32"/>
          <w:lang w:eastAsia="zh-CN"/>
        </w:rPr>
        <w:t>购买新办公楼的办公家具费用未付，乡村振兴现场会部分费用未付</w:t>
      </w:r>
      <w:r>
        <w:rPr>
          <w:rStyle w:val="17"/>
          <w:rFonts w:hint="eastAsia" w:ascii="仿宋" w:hAnsi="仿宋" w:eastAsia="仿宋"/>
          <w:b w:val="0"/>
          <w:bCs/>
          <w:color w:val="000000"/>
          <w:sz w:val="32"/>
          <w:szCs w:val="32"/>
        </w:rPr>
        <w:t>。</w:t>
      </w:r>
    </w:p>
    <w:p>
      <w:pPr>
        <w:pStyle w:val="2"/>
        <w:numPr>
          <w:ilvl w:val="0"/>
          <w:numId w:val="0"/>
        </w:numPr>
      </w:pPr>
    </w:p>
    <w:p>
      <w:pPr>
        <w:numPr>
          <w:ilvl w:val="0"/>
          <w:numId w:val="0"/>
        </w:numPr>
        <w:spacing w:line="600" w:lineRule="exact"/>
        <w:ind w:firstLine="642" w:firstLineChars="200"/>
        <w:rPr>
          <w:rStyle w:val="17"/>
          <w:rFonts w:hint="eastAsia" w:ascii="仿宋" w:hAnsi="仿宋" w:eastAsia="仿宋"/>
          <w:b w:val="0"/>
          <w:bCs/>
          <w:color w:val="000000"/>
          <w:sz w:val="32"/>
          <w:szCs w:val="32"/>
        </w:rPr>
      </w:pPr>
      <w:r>
        <w:rPr>
          <w:rStyle w:val="17"/>
          <w:rFonts w:ascii="仿宋" w:hAnsi="仿宋" w:eastAsia="仿宋"/>
          <w:bCs/>
          <w:color w:val="000000"/>
          <w:sz w:val="32"/>
          <w:szCs w:val="32"/>
        </w:rPr>
        <w:t>2.</w:t>
      </w:r>
      <w:r>
        <w:rPr>
          <w:rStyle w:val="17"/>
          <w:rFonts w:hint="eastAsia" w:ascii="仿宋" w:hAnsi="仿宋" w:eastAsia="仿宋"/>
          <w:bCs/>
          <w:color w:val="000000"/>
          <w:sz w:val="32"/>
          <w:szCs w:val="32"/>
          <w:lang w:eastAsia="zh-CN"/>
        </w:rPr>
        <w:t>公共安全支出</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司法</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一般行政管理事务</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Fonts w:hint="eastAsia" w:ascii="仿宋" w:hAnsi="仿宋" w:eastAsia="仿宋"/>
          <w:color w:val="000000"/>
          <w:sz w:val="32"/>
          <w:szCs w:val="32"/>
          <w:lang w:val="en-US" w:eastAsia="zh-CN"/>
        </w:rPr>
        <w:t>235.39</w:t>
      </w:r>
      <w:r>
        <w:rPr>
          <w:rStyle w:val="17"/>
          <w:rFonts w:hint="eastAsia" w:ascii="仿宋" w:hAnsi="仿宋" w:eastAsia="仿宋"/>
          <w:b w:val="0"/>
          <w:bCs/>
          <w:color w:val="000000"/>
          <w:sz w:val="32"/>
          <w:szCs w:val="32"/>
        </w:rPr>
        <w:t>万元，完成预算</w:t>
      </w:r>
      <w:r>
        <w:rPr>
          <w:rFonts w:hint="eastAsia" w:ascii="仿宋" w:hAnsi="仿宋" w:eastAsia="仿宋"/>
          <w:color w:val="000000"/>
          <w:sz w:val="32"/>
          <w:szCs w:val="32"/>
          <w:lang w:val="en-US" w:eastAsia="zh-CN"/>
        </w:rPr>
        <w:t>49.59</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，决算数小于预算数的主要原因</w:t>
      </w:r>
      <w:r>
        <w:rPr>
          <w:rStyle w:val="17"/>
          <w:rFonts w:hint="eastAsia" w:ascii="仿宋" w:hAnsi="仿宋" w:eastAsia="仿宋"/>
          <w:b w:val="0"/>
          <w:bCs/>
          <w:color w:val="000000"/>
          <w:sz w:val="32"/>
          <w:szCs w:val="32"/>
          <w:lang w:eastAsia="zh-CN"/>
        </w:rPr>
        <w:t>一是本年度承办司法所服务乡村振兴现场会，财政年终追加了预算，暂未拨付，二是购买新办公楼的办公家具费用未付</w:t>
      </w:r>
      <w:r>
        <w:rPr>
          <w:rStyle w:val="17"/>
          <w:rFonts w:hint="eastAsia" w:ascii="仿宋" w:hAnsi="仿宋" w:eastAsia="仿宋"/>
          <w:b w:val="0"/>
          <w:bCs/>
          <w:color w:val="000000"/>
          <w:sz w:val="32"/>
          <w:szCs w:val="32"/>
        </w:rPr>
        <w:t>。</w:t>
      </w:r>
    </w:p>
    <w:p>
      <w:pPr>
        <w:spacing w:line="600" w:lineRule="exact"/>
        <w:ind w:firstLine="642"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3.</w:t>
      </w:r>
      <w:r>
        <w:rPr>
          <w:rStyle w:val="17"/>
          <w:rFonts w:hint="eastAsia" w:ascii="仿宋" w:hAnsi="仿宋" w:eastAsia="仿宋"/>
          <w:bCs/>
          <w:color w:val="000000"/>
          <w:sz w:val="32"/>
          <w:szCs w:val="32"/>
          <w:lang w:eastAsia="zh-CN"/>
        </w:rPr>
        <w:t>公共安全支出</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司法</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基层司法业务</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Fonts w:hint="eastAsia" w:ascii="仿宋" w:hAnsi="仿宋" w:eastAsia="仿宋"/>
          <w:color w:val="000000"/>
          <w:sz w:val="32"/>
          <w:szCs w:val="32"/>
          <w:lang w:val="en-US" w:eastAsia="zh-CN"/>
        </w:rPr>
        <w:t>2.45</w:t>
      </w:r>
      <w:r>
        <w:rPr>
          <w:rStyle w:val="17"/>
          <w:rFonts w:hint="eastAsia" w:ascii="仿宋" w:hAnsi="仿宋" w:eastAsia="仿宋"/>
          <w:b w:val="0"/>
          <w:bCs/>
          <w:color w:val="000000"/>
          <w:sz w:val="32"/>
          <w:szCs w:val="32"/>
        </w:rPr>
        <w:t>万元，完成预算</w:t>
      </w:r>
      <w:r>
        <w:rPr>
          <w:rFonts w:hint="eastAsia" w:ascii="仿宋" w:hAnsi="仿宋" w:eastAsia="仿宋"/>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，决算数等于预算数的主要原因是</w:t>
      </w:r>
      <w:r>
        <w:rPr>
          <w:rStyle w:val="17"/>
          <w:rFonts w:hint="eastAsia" w:ascii="仿宋" w:hAnsi="仿宋" w:eastAsia="仿宋"/>
          <w:b w:val="0"/>
          <w:bCs/>
          <w:color w:val="000000"/>
          <w:sz w:val="32"/>
          <w:szCs w:val="32"/>
          <w:lang w:eastAsia="zh-CN"/>
        </w:rPr>
        <w:t>按预算执行支付</w:t>
      </w:r>
      <w:r>
        <w:rPr>
          <w:rStyle w:val="17"/>
          <w:rFonts w:hint="eastAsia" w:ascii="仿宋" w:hAnsi="仿宋" w:eastAsia="仿宋"/>
          <w:b w:val="0"/>
          <w:bCs/>
          <w:color w:val="000000"/>
          <w:sz w:val="32"/>
          <w:szCs w:val="32"/>
        </w:rPr>
        <w:t>。</w:t>
      </w:r>
    </w:p>
    <w:p>
      <w:pPr>
        <w:spacing w:line="600" w:lineRule="exact"/>
        <w:ind w:firstLine="642"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4.</w:t>
      </w:r>
      <w:r>
        <w:rPr>
          <w:rStyle w:val="17"/>
          <w:rFonts w:hint="eastAsia" w:ascii="仿宋" w:hAnsi="仿宋" w:eastAsia="仿宋"/>
          <w:bCs/>
          <w:color w:val="000000"/>
          <w:sz w:val="32"/>
          <w:szCs w:val="32"/>
          <w:lang w:eastAsia="zh-CN"/>
        </w:rPr>
        <w:t>公共安全支出</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司法</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社区矫正</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Fonts w:hint="eastAsia" w:ascii="仿宋" w:hAnsi="仿宋" w:eastAsia="仿宋"/>
          <w:color w:val="000000"/>
          <w:sz w:val="32"/>
          <w:szCs w:val="32"/>
          <w:lang w:val="en-US" w:eastAsia="zh-CN"/>
        </w:rPr>
        <w:t>75.26</w:t>
      </w:r>
      <w:r>
        <w:rPr>
          <w:rStyle w:val="17"/>
          <w:rFonts w:hint="eastAsia" w:ascii="仿宋" w:hAnsi="仿宋" w:eastAsia="仿宋"/>
          <w:b w:val="0"/>
          <w:bCs/>
          <w:color w:val="000000"/>
          <w:sz w:val="32"/>
          <w:szCs w:val="32"/>
        </w:rPr>
        <w:t>万元，完成预算</w:t>
      </w:r>
      <w:r>
        <w:rPr>
          <w:rFonts w:hint="eastAsia" w:ascii="仿宋" w:hAnsi="仿宋" w:eastAsia="仿宋"/>
          <w:color w:val="FF0000"/>
          <w:sz w:val="32"/>
          <w:szCs w:val="32"/>
          <w:lang w:val="en-US" w:eastAsia="zh-CN"/>
        </w:rPr>
        <w:t>99.95</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w:t>
      </w:r>
      <w:r>
        <w:rPr>
          <w:rStyle w:val="17"/>
          <w:rFonts w:hint="eastAsia" w:ascii="仿宋" w:hAnsi="仿宋" w:eastAsia="仿宋"/>
          <w:b w:val="0"/>
          <w:bCs/>
          <w:color w:val="000000"/>
          <w:sz w:val="32"/>
          <w:szCs w:val="32"/>
          <w:lang w:eastAsia="zh-CN"/>
        </w:rPr>
        <w:t>小于</w:t>
      </w:r>
      <w:r>
        <w:rPr>
          <w:rStyle w:val="17"/>
          <w:rFonts w:hint="eastAsia" w:ascii="仿宋" w:hAnsi="仿宋" w:eastAsia="仿宋"/>
          <w:b w:val="0"/>
          <w:bCs/>
          <w:color w:val="000000"/>
          <w:sz w:val="32"/>
          <w:szCs w:val="32"/>
        </w:rPr>
        <w:t>预算数的主要原因是</w:t>
      </w:r>
      <w:r>
        <w:rPr>
          <w:rStyle w:val="17"/>
          <w:rFonts w:hint="eastAsia" w:ascii="仿宋" w:hAnsi="仿宋" w:eastAsia="仿宋"/>
          <w:b w:val="0"/>
          <w:bCs/>
          <w:color w:val="000000"/>
          <w:sz w:val="32"/>
          <w:szCs w:val="32"/>
          <w:lang w:eastAsia="zh-CN"/>
        </w:rPr>
        <w:t>压缩经费支出、厉行节约</w:t>
      </w:r>
      <w:r>
        <w:rPr>
          <w:rStyle w:val="17"/>
          <w:rFonts w:hint="eastAsia" w:ascii="仿宋" w:hAnsi="仿宋" w:eastAsia="仿宋"/>
          <w:b w:val="0"/>
          <w:bCs/>
          <w:color w:val="000000"/>
          <w:sz w:val="32"/>
          <w:szCs w:val="32"/>
        </w:rPr>
        <w:t>。</w:t>
      </w:r>
    </w:p>
    <w:p>
      <w:pPr>
        <w:spacing w:line="600" w:lineRule="exact"/>
        <w:ind w:firstLine="642"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5.</w:t>
      </w:r>
      <w:r>
        <w:rPr>
          <w:rStyle w:val="17"/>
          <w:rFonts w:hint="eastAsia" w:ascii="仿宋" w:hAnsi="仿宋" w:eastAsia="仿宋"/>
          <w:bCs/>
          <w:color w:val="000000"/>
          <w:sz w:val="32"/>
          <w:szCs w:val="32"/>
          <w:lang w:eastAsia="zh-CN"/>
        </w:rPr>
        <w:t>公共安全支出</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司法</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法律援助</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Fonts w:hint="eastAsia" w:ascii="仿宋" w:hAnsi="仿宋" w:eastAsia="仿宋"/>
          <w:color w:val="000000"/>
          <w:sz w:val="32"/>
          <w:szCs w:val="32"/>
          <w:lang w:val="en-US" w:eastAsia="zh-CN"/>
        </w:rPr>
        <w:t>24.21</w:t>
      </w:r>
      <w:r>
        <w:rPr>
          <w:rStyle w:val="17"/>
          <w:rFonts w:hint="eastAsia" w:ascii="仿宋" w:hAnsi="仿宋" w:eastAsia="仿宋"/>
          <w:b w:val="0"/>
          <w:bCs/>
          <w:color w:val="000000"/>
          <w:sz w:val="32"/>
          <w:szCs w:val="32"/>
        </w:rPr>
        <w:t>万元，完成预算</w:t>
      </w:r>
      <w:r>
        <w:rPr>
          <w:rFonts w:hint="eastAsia" w:ascii="仿宋" w:hAnsi="仿宋" w:eastAsia="仿宋"/>
          <w:color w:val="FF0000"/>
          <w:sz w:val="32"/>
          <w:szCs w:val="32"/>
          <w:lang w:val="en-US" w:eastAsia="zh-CN"/>
        </w:rPr>
        <w:t>65.24</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w:t>
      </w:r>
      <w:r>
        <w:rPr>
          <w:rStyle w:val="17"/>
          <w:rFonts w:hint="eastAsia" w:ascii="仿宋" w:hAnsi="仿宋" w:eastAsia="仿宋"/>
          <w:b w:val="0"/>
          <w:bCs/>
          <w:color w:val="000000"/>
          <w:sz w:val="32"/>
          <w:szCs w:val="32"/>
          <w:lang w:eastAsia="zh-CN"/>
        </w:rPr>
        <w:t>小于</w:t>
      </w:r>
      <w:r>
        <w:rPr>
          <w:rStyle w:val="17"/>
          <w:rFonts w:hint="eastAsia" w:ascii="仿宋" w:hAnsi="仿宋" w:eastAsia="仿宋"/>
          <w:b w:val="0"/>
          <w:bCs/>
          <w:color w:val="000000"/>
          <w:sz w:val="32"/>
          <w:szCs w:val="32"/>
        </w:rPr>
        <w:t>预算数的主要原因</w:t>
      </w:r>
      <w:r>
        <w:rPr>
          <w:rStyle w:val="17"/>
          <w:rFonts w:hint="eastAsia" w:ascii="仿宋" w:hAnsi="仿宋" w:eastAsia="仿宋"/>
          <w:b w:val="0"/>
          <w:bCs/>
          <w:color w:val="000000"/>
          <w:sz w:val="32"/>
          <w:szCs w:val="32"/>
          <w:lang w:eastAsia="zh-CN"/>
        </w:rPr>
        <w:t>是反应了法律援助案件补贴等专项费用实际执行情况</w:t>
      </w:r>
      <w:r>
        <w:rPr>
          <w:rStyle w:val="17"/>
          <w:rFonts w:hint="eastAsia" w:ascii="仿宋" w:hAnsi="仿宋" w:eastAsia="仿宋"/>
          <w:b w:val="0"/>
          <w:bCs/>
          <w:color w:val="000000"/>
          <w:sz w:val="32"/>
          <w:szCs w:val="32"/>
        </w:rPr>
        <w:t>。</w:t>
      </w:r>
    </w:p>
    <w:p>
      <w:pPr>
        <w:spacing w:line="600" w:lineRule="exact"/>
        <w:ind w:firstLine="642"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6.</w:t>
      </w:r>
      <w:r>
        <w:rPr>
          <w:rStyle w:val="17"/>
          <w:rFonts w:hint="eastAsia" w:ascii="仿宋" w:hAnsi="仿宋" w:eastAsia="仿宋"/>
          <w:bCs/>
          <w:color w:val="000000"/>
          <w:sz w:val="32"/>
          <w:szCs w:val="32"/>
          <w:lang w:eastAsia="zh-CN"/>
        </w:rPr>
        <w:t>公共安全支出</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司法</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法制建设</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Fonts w:hint="eastAsia" w:ascii="仿宋" w:hAnsi="仿宋" w:eastAsia="仿宋"/>
          <w:color w:val="000000"/>
          <w:sz w:val="32"/>
          <w:szCs w:val="32"/>
          <w:lang w:val="en-US" w:eastAsia="zh-CN"/>
        </w:rPr>
        <w:t>45</w:t>
      </w:r>
      <w:r>
        <w:rPr>
          <w:rStyle w:val="17"/>
          <w:rFonts w:hint="eastAsia" w:ascii="仿宋" w:hAnsi="仿宋" w:eastAsia="仿宋"/>
          <w:b w:val="0"/>
          <w:bCs/>
          <w:color w:val="000000"/>
          <w:sz w:val="32"/>
          <w:szCs w:val="32"/>
        </w:rPr>
        <w:t>万元，完成预算</w:t>
      </w:r>
      <w:r>
        <w:rPr>
          <w:rFonts w:hint="eastAsia" w:ascii="仿宋" w:hAnsi="仿宋" w:eastAsia="仿宋"/>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，决算数等于预算数的主要原因是</w:t>
      </w:r>
      <w:r>
        <w:rPr>
          <w:rStyle w:val="17"/>
          <w:rFonts w:hint="eastAsia" w:ascii="仿宋" w:hAnsi="仿宋" w:eastAsia="仿宋"/>
          <w:b w:val="0"/>
          <w:bCs/>
          <w:color w:val="000000"/>
          <w:sz w:val="32"/>
          <w:szCs w:val="32"/>
          <w:lang w:eastAsia="zh-CN"/>
        </w:rPr>
        <w:t>按预算执行支付</w:t>
      </w:r>
      <w:r>
        <w:rPr>
          <w:rStyle w:val="17"/>
          <w:rFonts w:hint="eastAsia" w:ascii="仿宋" w:hAnsi="仿宋" w:eastAsia="仿宋"/>
          <w:b w:val="0"/>
          <w:bCs/>
          <w:color w:val="000000"/>
          <w:sz w:val="32"/>
          <w:szCs w:val="32"/>
        </w:rPr>
        <w:t>。</w:t>
      </w:r>
    </w:p>
    <w:p>
      <w:pPr>
        <w:spacing w:line="600" w:lineRule="exact"/>
        <w:ind w:firstLine="642"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7.</w:t>
      </w:r>
      <w:r>
        <w:rPr>
          <w:rStyle w:val="17"/>
          <w:rFonts w:hint="eastAsia" w:ascii="仿宋" w:hAnsi="仿宋" w:eastAsia="仿宋"/>
          <w:bCs/>
          <w:color w:val="000000"/>
          <w:sz w:val="32"/>
          <w:szCs w:val="32"/>
          <w:lang w:eastAsia="zh-CN"/>
        </w:rPr>
        <w:t>公共安全支出</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司法</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信息化建设</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Fonts w:hint="eastAsia" w:ascii="仿宋" w:hAnsi="仿宋" w:eastAsia="仿宋"/>
          <w:color w:val="000000"/>
          <w:sz w:val="32"/>
          <w:szCs w:val="32"/>
          <w:lang w:val="en-US" w:eastAsia="zh-CN"/>
        </w:rPr>
        <w:t>19.72</w:t>
      </w:r>
      <w:r>
        <w:rPr>
          <w:rStyle w:val="17"/>
          <w:rFonts w:hint="eastAsia" w:ascii="仿宋" w:hAnsi="仿宋" w:eastAsia="仿宋"/>
          <w:b w:val="0"/>
          <w:bCs/>
          <w:color w:val="000000"/>
          <w:sz w:val="32"/>
          <w:szCs w:val="32"/>
        </w:rPr>
        <w:t>万元，完成预算</w:t>
      </w:r>
      <w:r>
        <w:rPr>
          <w:rFonts w:hint="eastAsia" w:ascii="仿宋" w:hAnsi="仿宋" w:eastAsia="仿宋"/>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，决算数等于预算数的主要原因是</w:t>
      </w:r>
      <w:r>
        <w:rPr>
          <w:rStyle w:val="17"/>
          <w:rFonts w:hint="eastAsia" w:ascii="仿宋" w:hAnsi="仿宋" w:eastAsia="仿宋"/>
          <w:b w:val="0"/>
          <w:bCs/>
          <w:color w:val="000000"/>
          <w:sz w:val="32"/>
          <w:szCs w:val="32"/>
          <w:lang w:eastAsia="zh-CN"/>
        </w:rPr>
        <w:t>按预算执行支付</w:t>
      </w:r>
      <w:r>
        <w:rPr>
          <w:rStyle w:val="17"/>
          <w:rFonts w:hint="eastAsia" w:ascii="仿宋" w:hAnsi="仿宋" w:eastAsia="仿宋"/>
          <w:b w:val="0"/>
          <w:bCs/>
          <w:color w:val="000000"/>
          <w:sz w:val="32"/>
          <w:szCs w:val="32"/>
        </w:rPr>
        <w:t>。</w:t>
      </w:r>
    </w:p>
    <w:p>
      <w:pPr>
        <w:spacing w:line="600" w:lineRule="exact"/>
        <w:ind w:firstLine="642"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8.</w:t>
      </w:r>
      <w:r>
        <w:rPr>
          <w:rStyle w:val="17"/>
          <w:rFonts w:hint="eastAsia" w:ascii="仿宋" w:hAnsi="仿宋" w:eastAsia="仿宋"/>
          <w:bCs/>
          <w:color w:val="000000"/>
          <w:sz w:val="32"/>
          <w:szCs w:val="32"/>
          <w:lang w:eastAsia="zh-CN"/>
        </w:rPr>
        <w:t>公共安全支出</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司法</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其他司法指出</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Fonts w:hint="eastAsia" w:ascii="仿宋" w:hAnsi="仿宋" w:eastAsia="仿宋"/>
          <w:color w:val="000000"/>
          <w:sz w:val="32"/>
          <w:szCs w:val="32"/>
          <w:lang w:val="en-US" w:eastAsia="zh-CN"/>
        </w:rPr>
        <w:t>40</w:t>
      </w:r>
      <w:r>
        <w:rPr>
          <w:rStyle w:val="17"/>
          <w:rFonts w:hint="eastAsia" w:ascii="仿宋" w:hAnsi="仿宋" w:eastAsia="仿宋"/>
          <w:b w:val="0"/>
          <w:bCs/>
          <w:color w:val="000000"/>
          <w:sz w:val="32"/>
          <w:szCs w:val="32"/>
        </w:rPr>
        <w:t>万元，完成预算</w:t>
      </w:r>
      <w:r>
        <w:rPr>
          <w:rFonts w:hint="eastAsia" w:ascii="仿宋" w:hAnsi="仿宋" w:eastAsia="仿宋"/>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，决算数等于预算数的主要原因是</w:t>
      </w:r>
      <w:r>
        <w:rPr>
          <w:rStyle w:val="17"/>
          <w:rFonts w:hint="eastAsia" w:ascii="仿宋" w:hAnsi="仿宋" w:eastAsia="仿宋"/>
          <w:b w:val="0"/>
          <w:bCs/>
          <w:color w:val="000000"/>
          <w:sz w:val="32"/>
          <w:szCs w:val="32"/>
          <w:lang w:eastAsia="zh-CN"/>
        </w:rPr>
        <w:t>按预算执行支付</w:t>
      </w:r>
      <w:r>
        <w:rPr>
          <w:rStyle w:val="17"/>
          <w:rFonts w:hint="eastAsia" w:ascii="仿宋" w:hAnsi="仿宋" w:eastAsia="仿宋"/>
          <w:b w:val="0"/>
          <w:bCs/>
          <w:color w:val="000000"/>
          <w:sz w:val="32"/>
          <w:szCs w:val="32"/>
        </w:rPr>
        <w:t>。</w:t>
      </w:r>
    </w:p>
    <w:p>
      <w:pPr>
        <w:spacing w:line="600" w:lineRule="exact"/>
        <w:ind w:firstLine="642" w:firstLineChars="200"/>
        <w:rPr>
          <w:rStyle w:val="17"/>
          <w:rFonts w:hint="eastAsia" w:ascii="仿宋" w:hAnsi="仿宋" w:eastAsia="仿宋"/>
          <w:bCs/>
          <w:color w:val="000000"/>
          <w:sz w:val="32"/>
          <w:szCs w:val="32"/>
        </w:rPr>
      </w:pPr>
    </w:p>
    <w:p>
      <w:pPr>
        <w:spacing w:line="600" w:lineRule="exact"/>
        <w:ind w:firstLine="642" w:firstLineChars="200"/>
        <w:rPr>
          <w:rStyle w:val="17"/>
          <w:rFonts w:hint="eastAsia" w:ascii="仿宋" w:hAnsi="仿宋" w:eastAsia="仿宋"/>
          <w:b w:val="0"/>
          <w:bCs/>
          <w:color w:val="000000"/>
          <w:sz w:val="32"/>
          <w:szCs w:val="32"/>
          <w:lang w:val="en-US" w:eastAsia="zh-CN"/>
        </w:rPr>
      </w:pPr>
      <w:r>
        <w:rPr>
          <w:rStyle w:val="17"/>
          <w:rFonts w:hint="eastAsia" w:ascii="仿宋" w:hAnsi="仿宋" w:eastAsia="仿宋"/>
          <w:bCs/>
          <w:color w:val="000000"/>
          <w:sz w:val="32"/>
          <w:szCs w:val="32"/>
          <w:lang w:val="en-US" w:eastAsia="zh-CN"/>
        </w:rPr>
        <w:t>9.</w:t>
      </w:r>
      <w:r>
        <w:rPr>
          <w:rStyle w:val="17"/>
          <w:rFonts w:hint="eastAsia" w:ascii="仿宋" w:hAnsi="仿宋" w:eastAsia="仿宋"/>
          <w:bCs/>
          <w:color w:val="000000"/>
          <w:sz w:val="32"/>
          <w:szCs w:val="32"/>
        </w:rPr>
        <w:t>教育（类）</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（款）</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Fonts w:hint="eastAsia" w:ascii="仿宋" w:hAnsi="仿宋" w:eastAsia="仿宋"/>
          <w:color w:val="000000"/>
          <w:sz w:val="32"/>
          <w:szCs w:val="32"/>
          <w:lang w:val="en-US" w:eastAsia="zh-CN"/>
        </w:rPr>
        <w:t>0</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，决算数等于预算数的主要原因是</w:t>
      </w:r>
      <w:r>
        <w:rPr>
          <w:rStyle w:val="17"/>
          <w:rFonts w:hint="eastAsia" w:ascii="仿宋" w:hAnsi="仿宋" w:eastAsia="仿宋"/>
          <w:b w:val="0"/>
          <w:bCs/>
          <w:color w:val="000000"/>
          <w:sz w:val="32"/>
          <w:szCs w:val="32"/>
          <w:lang w:val="en-US" w:eastAsia="zh-CN"/>
        </w:rPr>
        <w:t>...</w:t>
      </w:r>
    </w:p>
    <w:p>
      <w:pPr>
        <w:spacing w:line="600" w:lineRule="exact"/>
        <w:ind w:firstLine="642" w:firstLineChars="200"/>
        <w:rPr>
          <w:rFonts w:ascii="仿宋" w:hAnsi="仿宋" w:eastAsia="仿宋"/>
          <w:b/>
          <w:color w:val="000000"/>
          <w:sz w:val="32"/>
          <w:szCs w:val="32"/>
        </w:rPr>
      </w:pPr>
      <w:r>
        <w:rPr>
          <w:rStyle w:val="17"/>
          <w:rFonts w:hint="eastAsia" w:ascii="仿宋" w:hAnsi="仿宋" w:eastAsia="仿宋"/>
          <w:bCs/>
          <w:color w:val="000000"/>
          <w:sz w:val="32"/>
          <w:szCs w:val="32"/>
          <w:lang w:val="en-US" w:eastAsia="zh-CN"/>
        </w:rPr>
        <w:t>10</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科学技术（类）</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（款）</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万元，完成预算</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，决算数小于</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等于预算数的主要原因是…。</w:t>
      </w:r>
    </w:p>
    <w:p>
      <w:pPr>
        <w:spacing w:line="600" w:lineRule="exact"/>
        <w:ind w:firstLine="642" w:firstLineChars="200"/>
        <w:rPr>
          <w:rFonts w:ascii="仿宋" w:hAnsi="仿宋" w:eastAsia="仿宋"/>
          <w:b/>
          <w:color w:val="000000"/>
          <w:sz w:val="32"/>
          <w:szCs w:val="32"/>
        </w:rPr>
      </w:pPr>
      <w:r>
        <w:rPr>
          <w:rStyle w:val="17"/>
          <w:rFonts w:hint="eastAsia" w:ascii="仿宋" w:hAnsi="仿宋" w:eastAsia="仿宋"/>
          <w:bCs/>
          <w:color w:val="000000"/>
          <w:sz w:val="32"/>
          <w:szCs w:val="32"/>
          <w:lang w:val="en-US" w:eastAsia="zh-CN"/>
        </w:rPr>
        <w:t>11</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文化旅游体育与传媒（类）</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（款）</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万元，完成预算</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，决算数小于</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等于预算数的主要原因是…。</w:t>
      </w:r>
    </w:p>
    <w:p>
      <w:pPr>
        <w:spacing w:line="600" w:lineRule="exact"/>
        <w:ind w:firstLine="642"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11</w:t>
      </w:r>
      <w:r>
        <w:rPr>
          <w:rStyle w:val="17"/>
          <w:rFonts w:ascii="仿宋" w:hAnsi="仿宋" w:eastAsia="仿宋"/>
          <w:bCs/>
          <w:color w:val="000000"/>
          <w:sz w:val="32"/>
          <w:szCs w:val="32"/>
        </w:rPr>
        <w:t>.</w:t>
      </w:r>
      <w:r>
        <w:rPr>
          <w:rStyle w:val="17"/>
          <w:rFonts w:hint="eastAsia" w:ascii="仿宋" w:hAnsi="仿宋" w:eastAsia="仿宋"/>
          <w:bCs/>
          <w:color w:val="000000"/>
          <w:sz w:val="32"/>
          <w:szCs w:val="32"/>
          <w:lang w:eastAsia="zh-CN"/>
        </w:rPr>
        <w:t>社会保障就业支出</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行政单位养老支出（</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行政单位离退休</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Fonts w:hint="eastAsia" w:ascii="仿宋" w:hAnsi="仿宋" w:eastAsia="仿宋"/>
          <w:color w:val="000000"/>
          <w:sz w:val="32"/>
          <w:szCs w:val="32"/>
          <w:lang w:val="en-US" w:eastAsia="zh-CN"/>
        </w:rPr>
        <w:t>11.34</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，决算数等于预算数的主要原因是</w:t>
      </w:r>
      <w:r>
        <w:rPr>
          <w:rStyle w:val="17"/>
          <w:rFonts w:hint="eastAsia" w:ascii="仿宋" w:hAnsi="仿宋" w:eastAsia="仿宋"/>
          <w:b w:val="0"/>
          <w:bCs/>
          <w:color w:val="000000"/>
          <w:sz w:val="32"/>
          <w:szCs w:val="32"/>
          <w:lang w:eastAsia="zh-CN"/>
        </w:rPr>
        <w:t>按预算执行支付</w:t>
      </w:r>
      <w:r>
        <w:rPr>
          <w:rStyle w:val="17"/>
          <w:rFonts w:hint="eastAsia" w:ascii="仿宋" w:hAnsi="仿宋" w:eastAsia="仿宋"/>
          <w:b w:val="0"/>
          <w:bCs/>
          <w:color w:val="000000"/>
          <w:sz w:val="32"/>
          <w:szCs w:val="32"/>
        </w:rPr>
        <w:t>。</w:t>
      </w:r>
    </w:p>
    <w:p>
      <w:pPr>
        <w:spacing w:line="600" w:lineRule="exact"/>
        <w:ind w:firstLine="642" w:firstLineChars="200"/>
        <w:rPr>
          <w:rStyle w:val="17"/>
          <w:rFonts w:ascii="仿宋" w:hAnsi="仿宋" w:eastAsia="仿宋"/>
          <w:bCs/>
          <w:color w:val="000000"/>
          <w:sz w:val="32"/>
          <w:szCs w:val="32"/>
        </w:rPr>
      </w:pPr>
      <w:r>
        <w:rPr>
          <w:rStyle w:val="17"/>
          <w:rFonts w:hint="eastAsia" w:ascii="仿宋" w:hAnsi="仿宋" w:eastAsia="仿宋"/>
          <w:bCs/>
          <w:color w:val="000000"/>
          <w:sz w:val="32"/>
          <w:szCs w:val="32"/>
          <w:lang w:val="en-US" w:eastAsia="zh-CN"/>
        </w:rPr>
        <w:t>12</w:t>
      </w:r>
      <w:r>
        <w:rPr>
          <w:rStyle w:val="17"/>
          <w:rFonts w:ascii="仿宋" w:hAnsi="仿宋" w:eastAsia="仿宋"/>
          <w:bCs/>
          <w:color w:val="000000"/>
          <w:sz w:val="32"/>
          <w:szCs w:val="32"/>
        </w:rPr>
        <w:t>.</w:t>
      </w:r>
      <w:r>
        <w:rPr>
          <w:rStyle w:val="17"/>
          <w:rFonts w:hint="eastAsia" w:ascii="仿宋" w:hAnsi="仿宋" w:eastAsia="仿宋"/>
          <w:bCs/>
          <w:color w:val="000000"/>
          <w:sz w:val="32"/>
          <w:szCs w:val="32"/>
          <w:lang w:eastAsia="zh-CN"/>
        </w:rPr>
        <w:t>社会保障就业支出</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行政单位养老支出（</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机关事业单位基本养老保险缴费支出</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Fonts w:hint="eastAsia" w:ascii="仿宋" w:hAnsi="仿宋" w:eastAsia="仿宋"/>
          <w:color w:val="000000"/>
          <w:sz w:val="32"/>
          <w:szCs w:val="32"/>
          <w:lang w:val="en-US" w:eastAsia="zh-CN"/>
        </w:rPr>
        <w:t>50.72</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，决算数等于预算数的主要原因是</w:t>
      </w:r>
      <w:r>
        <w:rPr>
          <w:rStyle w:val="17"/>
          <w:rFonts w:hint="eastAsia" w:ascii="仿宋" w:hAnsi="仿宋" w:eastAsia="仿宋"/>
          <w:b w:val="0"/>
          <w:bCs/>
          <w:color w:val="000000"/>
          <w:sz w:val="32"/>
          <w:szCs w:val="32"/>
          <w:lang w:eastAsia="zh-CN"/>
        </w:rPr>
        <w:t>按预算执行支付</w:t>
      </w:r>
      <w:r>
        <w:rPr>
          <w:rStyle w:val="17"/>
          <w:rFonts w:hint="eastAsia" w:ascii="仿宋" w:hAnsi="仿宋" w:eastAsia="仿宋"/>
          <w:b w:val="0"/>
          <w:bCs/>
          <w:color w:val="000000"/>
          <w:sz w:val="32"/>
          <w:szCs w:val="32"/>
        </w:rPr>
        <w:t>。</w:t>
      </w:r>
    </w:p>
    <w:p>
      <w:pPr>
        <w:spacing w:line="600" w:lineRule="exact"/>
        <w:ind w:firstLine="642"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13</w:t>
      </w:r>
      <w:r>
        <w:rPr>
          <w:rStyle w:val="17"/>
          <w:rFonts w:ascii="仿宋" w:hAnsi="仿宋" w:eastAsia="仿宋"/>
          <w:bCs/>
          <w:color w:val="000000"/>
          <w:sz w:val="32"/>
          <w:szCs w:val="32"/>
        </w:rPr>
        <w:t>.</w:t>
      </w:r>
      <w:r>
        <w:rPr>
          <w:rStyle w:val="17"/>
          <w:rFonts w:hint="eastAsia" w:ascii="仿宋" w:hAnsi="仿宋" w:eastAsia="仿宋"/>
          <w:bCs/>
          <w:color w:val="000000"/>
          <w:sz w:val="32"/>
          <w:szCs w:val="32"/>
          <w:lang w:eastAsia="zh-CN"/>
        </w:rPr>
        <w:t>社会保障就业支出</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行政单位养老支出（</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机关事业单位职业年金缴费支出</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Fonts w:hint="eastAsia" w:ascii="仿宋" w:hAnsi="仿宋" w:eastAsia="仿宋"/>
          <w:color w:val="000000"/>
          <w:sz w:val="32"/>
          <w:szCs w:val="32"/>
          <w:lang w:val="en-US" w:eastAsia="zh-CN"/>
        </w:rPr>
        <w:t>7.39</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，决算数等于预算数的主要原因是</w:t>
      </w:r>
      <w:r>
        <w:rPr>
          <w:rStyle w:val="17"/>
          <w:rFonts w:hint="eastAsia" w:ascii="仿宋" w:hAnsi="仿宋" w:eastAsia="仿宋"/>
          <w:b w:val="0"/>
          <w:bCs/>
          <w:color w:val="000000"/>
          <w:sz w:val="32"/>
          <w:szCs w:val="32"/>
          <w:lang w:eastAsia="zh-CN"/>
        </w:rPr>
        <w:t>按预算执行支付</w:t>
      </w:r>
      <w:r>
        <w:rPr>
          <w:rStyle w:val="17"/>
          <w:rFonts w:hint="eastAsia" w:ascii="仿宋" w:hAnsi="仿宋" w:eastAsia="仿宋"/>
          <w:b w:val="0"/>
          <w:bCs/>
          <w:color w:val="000000"/>
          <w:sz w:val="32"/>
          <w:szCs w:val="32"/>
        </w:rPr>
        <w:t>。</w:t>
      </w:r>
    </w:p>
    <w:p>
      <w:pPr>
        <w:spacing w:line="600" w:lineRule="exact"/>
        <w:ind w:firstLine="642" w:firstLineChars="200"/>
        <w:rPr>
          <w:rFonts w:hint="eastAsia"/>
        </w:rPr>
      </w:pPr>
      <w:r>
        <w:rPr>
          <w:rStyle w:val="17"/>
          <w:rFonts w:hint="eastAsia" w:ascii="仿宋" w:hAnsi="仿宋" w:eastAsia="仿宋"/>
          <w:bCs/>
          <w:color w:val="000000"/>
          <w:sz w:val="32"/>
          <w:szCs w:val="32"/>
          <w:lang w:val="en-US" w:eastAsia="zh-CN"/>
        </w:rPr>
        <w:t>14</w:t>
      </w:r>
      <w:r>
        <w:rPr>
          <w:rStyle w:val="17"/>
          <w:rFonts w:ascii="仿宋" w:hAnsi="仿宋" w:eastAsia="仿宋"/>
          <w:bCs/>
          <w:color w:val="000000"/>
          <w:sz w:val="32"/>
          <w:szCs w:val="32"/>
        </w:rPr>
        <w:t>.</w:t>
      </w:r>
      <w:r>
        <w:rPr>
          <w:rStyle w:val="17"/>
          <w:rFonts w:hint="eastAsia" w:ascii="仿宋" w:hAnsi="仿宋" w:eastAsia="仿宋"/>
          <w:bCs/>
          <w:color w:val="000000"/>
          <w:sz w:val="32"/>
          <w:szCs w:val="32"/>
          <w:lang w:eastAsia="zh-CN"/>
        </w:rPr>
        <w:t>社会保障就业支出</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其他社会保障和就业支出（</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其他社会保障和就业支出</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Fonts w:hint="eastAsia" w:ascii="仿宋" w:hAnsi="仿宋" w:eastAsia="仿宋"/>
          <w:color w:val="000000"/>
          <w:sz w:val="32"/>
          <w:szCs w:val="32"/>
          <w:lang w:val="en-US" w:eastAsia="zh-CN"/>
        </w:rPr>
        <w:t>1.71</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，决算数等于预算数的主要原因是</w:t>
      </w:r>
      <w:r>
        <w:rPr>
          <w:rStyle w:val="17"/>
          <w:rFonts w:hint="eastAsia" w:ascii="仿宋" w:hAnsi="仿宋" w:eastAsia="仿宋"/>
          <w:b w:val="0"/>
          <w:bCs/>
          <w:color w:val="000000"/>
          <w:sz w:val="32"/>
          <w:szCs w:val="32"/>
          <w:lang w:eastAsia="zh-CN"/>
        </w:rPr>
        <w:t>按预算执行支付</w:t>
      </w:r>
      <w:r>
        <w:rPr>
          <w:rStyle w:val="17"/>
          <w:rFonts w:hint="eastAsia" w:ascii="仿宋" w:hAnsi="仿宋" w:eastAsia="仿宋"/>
          <w:b w:val="0"/>
          <w:bCs/>
          <w:color w:val="000000"/>
          <w:sz w:val="32"/>
          <w:szCs w:val="32"/>
        </w:rPr>
        <w:t>。</w:t>
      </w:r>
    </w:p>
    <w:p>
      <w:pPr>
        <w:spacing w:line="600" w:lineRule="exact"/>
        <w:ind w:firstLine="642"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15</w:t>
      </w:r>
      <w:r>
        <w:rPr>
          <w:rStyle w:val="17"/>
          <w:rFonts w:ascii="仿宋" w:hAnsi="仿宋" w:eastAsia="仿宋"/>
          <w:bCs/>
          <w:color w:val="000000"/>
          <w:sz w:val="32"/>
          <w:szCs w:val="32"/>
        </w:rPr>
        <w:t>.</w:t>
      </w:r>
      <w:r>
        <w:rPr>
          <w:rStyle w:val="17"/>
          <w:rFonts w:hint="eastAsia" w:ascii="仿宋" w:hAnsi="仿宋" w:eastAsia="仿宋"/>
          <w:bCs/>
          <w:color w:val="000000"/>
          <w:sz w:val="32"/>
          <w:szCs w:val="32"/>
          <w:lang w:eastAsia="zh-CN"/>
        </w:rPr>
        <w:t>卫生健康支出</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行政事业单位医疗（</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行政单位医疗</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Fonts w:hint="eastAsia" w:ascii="仿宋" w:hAnsi="仿宋" w:eastAsia="仿宋"/>
          <w:color w:val="000000"/>
          <w:sz w:val="32"/>
          <w:szCs w:val="32"/>
          <w:lang w:val="en-US" w:eastAsia="zh-CN"/>
        </w:rPr>
        <w:t>25.03</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，决算数等于预算数的主要原因是</w:t>
      </w:r>
      <w:r>
        <w:rPr>
          <w:rStyle w:val="17"/>
          <w:rFonts w:hint="eastAsia" w:ascii="仿宋" w:hAnsi="仿宋" w:eastAsia="仿宋"/>
          <w:b w:val="0"/>
          <w:bCs/>
          <w:color w:val="000000"/>
          <w:sz w:val="32"/>
          <w:szCs w:val="32"/>
          <w:lang w:eastAsia="zh-CN"/>
        </w:rPr>
        <w:t>按预算执行支付</w:t>
      </w:r>
      <w:r>
        <w:rPr>
          <w:rStyle w:val="17"/>
          <w:rFonts w:hint="eastAsia" w:ascii="仿宋" w:hAnsi="仿宋" w:eastAsia="仿宋"/>
          <w:b w:val="0"/>
          <w:bCs/>
          <w:color w:val="000000"/>
          <w:sz w:val="32"/>
          <w:szCs w:val="32"/>
        </w:rPr>
        <w:t>。</w:t>
      </w:r>
    </w:p>
    <w:p>
      <w:pPr>
        <w:spacing w:line="600" w:lineRule="exact"/>
        <w:ind w:firstLine="642"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16</w:t>
      </w:r>
      <w:r>
        <w:rPr>
          <w:rStyle w:val="17"/>
          <w:rFonts w:ascii="仿宋" w:hAnsi="仿宋" w:eastAsia="仿宋"/>
          <w:bCs/>
          <w:color w:val="000000"/>
          <w:sz w:val="32"/>
          <w:szCs w:val="32"/>
        </w:rPr>
        <w:t>.</w:t>
      </w:r>
      <w:r>
        <w:rPr>
          <w:rStyle w:val="17"/>
          <w:rFonts w:hint="eastAsia" w:ascii="仿宋" w:hAnsi="仿宋" w:eastAsia="仿宋"/>
          <w:bCs/>
          <w:color w:val="000000"/>
          <w:sz w:val="32"/>
          <w:szCs w:val="32"/>
          <w:lang w:eastAsia="zh-CN"/>
        </w:rPr>
        <w:t>住房保障支出</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住房改革支出（</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其他社会保障和就业支出</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Fonts w:hint="eastAsia" w:ascii="仿宋" w:hAnsi="仿宋" w:eastAsia="仿宋"/>
          <w:color w:val="000000"/>
          <w:sz w:val="32"/>
          <w:szCs w:val="32"/>
          <w:lang w:val="en-US" w:eastAsia="zh-CN"/>
        </w:rPr>
        <w:t>36.32</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，决算数等于预算数的主要原因是</w:t>
      </w:r>
      <w:r>
        <w:rPr>
          <w:rStyle w:val="17"/>
          <w:rFonts w:hint="eastAsia" w:ascii="仿宋" w:hAnsi="仿宋" w:eastAsia="仿宋"/>
          <w:b w:val="0"/>
          <w:bCs/>
          <w:color w:val="000000"/>
          <w:sz w:val="32"/>
          <w:szCs w:val="32"/>
          <w:lang w:eastAsia="zh-CN"/>
        </w:rPr>
        <w:t>按预算执行支付</w:t>
      </w:r>
      <w:r>
        <w:rPr>
          <w:rStyle w:val="17"/>
          <w:rFonts w:hint="eastAsia" w:ascii="仿宋" w:hAnsi="仿宋" w:eastAsia="仿宋"/>
          <w:b w:val="0"/>
          <w:bCs/>
          <w:color w:val="000000"/>
          <w:sz w:val="32"/>
          <w:szCs w:val="32"/>
        </w:rPr>
        <w:t>。</w:t>
      </w:r>
    </w:p>
    <w:p>
      <w:pPr>
        <w:spacing w:line="600" w:lineRule="exact"/>
        <w:ind w:firstLine="642" w:firstLineChars="200"/>
        <w:rPr>
          <w:rFonts w:hint="eastAsia" w:eastAsia="宋体"/>
          <w:lang w:val="en-US" w:eastAsia="zh-CN"/>
        </w:rPr>
      </w:pPr>
      <w:r>
        <w:rPr>
          <w:rStyle w:val="17"/>
          <w:rFonts w:hint="eastAsia" w:ascii="仿宋" w:hAnsi="仿宋" w:eastAsia="仿宋"/>
          <w:bCs/>
          <w:color w:val="000000"/>
          <w:sz w:val="32"/>
          <w:szCs w:val="32"/>
          <w:lang w:val="en-US" w:eastAsia="zh-CN"/>
        </w:rPr>
        <w:t>14</w:t>
      </w:r>
      <w:r>
        <w:rPr>
          <w:rStyle w:val="17"/>
          <w:rFonts w:ascii="仿宋" w:hAnsi="仿宋" w:eastAsia="仿宋"/>
          <w:bCs/>
          <w:color w:val="000000"/>
          <w:sz w:val="32"/>
          <w:szCs w:val="32"/>
        </w:rPr>
        <w:t>.</w:t>
      </w:r>
      <w:r>
        <w:rPr>
          <w:rStyle w:val="17"/>
          <w:rFonts w:hint="eastAsia" w:ascii="仿宋" w:hAnsi="仿宋" w:eastAsia="仿宋"/>
          <w:bCs/>
          <w:color w:val="000000"/>
          <w:sz w:val="32"/>
          <w:szCs w:val="32"/>
          <w:lang w:eastAsia="zh-CN"/>
        </w:rPr>
        <w:t>农林水支出</w:t>
      </w:r>
      <w:r>
        <w:rPr>
          <w:rStyle w:val="17"/>
          <w:rFonts w:hint="eastAsia" w:ascii="仿宋" w:hAnsi="仿宋" w:eastAsia="仿宋"/>
          <w:bCs/>
          <w:color w:val="000000"/>
          <w:sz w:val="32"/>
          <w:szCs w:val="32"/>
        </w:rPr>
        <w:t>（类）</w:t>
      </w:r>
      <w:r>
        <w:rPr>
          <w:rStyle w:val="17"/>
          <w:rFonts w:hint="eastAsia" w:ascii="仿宋" w:hAnsi="仿宋" w:eastAsia="仿宋"/>
          <w:bCs/>
          <w:color w:val="000000"/>
          <w:sz w:val="32"/>
          <w:szCs w:val="32"/>
          <w:lang w:eastAsia="zh-CN"/>
        </w:rPr>
        <w:t>扶贫（</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其他扶贫支出</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Fonts w:hint="eastAsia" w:ascii="仿宋" w:hAnsi="仿宋" w:eastAsia="仿宋"/>
          <w:color w:val="000000"/>
          <w:sz w:val="32"/>
          <w:szCs w:val="32"/>
          <w:lang w:val="en-US" w:eastAsia="zh-CN"/>
        </w:rPr>
        <w:t>0.5</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，决算数等于预算数的主要原因是</w:t>
      </w:r>
      <w:r>
        <w:rPr>
          <w:rStyle w:val="17"/>
          <w:rFonts w:hint="eastAsia" w:ascii="仿宋" w:hAnsi="仿宋" w:eastAsia="仿宋"/>
          <w:b w:val="0"/>
          <w:bCs/>
          <w:color w:val="000000"/>
          <w:sz w:val="32"/>
          <w:szCs w:val="32"/>
          <w:lang w:eastAsia="zh-CN"/>
        </w:rPr>
        <w:t>按预算执行支付</w:t>
      </w:r>
      <w:r>
        <w:rPr>
          <w:rStyle w:val="17"/>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表，罗列全部功能分类科目至项级。上述“预算”口径为</w:t>
      </w:r>
      <w:r>
        <w:rPr>
          <w:rFonts w:hint="eastAsia" w:ascii="仿宋" w:hAnsi="仿宋" w:eastAsia="仿宋"/>
          <w:b/>
          <w:color w:val="FF0000"/>
          <w:sz w:val="32"/>
          <w:szCs w:val="32"/>
          <w:highlight w:val="yellow"/>
        </w:rPr>
        <w:t>调整预算数</w:t>
      </w:r>
      <w:r>
        <w:rPr>
          <w:rFonts w:hint="eastAsia" w:ascii="仿宋" w:hAnsi="仿宋" w:eastAsia="仿宋"/>
          <w:b/>
          <w:color w:val="FF0000"/>
          <w:sz w:val="32"/>
          <w:szCs w:val="32"/>
        </w:rPr>
        <w:t>。增减变动原因为决算数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7"/>
        </w:rPr>
      </w:pPr>
      <w:bookmarkStart w:id="50" w:name="_Toc15377214"/>
      <w:bookmarkStart w:id="5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50"/>
      <w:bookmarkEnd w:id="51"/>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857.89</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752.27</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132.49</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07</w:t>
      </w:r>
      <w:r>
        <w:rPr>
          <w:rFonts w:hint="eastAsia" w:ascii="仿宋" w:hAnsi="仿宋" w:eastAsia="仿宋"/>
          <w:b/>
          <w:color w:val="FF0000"/>
          <w:sz w:val="32"/>
          <w:szCs w:val="32"/>
        </w:rPr>
        <w:t>表，根据本部门实际支出情况罗列全部经济分类科目。）</w:t>
      </w:r>
    </w:p>
    <w:p>
      <w:pPr>
        <w:spacing w:line="600" w:lineRule="exact"/>
        <w:ind w:firstLine="640"/>
        <w:rPr>
          <w:rFonts w:ascii="仿宋" w:hAnsi="仿宋" w:eastAsia="仿宋"/>
          <w:b/>
          <w:color w:val="FF0000"/>
          <w:sz w:val="32"/>
          <w:szCs w:val="32"/>
        </w:rPr>
      </w:pPr>
    </w:p>
    <w:p>
      <w:pPr>
        <w:spacing w:line="600" w:lineRule="exact"/>
        <w:ind w:firstLine="640"/>
        <w:outlineLvl w:val="1"/>
        <w:rPr>
          <w:rStyle w:val="27"/>
          <w:rFonts w:ascii="黑体" w:hAnsi="黑体" w:eastAsia="黑体"/>
          <w:b w:val="0"/>
        </w:rPr>
      </w:pPr>
      <w:bookmarkStart w:id="52" w:name="_Toc15396609"/>
      <w:bookmarkStart w:id="53" w:name="_Toc15377215"/>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52"/>
      <w:bookmarkEnd w:id="53"/>
    </w:p>
    <w:p>
      <w:pPr>
        <w:spacing w:line="600" w:lineRule="exact"/>
        <w:ind w:firstLine="640"/>
        <w:outlineLvl w:val="2"/>
        <w:rPr>
          <w:rFonts w:ascii="仿宋" w:hAnsi="仿宋" w:eastAsia="仿宋"/>
          <w:b/>
          <w:color w:val="000000"/>
          <w:sz w:val="32"/>
          <w:szCs w:val="32"/>
        </w:rPr>
      </w:pPr>
      <w:bookmarkStart w:id="54" w:name="_Toc15377216"/>
      <w:r>
        <w:rPr>
          <w:rFonts w:hint="eastAsia" w:ascii="仿宋" w:hAnsi="仿宋" w:eastAsia="仿宋"/>
          <w:b/>
          <w:color w:val="000000"/>
          <w:sz w:val="32"/>
          <w:szCs w:val="32"/>
        </w:rPr>
        <w:t>（一）“三公”经费财政拨款支出决算总体情况说明</w:t>
      </w:r>
      <w:bookmarkEnd w:id="5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21.47</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163.59</w:t>
      </w:r>
      <w:r>
        <w:rPr>
          <w:rFonts w:ascii="仿宋" w:hAnsi="仿宋" w:eastAsia="仿宋"/>
          <w:color w:val="000000"/>
          <w:sz w:val="32"/>
          <w:szCs w:val="32"/>
        </w:rPr>
        <w:t>%</w:t>
      </w:r>
      <w:r>
        <w:rPr>
          <w:rFonts w:hint="eastAsia" w:ascii="仿宋" w:hAnsi="仿宋" w:eastAsia="仿宋"/>
          <w:color w:val="000000"/>
          <w:sz w:val="32"/>
          <w:szCs w:val="32"/>
        </w:rPr>
        <w:t>，决算数</w:t>
      </w:r>
      <w:r>
        <w:rPr>
          <w:rFonts w:hint="eastAsia" w:ascii="仿宋" w:hAnsi="仿宋" w:eastAsia="仿宋"/>
          <w:color w:val="000000"/>
          <w:sz w:val="32"/>
          <w:szCs w:val="32"/>
          <w:lang w:eastAsia="zh-CN"/>
        </w:rPr>
        <w:t>大于</w:t>
      </w:r>
      <w:r>
        <w:rPr>
          <w:rFonts w:hint="eastAsia" w:ascii="仿宋" w:hAnsi="仿宋" w:eastAsia="仿宋"/>
          <w:color w:val="000000"/>
          <w:sz w:val="32"/>
          <w:szCs w:val="32"/>
        </w:rPr>
        <w:t>预算数的主要原因是</w:t>
      </w:r>
      <w:r>
        <w:rPr>
          <w:rFonts w:hint="eastAsia" w:ascii="仿宋" w:hAnsi="仿宋" w:eastAsia="仿宋"/>
          <w:color w:val="000000"/>
          <w:sz w:val="32"/>
          <w:szCs w:val="32"/>
          <w:lang w:eastAsia="zh-CN"/>
        </w:rPr>
        <w:t>承办了司法所服务乡村振兴现场会增加了公务接待批次、人数和公车使用频率，使三公经费用超预算；</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55" w:name="_Toc15377217"/>
      <w:r>
        <w:rPr>
          <w:rFonts w:hint="eastAsia" w:ascii="仿宋" w:hAnsi="仿宋" w:eastAsia="仿宋"/>
          <w:b/>
          <w:color w:val="000000"/>
          <w:sz w:val="32"/>
          <w:szCs w:val="32"/>
        </w:rPr>
        <w:t>（二）“三公”经费财政拨款支出决算具体情况说明</w:t>
      </w:r>
      <w:bookmarkEnd w:id="5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19.2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89.43</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2.27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10.57</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：“三公”经费财政拨款支出结构）（饼状图）</w:t>
      </w:r>
    </w:p>
    <w:p>
      <w:pPr>
        <w:pStyle w:val="2"/>
      </w:pPr>
      <w:r>
        <w:drawing>
          <wp:inline distT="0" distB="0" distL="114300" distR="114300">
            <wp:extent cx="4572000" cy="2743200"/>
            <wp:effectExtent l="4445" t="4445" r="14605" b="14605"/>
            <wp:docPr id="7" name="图表 8"/>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完成预算</w:t>
      </w:r>
      <w:r>
        <w:rPr>
          <w:rStyle w:val="17"/>
          <w:rFonts w:hint="eastAsia" w:ascii="仿宋" w:hAnsi="仿宋" w:eastAsia="仿宋"/>
          <w:b w:val="0"/>
          <w:bCs/>
          <w:color w:val="000000"/>
          <w:sz w:val="32"/>
          <w:szCs w:val="32"/>
          <w:lang w:val="en-US" w:eastAsia="zh-CN"/>
        </w:rPr>
        <w:t>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开支内容包括：…（团组名称、出访地点、取得成效）等。</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19.2</w:t>
      </w:r>
      <w:r>
        <w:rPr>
          <w:rFonts w:hint="eastAsia" w:ascii="仿宋_GB2312" w:eastAsia="仿宋_GB2312"/>
          <w:color w:val="000000"/>
          <w:sz w:val="32"/>
          <w:szCs w:val="32"/>
        </w:rPr>
        <w:t>万元</w:t>
      </w:r>
      <w:r>
        <w:rPr>
          <w:rFonts w:ascii="仿宋_GB2312" w:eastAsia="仿宋_GB2312"/>
          <w:color w:val="000000"/>
          <w:sz w:val="32"/>
          <w:szCs w:val="32"/>
        </w:rPr>
        <w:t>,</w:t>
      </w:r>
      <w:r>
        <w:rPr>
          <w:rStyle w:val="17"/>
          <w:rFonts w:hint="eastAsia" w:ascii="仿宋" w:hAnsi="仿宋" w:eastAsia="仿宋"/>
          <w:b w:val="0"/>
          <w:bCs/>
          <w:color w:val="000000"/>
          <w:sz w:val="32"/>
          <w:szCs w:val="32"/>
        </w:rPr>
        <w:t>完成预算</w:t>
      </w:r>
      <w:r>
        <w:rPr>
          <w:rStyle w:val="17"/>
          <w:rFonts w:hint="eastAsia" w:ascii="仿宋" w:hAnsi="仿宋" w:eastAsia="仿宋"/>
          <w:b w:val="0"/>
          <w:bCs/>
          <w:color w:val="000000"/>
          <w:sz w:val="32"/>
          <w:szCs w:val="32"/>
          <w:lang w:val="en-US" w:eastAsia="zh-CN"/>
        </w:rPr>
        <w:t>161.34</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7.28</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61.17</w:t>
      </w:r>
      <w:r>
        <w:rPr>
          <w:rFonts w:ascii="仿宋_GB2312" w:eastAsia="仿宋_GB2312"/>
          <w:color w:val="000000"/>
          <w:sz w:val="32"/>
          <w:szCs w:val="32"/>
        </w:rPr>
        <w:t>%</w:t>
      </w:r>
      <w:r>
        <w:rPr>
          <w:rFonts w:hint="eastAsia" w:ascii="仿宋_GB2312" w:eastAsia="仿宋_GB2312"/>
          <w:color w:val="000000"/>
          <w:sz w:val="32"/>
          <w:szCs w:val="32"/>
        </w:rPr>
        <w:t>。主要原因</w:t>
      </w:r>
      <w:r>
        <w:rPr>
          <w:rFonts w:hint="eastAsia" w:ascii="仿宋_GB2312" w:eastAsia="仿宋_GB2312"/>
          <w:color w:val="000000"/>
          <w:sz w:val="32"/>
          <w:szCs w:val="32"/>
          <w:lang w:eastAsia="zh-CN"/>
        </w:rPr>
        <w:t>是</w:t>
      </w:r>
      <w:r>
        <w:rPr>
          <w:rFonts w:hint="eastAsia" w:ascii="仿宋" w:hAnsi="仿宋" w:eastAsia="仿宋"/>
          <w:color w:val="000000"/>
          <w:sz w:val="32"/>
          <w:szCs w:val="32"/>
          <w:lang w:eastAsia="zh-CN"/>
        </w:rPr>
        <w:t>承办了司法所服务乡村振兴现场会增加公车使用频率，使公车费用超预算</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19.2</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普法宣传，公务接待</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2.27</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完成预算</w:t>
      </w:r>
      <w:r>
        <w:rPr>
          <w:rStyle w:val="17"/>
          <w:rFonts w:hint="eastAsia" w:ascii="仿宋" w:hAnsi="仿宋" w:eastAsia="仿宋"/>
          <w:b w:val="0"/>
          <w:bCs/>
          <w:color w:val="000000"/>
          <w:sz w:val="32"/>
          <w:szCs w:val="32"/>
          <w:lang w:val="en-US" w:eastAsia="zh-CN"/>
        </w:rPr>
        <w:t>117.62</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2019</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0.34</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17.62</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 w:hAnsi="仿宋" w:eastAsia="仿宋"/>
          <w:color w:val="000000"/>
          <w:sz w:val="32"/>
          <w:szCs w:val="32"/>
          <w:lang w:eastAsia="zh-CN"/>
        </w:rPr>
        <w:t>承办了司法所服务乡村振兴现场会增加了公务接待批次、人数和</w:t>
      </w: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2.27</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单位普法宣传、法制建设及司法所服务乡村振兴等</w:t>
      </w:r>
      <w:r>
        <w:rPr>
          <w:rFonts w:ascii="仿宋_GB2312" w:eastAsia="仿宋_GB2312"/>
          <w:color w:val="000000"/>
          <w:sz w:val="32"/>
          <w:szCs w:val="32"/>
        </w:rPr>
        <w:t>(</w:t>
      </w:r>
      <w:r>
        <w:rPr>
          <w:rFonts w:hint="eastAsia" w:ascii="仿宋_GB2312" w:eastAsia="仿宋_GB2312"/>
          <w:color w:val="000000"/>
          <w:sz w:val="32"/>
          <w:szCs w:val="32"/>
        </w:rPr>
        <w:t>执行公务、开展业务活动开支的交通费、住宿费、用餐费等</w:t>
      </w:r>
      <w:r>
        <w:rPr>
          <w:rFonts w:ascii="仿宋_GB2312" w:eastAsia="仿宋_GB2312"/>
          <w:color w:val="000000"/>
          <w:sz w:val="32"/>
          <w:szCs w:val="32"/>
        </w:rPr>
        <w:t>)</w:t>
      </w:r>
      <w:r>
        <w:rPr>
          <w:rFonts w:hint="eastAsia" w:ascii="仿宋_GB2312" w:eastAsia="仿宋_GB2312"/>
          <w:color w:val="000000"/>
          <w:sz w:val="32"/>
          <w:szCs w:val="32"/>
        </w:rPr>
        <w:t>。国内公务接待</w:t>
      </w:r>
      <w:r>
        <w:rPr>
          <w:rFonts w:hint="eastAsia" w:ascii="仿宋_GB2312" w:eastAsia="仿宋_GB2312"/>
          <w:color w:val="000000"/>
          <w:sz w:val="32"/>
          <w:szCs w:val="32"/>
          <w:lang w:val="en-US" w:eastAsia="zh-CN"/>
        </w:rPr>
        <w:t>26</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230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2.27</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司法行政退役军人座谈会用餐</w:t>
      </w:r>
      <w:r>
        <w:rPr>
          <w:rFonts w:hint="eastAsia" w:ascii="仿宋_GB2312" w:eastAsia="仿宋_GB2312"/>
          <w:color w:val="000000"/>
          <w:sz w:val="32"/>
          <w:szCs w:val="32"/>
          <w:lang w:val="en-US" w:eastAsia="zh-CN"/>
        </w:rPr>
        <w:t>747元、乡镇执法体制改革用餐350元、“七五”普法工作用餐630元、市局来我区调研百夫长清真饮品用餐190元等共计22700元</w:t>
      </w:r>
      <w:r>
        <w:rPr>
          <w:rFonts w:hint="eastAsia" w:ascii="仿宋_GB2312" w:eastAsia="仿宋_GB2312"/>
          <w:color w:val="000000"/>
          <w:sz w:val="32"/>
          <w:szCs w:val="32"/>
        </w:rPr>
        <w:t>。</w:t>
      </w:r>
    </w:p>
    <w:p>
      <w:pPr>
        <w:spacing w:line="600" w:lineRule="exact"/>
        <w:ind w:firstLine="642"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万元，外事接待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万元，主要用于接待</w:t>
      </w:r>
      <w:r>
        <w:rPr>
          <w:rFonts w:ascii="仿宋_GB2312" w:eastAsia="仿宋_GB2312"/>
          <w:color w:val="000000"/>
          <w:sz w:val="32"/>
          <w:szCs w:val="32"/>
        </w:rPr>
        <w:t>…</w:t>
      </w:r>
      <w:r>
        <w:rPr>
          <w:rFonts w:hint="eastAsia" w:ascii="仿宋_GB2312" w:eastAsia="仿宋_GB2312"/>
          <w:color w:val="000000"/>
          <w:sz w:val="32"/>
          <w:szCs w:val="32"/>
        </w:rPr>
        <w:t>（具体项目）。主要用于……</w:t>
      </w:r>
    </w:p>
    <w:p>
      <w:pPr>
        <w:spacing w:line="600" w:lineRule="exact"/>
        <w:ind w:firstLine="640"/>
        <w:outlineLvl w:val="9"/>
        <w:rPr>
          <w:rFonts w:ascii="黑体" w:eastAsia="黑体"/>
          <w:color w:val="000000"/>
          <w:sz w:val="32"/>
          <w:szCs w:val="32"/>
        </w:rPr>
      </w:pPr>
      <w:bookmarkStart w:id="56" w:name="_Toc15396610"/>
      <w:bookmarkStart w:id="57" w:name="_Toc15377218"/>
    </w:p>
    <w:p>
      <w:pPr>
        <w:spacing w:line="600" w:lineRule="exact"/>
        <w:ind w:firstLine="640"/>
        <w:outlineLvl w:val="1"/>
        <w:rPr>
          <w:rStyle w:val="27"/>
          <w:rFonts w:ascii="黑体" w:hAnsi="黑体" w:eastAsia="黑体"/>
        </w:rPr>
      </w:pPr>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56"/>
      <w:bookmarkEnd w:id="5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4"/>
        </w:numPr>
        <w:spacing w:line="600" w:lineRule="exact"/>
        <w:ind w:firstLine="640"/>
        <w:outlineLvl w:val="1"/>
        <w:rPr>
          <w:rStyle w:val="27"/>
          <w:rFonts w:ascii="黑体" w:hAnsi="黑体" w:eastAsia="黑体"/>
          <w:b w:val="0"/>
        </w:rPr>
      </w:pPr>
      <w:bookmarkStart w:id="58" w:name="_Toc15396611"/>
      <w:bookmarkStart w:id="59" w:name="_Toc15377219"/>
      <w:r>
        <w:rPr>
          <w:rStyle w:val="27"/>
          <w:rFonts w:hint="eastAsia" w:ascii="黑体" w:hAnsi="黑体" w:eastAsia="黑体"/>
          <w:b w:val="0"/>
        </w:rPr>
        <w:t>国有资本经营预算支出决算情况说明</w:t>
      </w:r>
      <w:bookmarkEnd w:id="58"/>
      <w:bookmarkEnd w:id="5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7"/>
          <w:rFonts w:ascii="黑体" w:hAnsi="黑体" w:eastAsia="黑体"/>
        </w:rPr>
      </w:pPr>
      <w:bookmarkStart w:id="60" w:name="_Toc15396612"/>
      <w:bookmarkStart w:id="61" w:name="_Toc15377221"/>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bookmarkEnd w:id="60"/>
      <w:bookmarkEnd w:id="61"/>
    </w:p>
    <w:p>
      <w:pPr>
        <w:spacing w:line="600" w:lineRule="exact"/>
        <w:ind w:firstLine="642" w:firstLineChars="200"/>
        <w:outlineLvl w:val="2"/>
        <w:rPr>
          <w:rFonts w:ascii="仿宋" w:hAnsi="仿宋" w:eastAsia="仿宋"/>
          <w:color w:val="000000"/>
          <w:sz w:val="32"/>
          <w:szCs w:val="32"/>
        </w:rPr>
      </w:pPr>
      <w:bookmarkStart w:id="62" w:name="_Toc15377222"/>
      <w:r>
        <w:rPr>
          <w:rFonts w:hint="eastAsia" w:ascii="仿宋" w:hAnsi="仿宋" w:eastAsia="仿宋"/>
          <w:b/>
          <w:color w:val="000000"/>
          <w:sz w:val="32"/>
          <w:szCs w:val="32"/>
        </w:rPr>
        <w:t>（一）机关运行经费支出情况</w:t>
      </w:r>
      <w:bookmarkEnd w:id="62"/>
    </w:p>
    <w:p>
      <w:pPr>
        <w:spacing w:line="600" w:lineRule="exact"/>
        <w:ind w:firstLine="640" w:firstLineChars="200"/>
        <w:rPr>
          <w:rFonts w:hint="default" w:ascii="仿宋_GB2312" w:eastAsia="仿宋_GB2312"/>
          <w:color w:val="auto"/>
          <w:sz w:val="32"/>
          <w:szCs w:val="32"/>
          <w:lang w:val="en-US" w:eastAsia="zh-CN"/>
        </w:rPr>
      </w:pPr>
      <w:r>
        <w:rPr>
          <w:rFonts w:ascii="仿宋_GB2312" w:eastAsia="仿宋_GB2312"/>
          <w:color w:val="auto"/>
          <w:sz w:val="32"/>
          <w:szCs w:val="32"/>
        </w:rPr>
        <w:t>2020</w:t>
      </w:r>
      <w:r>
        <w:rPr>
          <w:rFonts w:hint="eastAsia" w:ascii="仿宋_GB2312" w:eastAsia="仿宋_GB2312"/>
          <w:color w:val="auto"/>
          <w:sz w:val="32"/>
          <w:szCs w:val="32"/>
        </w:rPr>
        <w:t>年，</w:t>
      </w:r>
      <w:r>
        <w:rPr>
          <w:rFonts w:hint="eastAsia" w:ascii="仿宋_GB2312" w:eastAsia="仿宋_GB2312"/>
          <w:color w:val="auto"/>
          <w:sz w:val="32"/>
          <w:szCs w:val="32"/>
          <w:lang w:eastAsia="zh-CN"/>
        </w:rPr>
        <w:t>利州区司法局</w:t>
      </w:r>
      <w:r>
        <w:rPr>
          <w:rFonts w:hint="eastAsia" w:ascii="仿宋_GB2312" w:eastAsia="仿宋_GB2312"/>
          <w:color w:val="auto"/>
          <w:sz w:val="32"/>
          <w:szCs w:val="32"/>
        </w:rPr>
        <w:t>机关运行经费支出</w:t>
      </w:r>
      <w:r>
        <w:rPr>
          <w:rFonts w:hint="eastAsia" w:ascii="仿宋_GB2312" w:eastAsia="仿宋_GB2312"/>
          <w:color w:val="auto"/>
          <w:sz w:val="32"/>
          <w:szCs w:val="32"/>
          <w:lang w:val="en-US" w:eastAsia="zh-CN"/>
        </w:rPr>
        <w:t>132.49</w:t>
      </w:r>
      <w:r>
        <w:rPr>
          <w:rFonts w:hint="eastAsia" w:ascii="仿宋_GB2312" w:eastAsia="仿宋_GB2312"/>
          <w:color w:val="auto"/>
          <w:sz w:val="32"/>
          <w:szCs w:val="32"/>
        </w:rPr>
        <w:t>万元，比</w:t>
      </w:r>
      <w:r>
        <w:rPr>
          <w:rFonts w:ascii="仿宋_GB2312" w:eastAsia="仿宋_GB2312"/>
          <w:color w:val="auto"/>
          <w:sz w:val="32"/>
          <w:szCs w:val="32"/>
        </w:rPr>
        <w:t>2019</w:t>
      </w:r>
      <w:r>
        <w:rPr>
          <w:rFonts w:hint="eastAsia" w:ascii="仿宋_GB2312" w:eastAsia="仿宋_GB2312"/>
          <w:color w:val="auto"/>
          <w:sz w:val="32"/>
          <w:szCs w:val="32"/>
        </w:rPr>
        <w:t>年减少</w:t>
      </w:r>
      <w:r>
        <w:rPr>
          <w:rFonts w:hint="eastAsia" w:ascii="仿宋_GB2312" w:eastAsia="仿宋_GB2312"/>
          <w:color w:val="auto"/>
          <w:sz w:val="32"/>
          <w:szCs w:val="32"/>
          <w:lang w:val="en-US" w:eastAsia="zh-CN"/>
        </w:rPr>
        <w:t>17.54</w:t>
      </w:r>
      <w:r>
        <w:rPr>
          <w:rFonts w:hint="eastAsia" w:ascii="仿宋_GB2312" w:eastAsia="仿宋_GB2312"/>
          <w:color w:val="auto"/>
          <w:sz w:val="32"/>
          <w:szCs w:val="32"/>
        </w:rPr>
        <w:t>万元，下降</w:t>
      </w:r>
      <w:r>
        <w:rPr>
          <w:rFonts w:hint="eastAsia" w:ascii="仿宋_GB2312" w:eastAsia="仿宋_GB2312"/>
          <w:color w:val="auto"/>
          <w:sz w:val="32"/>
          <w:szCs w:val="32"/>
          <w:lang w:val="en-US" w:eastAsia="zh-CN"/>
        </w:rPr>
        <w:t>13.24</w:t>
      </w:r>
      <w:r>
        <w:rPr>
          <w:rFonts w:ascii="仿宋_GB2312" w:eastAsia="仿宋_GB2312"/>
          <w:color w:val="auto"/>
          <w:sz w:val="32"/>
          <w:szCs w:val="32"/>
        </w:rPr>
        <w:t>%</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与</w:t>
      </w:r>
      <w:r>
        <w:rPr>
          <w:rFonts w:ascii="仿宋_GB2312" w:eastAsia="仿宋_GB2312"/>
          <w:color w:val="auto"/>
          <w:sz w:val="32"/>
          <w:szCs w:val="32"/>
        </w:rPr>
        <w:t>2019</w:t>
      </w:r>
      <w:r>
        <w:rPr>
          <w:rFonts w:hint="eastAsia" w:ascii="仿宋_GB2312" w:eastAsia="仿宋_GB2312"/>
          <w:color w:val="auto"/>
          <w:sz w:val="32"/>
          <w:szCs w:val="32"/>
        </w:rPr>
        <w:t>年决算数</w:t>
      </w:r>
      <w:r>
        <w:rPr>
          <w:rFonts w:hint="eastAsia" w:ascii="仿宋_GB2312" w:eastAsia="仿宋_GB2312"/>
          <w:color w:val="auto"/>
          <w:sz w:val="32"/>
          <w:szCs w:val="32"/>
          <w:lang w:eastAsia="zh-CN"/>
        </w:rPr>
        <w:t>下降的</w:t>
      </w:r>
      <w:r>
        <w:rPr>
          <w:rFonts w:hint="eastAsia" w:ascii="仿宋_GB2312" w:eastAsia="仿宋_GB2312"/>
          <w:color w:val="auto"/>
          <w:sz w:val="32"/>
          <w:szCs w:val="32"/>
        </w:rPr>
        <w:t>主要原因是</w:t>
      </w:r>
      <w:r>
        <w:rPr>
          <w:rFonts w:hint="eastAsia" w:ascii="仿宋_GB2312" w:eastAsia="仿宋_GB2312"/>
          <w:color w:val="auto"/>
          <w:sz w:val="32"/>
          <w:szCs w:val="32"/>
          <w:lang w:eastAsia="zh-CN"/>
        </w:rPr>
        <w:t>一是</w:t>
      </w:r>
      <w:r>
        <w:rPr>
          <w:rFonts w:hint="eastAsia" w:ascii="仿宋_GB2312" w:eastAsia="仿宋_GB2312"/>
          <w:color w:val="auto"/>
          <w:sz w:val="32"/>
          <w:szCs w:val="32"/>
          <w:lang w:val="en-US" w:eastAsia="zh-CN"/>
        </w:rPr>
        <w:t>2020年度在岗人员减少二人，二是2020年度压缩单位运行成本，办公费、接待费、会议费等均下降。</w:t>
      </w:r>
    </w:p>
    <w:p>
      <w:pPr>
        <w:spacing w:line="600" w:lineRule="exact"/>
        <w:ind w:firstLine="642"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63" w:name="_Toc15377223"/>
      <w:r>
        <w:rPr>
          <w:rFonts w:hint="eastAsia" w:ascii="仿宋" w:hAnsi="仿宋" w:eastAsia="仿宋"/>
          <w:b/>
          <w:color w:val="000000"/>
          <w:sz w:val="32"/>
          <w:szCs w:val="32"/>
        </w:rPr>
        <w:t>（二）政府采购支出情况</w:t>
      </w:r>
      <w:bookmarkEnd w:id="6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w:t>
      </w:r>
      <w:r>
        <w:rPr>
          <w:rFonts w:hint="eastAsia" w:ascii="仿宋_GB2312" w:eastAsia="仿宋_GB2312"/>
          <w:color w:val="auto"/>
          <w:sz w:val="32"/>
          <w:szCs w:val="32"/>
          <w:lang w:eastAsia="zh-CN"/>
        </w:rPr>
        <w:t>利州区司法局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2"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64" w:name="_Toc15377224"/>
      <w:r>
        <w:rPr>
          <w:rFonts w:hint="eastAsia" w:ascii="仿宋" w:hAnsi="仿宋" w:eastAsia="仿宋"/>
          <w:b/>
          <w:color w:val="000000"/>
          <w:sz w:val="32"/>
          <w:szCs w:val="32"/>
        </w:rPr>
        <w:t>（三）国有资产占有使用情况</w:t>
      </w:r>
      <w:bookmarkEnd w:id="6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auto"/>
          <w:sz w:val="32"/>
          <w:szCs w:val="32"/>
          <w:lang w:eastAsia="zh-CN"/>
        </w:rPr>
        <w:t>利州区司法局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sz w:val="32"/>
          <w:szCs w:val="32"/>
        </w:rPr>
        <w:t>其他用车主要是用于</w:t>
      </w:r>
      <w:r>
        <w:rPr>
          <w:rFonts w:hint="eastAsia" w:ascii="仿宋_GB2312" w:eastAsia="仿宋_GB2312"/>
          <w:color w:val="000000"/>
          <w:sz w:val="32"/>
          <w:szCs w:val="32"/>
          <w:lang w:eastAsia="zh-CN"/>
        </w:rPr>
        <w:t>执法用车以及公务用车</w:t>
      </w:r>
      <w:r>
        <w:rPr>
          <w:rFonts w:hint="eastAsia" w:ascii="仿宋_GB2312" w:eastAsia="仿宋_GB2312"/>
          <w:color w:val="000000"/>
          <w:sz w:val="32"/>
          <w:szCs w:val="32"/>
        </w:rPr>
        <w:t>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根据预算绩效管理要求，本部门（单位）在年初预算编制阶段，组织对法律援助</w:t>
      </w:r>
      <w:r>
        <w:rPr>
          <w:rFonts w:hint="eastAsia" w:ascii="仿宋_GB2312" w:hAnsi="仿宋_GB2312" w:eastAsia="仿宋_GB2312" w:cs="仿宋_GB2312"/>
          <w:sz w:val="32"/>
          <w:szCs w:val="32"/>
          <w:lang w:eastAsia="zh-CN"/>
        </w:rPr>
        <w:t>、人民调解、法制宣传、扫黑除恶、依法治区专项、公共法律服务平台建设、复议、监督、调解、法治政府建设专项、重大涉诉案件、社区矫正刑释解教人人安置帮教、公共法律服务平台建设</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年部门整体支出开展绩效自评，从评价情况来看</w:t>
      </w:r>
      <w:r>
        <w:rPr>
          <w:rFonts w:hint="eastAsia" w:ascii="仿宋_GB2312" w:hAnsi="仿宋_GB2312" w:eastAsia="仿宋_GB2312" w:cs="仿宋_GB2312"/>
          <w:sz w:val="32"/>
          <w:szCs w:val="32"/>
          <w:lang w:eastAsia="zh-CN"/>
        </w:rPr>
        <w:t>规范了项目资金使用及分配，为推进司法行政发展做出积极贡献，全年绩效评价结果得分</w:t>
      </w:r>
      <w:r>
        <w:rPr>
          <w:rFonts w:hint="eastAsia" w:ascii="仿宋_GB2312" w:hAnsi="仿宋_GB2312" w:eastAsia="仿宋_GB2312" w:cs="仿宋_GB2312"/>
          <w:sz w:val="32"/>
          <w:szCs w:val="32"/>
          <w:lang w:val="en-US" w:eastAsia="zh-CN"/>
        </w:rPr>
        <w:t>98分，部门整体绩效得分98分</w:t>
      </w:r>
      <w:r>
        <w:rPr>
          <w:rFonts w:hint="eastAsia" w:ascii="仿宋_GB2312" w:hAnsi="仿宋_GB2312" w:eastAsia="仿宋_GB2312" w:cs="仿宋_GB2312"/>
          <w:sz w:val="32"/>
          <w:szCs w:val="32"/>
        </w:rPr>
        <w:t>（简要说明整体绩效情况）。本部门还自行组织了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个项目支出绩效评价，从评价情况来看</w:t>
      </w:r>
      <w:r>
        <w:rPr>
          <w:rFonts w:hint="eastAsia" w:ascii="仿宋_GB2312" w:hAnsi="仿宋_GB2312" w:eastAsia="仿宋_GB2312" w:cs="仿宋_GB2312"/>
          <w:sz w:val="32"/>
          <w:szCs w:val="32"/>
          <w:lang w:eastAsia="zh-CN"/>
        </w:rPr>
        <w:t>取得了良好的效益，全面控制了预算执行的进度，</w:t>
      </w:r>
      <w:r>
        <w:rPr>
          <w:rFonts w:hint="eastAsia" w:ascii="仿宋_GB2312" w:hAnsi="仿宋_GB2312" w:eastAsia="仿宋_GB2312" w:cs="仿宋_GB2312"/>
          <w:sz w:val="32"/>
          <w:szCs w:val="32"/>
        </w:rPr>
        <w:t>严格遵守各项财经纪律和财务管理制度规定，资金拨付有完整的审批程序和手续，支出符合部门预算批复的用途，无截留、挤占、挪用、虚列支出等情况。</w:t>
      </w:r>
    </w:p>
    <w:p>
      <w:pPr>
        <w:spacing w:line="58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r>
        <w:rPr>
          <w:rFonts w:ascii="楷体_GB2312" w:hAnsi="楷体_GB2312" w:eastAsia="楷体_GB2312" w:cs="楷体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年度部门决算中反映“法律援助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人民调解</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“法治宣传、扫黑除恶”“法律顾问团”“社区矫正刑释解教人员安置帮教”等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pPr>
        <w:pStyle w:val="14"/>
        <w:keepNext w:val="0"/>
        <w:keepLines w:val="0"/>
        <w:widowControl/>
        <w:suppressLineNumbers w:val="0"/>
        <w:spacing w:before="450" w:beforeAutospacing="0" w:after="0" w:afterAutospacing="0" w:line="450" w:lineRule="atLeast"/>
        <w:ind w:left="0" w:right="0" w:firstLine="4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）法律援助项目绩效目标完成情况综述。项目全年预算数</w:t>
      </w:r>
      <w:r>
        <w:rPr>
          <w:rFonts w:hint="eastAsia" w:ascii="仿宋_GB2312" w:hAnsi="仿宋_GB2312" w:eastAsia="仿宋_GB2312" w:cs="仿宋_GB2312"/>
          <w:color w:val="000000"/>
          <w:sz w:val="32"/>
          <w:szCs w:val="32"/>
          <w:lang w:val="en-US" w:eastAsia="zh-CN"/>
        </w:rPr>
        <w:t>30.5</w:t>
      </w:r>
      <w:r>
        <w:rPr>
          <w:rFonts w:hint="eastAsia" w:ascii="仿宋_GB2312" w:hAnsi="仿宋_GB2312" w:eastAsia="仿宋_GB2312" w:cs="仿宋_GB2312"/>
          <w:color w:val="000000"/>
          <w:sz w:val="32"/>
          <w:szCs w:val="32"/>
        </w:rPr>
        <w:t>万</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24.21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79.38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弱势群体对法律援助的需求，帮助弱势群体实现基本权利，维护社会和谐稳定。</w:t>
      </w:r>
      <w:r>
        <w:rPr>
          <w:rFonts w:hint="eastAsia" w:ascii="仿宋_GB2312" w:hAnsi="仿宋_GB2312" w:eastAsia="仿宋_GB2312" w:cs="仿宋_GB2312"/>
          <w:sz w:val="32"/>
          <w:szCs w:val="32"/>
        </w:rPr>
        <w:t>法律援助项目一是降低服务门槛，开通绿色通道，做好妇女、儿童、老年人、残疾人、下岗职工的法律援助工作，进一步完善刑事辩护的法律援助工作机制，努力提高辩护质量，保障人权，维护司法公正；二是加强与相关部门的沟通联系，开展法援扶贫、法援助残、法援济弱、法援解难等宣传，扩大法律援助的社会影响；三是充分利用律师、法律服务工作者资源，开展法律援助进社区、进乡村等宣传、咨询活动，在村、社区建立法律援助联络点，在乡镇、村、社区醒目地点设置永久性宣传牌，将律师、法律服务工作者等法律援助队伍信息在乡镇、村、社区公开，让群众享受到最直接的法律服务。全年已</w:t>
      </w:r>
      <w:r>
        <w:rPr>
          <w:rFonts w:hint="eastAsia" w:ascii="仿宋_GB2312" w:hAnsi="仿宋_GB2312" w:eastAsia="仿宋_GB2312" w:cs="仿宋_GB2312"/>
          <w:sz w:val="32"/>
          <w:szCs w:val="32"/>
          <w:lang w:eastAsia="zh-CN"/>
        </w:rPr>
        <w:t>结案</w:t>
      </w:r>
      <w:r>
        <w:rPr>
          <w:rFonts w:hint="eastAsia" w:ascii="仿宋_GB2312" w:hAnsi="仿宋_GB2312" w:eastAsia="仿宋_GB2312" w:cs="仿宋_GB2312"/>
          <w:sz w:val="32"/>
          <w:szCs w:val="32"/>
        </w:rPr>
        <w:t>法律援助案件</w:t>
      </w:r>
      <w:r>
        <w:rPr>
          <w:rFonts w:hint="eastAsia" w:ascii="仿宋_GB2312" w:hAnsi="仿宋_GB2312" w:eastAsia="仿宋_GB2312" w:cs="仿宋_GB2312"/>
          <w:sz w:val="32"/>
          <w:szCs w:val="32"/>
          <w:lang w:val="en-US" w:eastAsia="zh-CN"/>
        </w:rPr>
        <w:t>185</w:t>
      </w:r>
      <w:r>
        <w:rPr>
          <w:rFonts w:hint="eastAsia" w:ascii="仿宋_GB2312" w:hAnsi="仿宋_GB2312" w:eastAsia="仿宋_GB2312" w:cs="仿宋_GB2312"/>
          <w:sz w:val="32"/>
          <w:szCs w:val="32"/>
        </w:rPr>
        <w:t>件，较好地维护了受援人的合法权益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是有限的法律援助资源与大量的法律援助需求之间的矛盾较突出</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是法律援助队伍人员编制不足、专职律师缺乏。下一步改进措施一要进一步加大宣传力度，切实提高法律援助工作的社会知晓率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二要进一步落实政府责任，完善保障机制。要扩大援助范围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三要进一步加强队伍建设，提升服务能力</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）人民调解项目绩效目标完成情况综述。项目全年预算数</w:t>
      </w:r>
      <w:r>
        <w:rPr>
          <w:rFonts w:hint="eastAsia" w:ascii="仿宋_GB2312" w:hAnsi="仿宋_GB2312" w:eastAsia="仿宋_GB2312" w:cs="仿宋_GB2312"/>
          <w:sz w:val="32"/>
          <w:szCs w:val="32"/>
          <w:lang w:val="en-US" w:eastAsia="zh-CN"/>
        </w:rPr>
        <w:t>2.45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2.45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。通过项目实施，保障人民调解委员会调解的民间纠纷，包括发生在公民与公民之间、公民与法人、其他社会组织之间涉及民事权利义务争议的各种纠纷</w:t>
      </w:r>
      <w:r>
        <w:rPr>
          <w:rFonts w:hint="eastAsia" w:ascii="仿宋_GB2312" w:hAnsi="仿宋_GB2312" w:eastAsia="仿宋_GB2312" w:cs="仿宋_GB2312"/>
          <w:sz w:val="32"/>
          <w:szCs w:val="32"/>
          <w:lang w:eastAsia="zh-CN"/>
        </w:rPr>
        <w:t>的工作经费，</w:t>
      </w:r>
      <w:r>
        <w:rPr>
          <w:rFonts w:hint="eastAsia" w:ascii="仿宋_GB2312" w:hAnsi="仿宋_GB2312" w:eastAsia="仿宋_GB2312" w:cs="仿宋_GB2312"/>
          <w:sz w:val="32"/>
          <w:szCs w:val="32"/>
        </w:rPr>
        <w:t>人民调解项目，发现的主要问题一是工作基础仍较薄弱。实践中，乡镇司法所具体承担了对基层人民调解工作的指导职能。乡镇司法所人员普遍较少，很多司法所都是“一人所”，只有一名工作人员，最多的也只有两名工作人员。但是从承担的工作上说，司法所既要做好大量的业务工作，又要完成所在地乡镇党委政府交办的包村、计划生育等中心工作任务，工作任务十分繁重。人少事多的困境造成司法所难以对基层人民调解委员会的工作进行及时有效的指导。下一步改进措施：</w:t>
      </w:r>
      <w:r>
        <w:rPr>
          <w:rFonts w:ascii="'仿宋_GB2312'" w:hAnsi="'仿宋_GB2312'" w:eastAsia="'仿宋_GB2312'" w:cs="'仿宋_GB2312'"/>
          <w:i w:val="0"/>
          <w:iCs w:val="0"/>
          <w:caps w:val="0"/>
          <w:color w:val="333333"/>
          <w:spacing w:val="0"/>
          <w:sz w:val="32"/>
          <w:szCs w:val="32"/>
          <w:shd w:val="clear" w:fill="FFFFFF"/>
        </w:rPr>
        <w:t>加强培训，提高人民调解员的调解能力和水平。一是要保证培训时间。人民调解工作政策性、法律性、技巧性都很强，县司法行政机关要严格按照要求，及时、足时的组织对人民调解员进行培训。二是要注重培训的针对性和实效性。根据不同的情况，可采取组织经验交流、现场观摩、法庭旁听等灵活多样的方式，加强对人民调解员法律知识、社会公德、调解方法和技巧等方面内容的培训</w:t>
      </w:r>
      <w:r>
        <w:rPr>
          <w:rFonts w:hint="eastAsia" w:ascii="'仿宋_GB2312'" w:hAnsi="'仿宋_GB2312'" w:eastAsia="'仿宋_GB2312'" w:cs="'仿宋_GB2312'"/>
          <w:i w:val="0"/>
          <w:iCs w:val="0"/>
          <w:caps w:val="0"/>
          <w:color w:val="333333"/>
          <w:spacing w:val="0"/>
          <w:sz w:val="32"/>
          <w:szCs w:val="32"/>
          <w:shd w:val="clear" w:fill="FFFFFF"/>
          <w:lang w:eastAsia="zh-CN"/>
        </w:rPr>
        <w:t>。</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法制宣传、扫黑除恶</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促进了法制宣传、扫黑除恶工作的效益，提升全区法治宣传教育工作水平；开展宪法宣传、扫黑除恶等大型集中宣传活动4次，受教育人数达3万余人</w:t>
      </w:r>
      <w:r>
        <w:rPr>
          <w:rFonts w:hint="eastAsia" w:ascii="仿宋_GB2312" w:hAnsi="仿宋_GB2312" w:eastAsia="仿宋_GB2312" w:cs="仿宋_GB2312"/>
          <w:sz w:val="32"/>
          <w:szCs w:val="32"/>
          <w:lang w:val="en-US" w:eastAsia="zh-CN"/>
        </w:rPr>
        <w:t>。召开全区法治宣传教育工作相关会议4次，编印宪法宣传读本等普法资料3万余册。开展省级法治示范区创建，新建法治文化阵地8个。拍摄“我与宪法”微电影、法治创建专题汇报片和法治示范教育基地微视频共5部</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部分群众的法律意识仍然薄弱，权利意识也较为淡薄</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一是加大法律普及宣传业务；二是做好扫黑除恶的前期基础工作，力争黑恶势力行为在法律普及阶段终止。</w:t>
      </w:r>
    </w:p>
    <w:p>
      <w:pPr>
        <w:spacing w:line="580" w:lineRule="exact"/>
        <w:ind w:firstLine="640" w:firstLineChars="200"/>
        <w:rPr>
          <w:rFonts w:hint="eastAsia"/>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）公共法律服务平台建设目绩效目标完成情况综述。项目全年预算数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19.72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65.73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。通过项目实施，实现基层法律服务标准化、精准化、便捷化、切实满足基层人民群众对法律服务的现实需求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：一是群众对基层公共法律服务知晓度不高，使用率偏低；公共法律服务的宣传力度有待加强，群众对公共法律服务的内容和功能缺乏系统性的了解。</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一是丰富公共法律服务供给,满足群众多元法律服务需求；二是大力加强公共法律服务的宣传推广工作,不断提升群众知晓率和社会认知度。采取多形式、多手段,加强对公共法律服务的宣传,提高社会知晓度和认知率,努力形成全社会共同支持推进公共法律服务的良好氛围;</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社区矫正项目</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62.3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75.25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120.79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。通过项目实施，实现工作者依法、正确、规范严格对社区矫正对象监督管理，提高社会犯罪的改造质量</w:t>
      </w:r>
      <w:r>
        <w:rPr>
          <w:rFonts w:hint="eastAsia" w:ascii="仿宋_GB2312" w:hAnsi="仿宋_GB2312" w:eastAsia="仿宋_GB2312" w:cs="仿宋_GB2312"/>
          <w:sz w:val="32"/>
          <w:szCs w:val="32"/>
          <w:lang w:eastAsia="zh-CN"/>
        </w:rPr>
        <w:t>，杜绝二次犯罪的发生。</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社区矫正突发事件应急处置制度不完善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家庭和社会关爱不力，帮教工作相对滞后，社会偏见长期存在，刑释解教人员精神无依、生活窘迫、就业困难，弃旧图新的愿望难以实现等社会客观因素，容易导致心里失衡，行为失控，增加了群体性、突发性事件的诱发因素。下一步改进措施：</w:t>
      </w:r>
      <w:r>
        <w:rPr>
          <w:rFonts w:hint="eastAsia" w:ascii="仿宋_GB2312" w:hAnsi="仿宋_GB2312" w:eastAsia="仿宋_GB2312" w:cs="仿宋_GB2312"/>
          <w:sz w:val="32"/>
          <w:szCs w:val="32"/>
          <w:lang w:eastAsia="zh-CN"/>
        </w:rPr>
        <w:t>加强社区矫正队伍建设，提高对社区矫正对象的家庭和社会关爱力度，避免刑释解教人员二次犯罪现象。</w:t>
      </w:r>
    </w:p>
    <w:p>
      <w:pPr>
        <w:pStyle w:val="2"/>
        <w:rPr>
          <w:rFonts w:hint="eastAsia"/>
          <w:lang w:eastAsia="zh-CN"/>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0" w:type="auto"/>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法律援助</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广元市利州区司法局</w:t>
            </w:r>
          </w:p>
        </w:tc>
      </w:tr>
      <w:tr>
        <w:tblPrEx>
          <w:tblCellMar>
            <w:top w:w="0" w:type="dxa"/>
            <w:left w:w="0" w:type="dxa"/>
            <w:bottom w:w="0" w:type="dxa"/>
            <w:right w:w="0" w:type="dxa"/>
          </w:tblCellMar>
        </w:tblPrEx>
        <w:trPr>
          <w:trHeight w:val="9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仿宋_GB2312" w:hAnsi="仿宋_GB2312" w:eastAsia="仿宋_GB2312" w:cs="仿宋_GB2312"/>
                <w:color w:val="000000"/>
                <w:sz w:val="32"/>
                <w:szCs w:val="32"/>
                <w:lang w:val="en-US" w:eastAsia="zh-CN"/>
              </w:rPr>
              <w:t>30.5</w:t>
            </w:r>
            <w:r>
              <w:rPr>
                <w:rFonts w:hint="eastAsia" w:ascii="仿宋_GB2312" w:hAnsi="仿宋_GB2312" w:eastAsia="仿宋_GB2312" w:cs="仿宋_GB2312"/>
                <w:color w:val="000000"/>
                <w:sz w:val="32"/>
                <w:szCs w:val="32"/>
              </w:rPr>
              <w:t>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仿宋_GB2312" w:hAnsi="仿宋_GB2312" w:eastAsia="仿宋_GB2312" w:cs="仿宋_GB2312"/>
                <w:color w:val="000000"/>
                <w:sz w:val="32"/>
                <w:szCs w:val="32"/>
                <w:lang w:val="en-US" w:eastAsia="zh-CN"/>
              </w:rPr>
              <w:t>30.5</w:t>
            </w:r>
            <w:r>
              <w:rPr>
                <w:rFonts w:hint="eastAsia" w:ascii="仿宋_GB2312" w:hAnsi="仿宋_GB2312" w:eastAsia="仿宋_GB2312" w:cs="仿宋_GB2312"/>
                <w:color w:val="000000"/>
                <w:sz w:val="32"/>
                <w:szCs w:val="32"/>
              </w:rPr>
              <w:t>万</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仿宋_GB2312" w:hAnsi="仿宋_GB2312" w:eastAsia="仿宋_GB2312" w:cs="仿宋_GB2312"/>
                <w:color w:val="000000"/>
                <w:sz w:val="32"/>
                <w:szCs w:val="32"/>
                <w:lang w:val="en-US" w:eastAsia="zh-CN"/>
              </w:rPr>
              <w:t>30.5</w:t>
            </w:r>
            <w:r>
              <w:rPr>
                <w:rFonts w:hint="eastAsia" w:ascii="仿宋_GB2312" w:hAnsi="仿宋_GB2312" w:eastAsia="仿宋_GB2312" w:cs="仿宋_GB2312"/>
                <w:color w:val="000000"/>
                <w:sz w:val="32"/>
                <w:szCs w:val="32"/>
              </w:rPr>
              <w:t>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仿宋_GB2312" w:hAnsi="仿宋_GB2312" w:eastAsia="仿宋_GB2312" w:cs="仿宋_GB2312"/>
                <w:color w:val="000000"/>
                <w:sz w:val="32"/>
                <w:szCs w:val="32"/>
                <w:lang w:val="en-US" w:eastAsia="zh-CN"/>
              </w:rPr>
              <w:t>30.5</w:t>
            </w:r>
            <w:r>
              <w:rPr>
                <w:rFonts w:hint="eastAsia" w:ascii="仿宋_GB2312" w:hAnsi="仿宋_GB2312" w:eastAsia="仿宋_GB2312" w:cs="仿宋_GB2312"/>
                <w:color w:val="000000"/>
                <w:sz w:val="32"/>
                <w:szCs w:val="32"/>
              </w:rPr>
              <w:t>万</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完成数据情况本年度完成结案数量</w:t>
            </w:r>
            <w:r>
              <w:rPr>
                <w:rFonts w:hint="eastAsia" w:ascii="宋体" w:cs="宋体"/>
                <w:color w:val="000000"/>
                <w:sz w:val="24"/>
                <w:lang w:val="en-US" w:eastAsia="zh-CN"/>
              </w:rPr>
              <w:t>180</w:t>
            </w:r>
            <w:r>
              <w:rPr>
                <w:rFonts w:hint="eastAsia" w:ascii="宋体" w:cs="宋体"/>
                <w:color w:val="000000"/>
                <w:sz w:val="24"/>
              </w:rPr>
              <w:t>件，完成法律咨询人次</w:t>
            </w:r>
            <w:r>
              <w:rPr>
                <w:rFonts w:hint="eastAsia" w:ascii="宋体" w:cs="宋体"/>
                <w:color w:val="000000"/>
                <w:sz w:val="24"/>
                <w:lang w:val="en-US" w:eastAsia="zh-CN"/>
              </w:rPr>
              <w:t>1800</w:t>
            </w:r>
            <w:r>
              <w:rPr>
                <w:rFonts w:hint="eastAsia" w:ascii="宋体" w:cs="宋体"/>
                <w:color w:val="000000"/>
                <w:sz w:val="24"/>
              </w:rPr>
              <w:t>人</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完成数据情况本年度完成结案数量</w:t>
            </w:r>
            <w:r>
              <w:rPr>
                <w:rFonts w:hint="eastAsia" w:ascii="宋体" w:cs="宋体"/>
                <w:color w:val="000000"/>
                <w:sz w:val="24"/>
                <w:lang w:val="en-US" w:eastAsia="zh-CN"/>
              </w:rPr>
              <w:t>185</w:t>
            </w:r>
            <w:r>
              <w:rPr>
                <w:rFonts w:hint="eastAsia" w:ascii="宋体" w:cs="宋体"/>
                <w:color w:val="000000"/>
                <w:sz w:val="24"/>
              </w:rPr>
              <w:t>件，完成法律咨询人次</w:t>
            </w:r>
            <w:r>
              <w:rPr>
                <w:rFonts w:hint="eastAsia" w:ascii="宋体" w:cs="宋体"/>
                <w:color w:val="000000"/>
                <w:sz w:val="24"/>
                <w:lang w:val="en-US" w:eastAsia="zh-CN"/>
              </w:rPr>
              <w:t>2000</w:t>
            </w:r>
            <w:r>
              <w:rPr>
                <w:rFonts w:hint="eastAsia" w:ascii="宋体" w:cs="宋体"/>
                <w:color w:val="000000"/>
                <w:sz w:val="24"/>
              </w:rPr>
              <w:t>人</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法律援助案件完成数量；法律咨询人次</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完成数据情况本年度完成结案数量</w:t>
            </w:r>
            <w:r>
              <w:rPr>
                <w:rFonts w:hint="eastAsia" w:ascii="宋体" w:cs="宋体"/>
                <w:color w:val="000000"/>
                <w:sz w:val="24"/>
                <w:lang w:val="en-US" w:eastAsia="zh-CN"/>
              </w:rPr>
              <w:t>180</w:t>
            </w:r>
            <w:r>
              <w:rPr>
                <w:rFonts w:hint="eastAsia" w:ascii="宋体" w:cs="宋体"/>
                <w:color w:val="000000"/>
                <w:sz w:val="24"/>
              </w:rPr>
              <w:t>件，完成法律咨询人次</w:t>
            </w:r>
            <w:r>
              <w:rPr>
                <w:rFonts w:hint="eastAsia" w:ascii="宋体" w:cs="宋体"/>
                <w:color w:val="000000"/>
                <w:sz w:val="24"/>
                <w:lang w:val="en-US" w:eastAsia="zh-CN"/>
              </w:rPr>
              <w:t>1800</w:t>
            </w:r>
            <w:r>
              <w:rPr>
                <w:rFonts w:hint="eastAsia" w:ascii="宋体" w:cs="宋体"/>
                <w:color w:val="000000"/>
                <w:sz w:val="24"/>
              </w:rPr>
              <w:t>人</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较上年完成数据情况本年度完成结案数量185件，完成法律咨询人次2000人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质量指标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1、结案率达98%；2、法律咨询完成率达100%响应；</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1、结案率达98%；2、法律咨询完成率达100%响应；</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人员经费，公用经费，专项项目支出</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仿宋_GB2312" w:hAnsi="仿宋_GB2312" w:eastAsia="仿宋_GB2312" w:cs="仿宋_GB2312"/>
                <w:color w:val="000000"/>
                <w:sz w:val="32"/>
                <w:szCs w:val="32"/>
                <w:lang w:val="en-US" w:eastAsia="zh-CN"/>
              </w:rPr>
              <w:t>30.5</w:t>
            </w:r>
            <w:r>
              <w:rPr>
                <w:rFonts w:hint="eastAsia" w:ascii="仿宋_GB2312" w:hAnsi="仿宋_GB2312" w:eastAsia="仿宋_GB2312" w:cs="仿宋_GB2312"/>
                <w:color w:val="000000"/>
                <w:sz w:val="32"/>
                <w:szCs w:val="32"/>
              </w:rPr>
              <w:t>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仿宋_GB2312" w:hAnsi="仿宋_GB2312" w:eastAsia="仿宋_GB2312" w:cs="仿宋_GB2312"/>
                <w:color w:val="000000"/>
                <w:sz w:val="32"/>
                <w:szCs w:val="32"/>
                <w:lang w:val="en-US" w:eastAsia="zh-CN"/>
              </w:rPr>
              <w:t>24.21</w:t>
            </w:r>
            <w:r>
              <w:rPr>
                <w:rFonts w:hint="eastAsia" w:ascii="仿宋_GB2312" w:hAnsi="仿宋_GB2312" w:eastAsia="仿宋_GB2312" w:cs="仿宋_GB2312"/>
                <w:color w:val="000000"/>
                <w:sz w:val="32"/>
                <w:szCs w:val="32"/>
              </w:rPr>
              <w:t>万</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社会效益</w:t>
            </w:r>
          </w:p>
          <w:p>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维护弱势群体合法权益</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有效维护弱势群体合法权益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有效维护弱势群体合法权益</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eastAsia="zh-CN"/>
              </w:rPr>
              <w:t>群众满意度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rPr>
              <w:t>群众对法律援助服务质量满意</w:t>
            </w:r>
            <w:r>
              <w:rPr>
                <w:rFonts w:hint="eastAsia" w:ascii="宋体" w:cs="宋体"/>
                <w:color w:val="000000"/>
                <w:sz w:val="24"/>
                <w:lang w:eastAsia="zh-CN"/>
              </w:rPr>
              <w:t>度</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99%</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tbl>
      <w:tblPr>
        <w:tblStyle w:val="15"/>
        <w:tblpPr w:leftFromText="180" w:rightFromText="180" w:vertAnchor="text" w:horzAnchor="page" w:tblpXSpec="center" w:tblpY="423"/>
        <w:tblOverlap w:val="never"/>
        <w:tblW w:w="9740" w:type="dxa"/>
        <w:jc w:val="center"/>
        <w:tblLayout w:type="fixed"/>
        <w:tblCellMar>
          <w:top w:w="0" w:type="dxa"/>
          <w:left w:w="0" w:type="dxa"/>
          <w:bottom w:w="0" w:type="dxa"/>
          <w:right w:w="0" w:type="dxa"/>
        </w:tblCellMar>
      </w:tblPr>
      <w:tblGrid>
        <w:gridCol w:w="380"/>
        <w:gridCol w:w="1336"/>
        <w:gridCol w:w="1003"/>
        <w:gridCol w:w="2338"/>
        <w:gridCol w:w="2340"/>
        <w:gridCol w:w="2343"/>
      </w:tblGrid>
      <w:tr>
        <w:tblPrEx>
          <w:tblCellMar>
            <w:top w:w="0" w:type="dxa"/>
            <w:left w:w="0" w:type="dxa"/>
            <w:bottom w:w="0" w:type="dxa"/>
            <w:right w:w="0" w:type="dxa"/>
          </w:tblCellMar>
        </w:tblPrEx>
        <w:trPr>
          <w:trHeight w:val="4043" w:hRule="atLeast"/>
          <w:jc w:val="center"/>
        </w:trPr>
        <w:tc>
          <w:tcPr>
            <w:tcW w:w="9740" w:type="dxa"/>
            <w:gridSpan w:val="6"/>
            <w:tcBorders>
              <w:top w:val="nil"/>
              <w:left w:val="nil"/>
              <w:bottom w:val="nil"/>
              <w:right w:val="nil"/>
            </w:tcBorders>
            <w:noWrap w:val="0"/>
            <w:tcMar>
              <w:top w:w="15" w:type="dxa"/>
              <w:left w:w="15" w:type="dxa"/>
              <w:right w:w="15" w:type="dxa"/>
            </w:tcMar>
            <w:vAlign w:val="center"/>
          </w:tcPr>
          <w:tbl>
            <w:tblPr>
              <w:tblStyle w:val="15"/>
              <w:tblpPr w:leftFromText="180" w:rightFromText="180" w:vertAnchor="text" w:horzAnchor="page" w:tblpXSpec="center" w:tblpY="423"/>
              <w:tblOverlap w:val="never"/>
              <w:tblW w:w="0" w:type="auto"/>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人民调解</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广元市利州区司法局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2.4</w:t>
                  </w:r>
                  <w:r>
                    <w:rPr>
                      <w:rFonts w:hint="eastAsia" w:ascii="宋体" w:cs="宋体"/>
                      <w:color w:val="000000"/>
                      <w:sz w:val="24"/>
                    </w:rPr>
                    <w:t>5万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2.4</w:t>
                  </w:r>
                  <w:r>
                    <w:rPr>
                      <w:rFonts w:hint="eastAsia" w:ascii="宋体" w:cs="宋体"/>
                      <w:color w:val="000000"/>
                      <w:sz w:val="24"/>
                    </w:rPr>
                    <w:t>5万</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2.4</w:t>
                  </w:r>
                  <w:r>
                    <w:rPr>
                      <w:rFonts w:hint="eastAsia" w:ascii="宋体" w:cs="宋体"/>
                      <w:color w:val="000000"/>
                      <w:sz w:val="24"/>
                    </w:rPr>
                    <w:t>5万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2.4</w:t>
                  </w:r>
                  <w:r>
                    <w:rPr>
                      <w:rFonts w:hint="eastAsia" w:ascii="宋体" w:cs="宋体"/>
                      <w:color w:val="000000"/>
                      <w:sz w:val="24"/>
                    </w:rPr>
                    <w:t>5万</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组织开展人民调解员培训</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不定期组织开展人民调解员培训5次</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不定期组织开展人民调解员培训5次</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人民调解员调解技能</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展开调解人员技能培训</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提升人民调解员调解技能</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专项项目支出</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2.45万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2.45万</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社会效益</w:t>
                  </w:r>
                </w:p>
                <w:p>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维护社会稳定</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加大矛盾排查调处力度，维护社会稳定</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加大矛盾排查调处力度，维护社会稳定</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经济效益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挽回经济损失</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通过人民调解的方式挽回不必要的经济损失</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通过人民调解的方式挽回不必要的经济损失</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eastAsia="zh-CN"/>
                    </w:rPr>
                    <w:t>群众满意度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调解工作满意度</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99%</w:t>
                  </w:r>
                </w:p>
              </w:tc>
            </w:tr>
          </w:tbl>
          <w:p>
            <w:pPr>
              <w:pStyle w:val="2"/>
              <w:rPr>
                <w:rFonts w:hint="default" w:eastAsia="仿宋_GB2312"/>
                <w:lang w:val="en-US" w:eastAsia="zh-CN"/>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110" w:hRule="atLeast"/>
          <w:jc w:val="center"/>
        </w:trPr>
        <w:tc>
          <w:tcPr>
            <w:tcW w:w="271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02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普法宣传、扫黑除恶</w:t>
            </w:r>
          </w:p>
        </w:tc>
      </w:tr>
      <w:tr>
        <w:tblPrEx>
          <w:tblCellMar>
            <w:top w:w="0" w:type="dxa"/>
            <w:left w:w="0" w:type="dxa"/>
            <w:bottom w:w="0" w:type="dxa"/>
            <w:right w:w="0" w:type="dxa"/>
          </w:tblCellMar>
        </w:tblPrEx>
        <w:trPr>
          <w:trHeight w:val="90" w:hRule="atLeast"/>
          <w:jc w:val="center"/>
        </w:trPr>
        <w:tc>
          <w:tcPr>
            <w:tcW w:w="271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02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广元市利州区司法局</w:t>
            </w:r>
          </w:p>
        </w:tc>
      </w:tr>
      <w:tr>
        <w:tblPrEx>
          <w:tblCellMar>
            <w:top w:w="0" w:type="dxa"/>
            <w:left w:w="0" w:type="dxa"/>
            <w:bottom w:w="0" w:type="dxa"/>
            <w:right w:w="0" w:type="dxa"/>
          </w:tblCellMar>
        </w:tblPrEx>
        <w:trPr>
          <w:trHeight w:val="110" w:hRule="atLeast"/>
          <w:jc w:val="center"/>
        </w:trPr>
        <w:tc>
          <w:tcPr>
            <w:tcW w:w="3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15万</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15万</w:t>
            </w:r>
          </w:p>
        </w:tc>
      </w:tr>
      <w:tr>
        <w:tblPrEx>
          <w:tblCellMar>
            <w:top w:w="0" w:type="dxa"/>
            <w:left w:w="0" w:type="dxa"/>
            <w:bottom w:w="0" w:type="dxa"/>
            <w:right w:w="0" w:type="dxa"/>
          </w:tblCellMar>
        </w:tblPrEx>
        <w:trPr>
          <w:trHeight w:val="110" w:hRule="atLeast"/>
          <w:jc w:val="center"/>
        </w:trPr>
        <w:tc>
          <w:tcPr>
            <w:tcW w:w="3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15万</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15万</w:t>
            </w:r>
          </w:p>
        </w:tc>
      </w:tr>
      <w:tr>
        <w:tblPrEx>
          <w:tblCellMar>
            <w:top w:w="0" w:type="dxa"/>
            <w:left w:w="0" w:type="dxa"/>
            <w:bottom w:w="0" w:type="dxa"/>
            <w:right w:w="0" w:type="dxa"/>
          </w:tblCellMar>
        </w:tblPrEx>
        <w:trPr>
          <w:trHeight w:val="1693" w:hRule="atLeast"/>
          <w:jc w:val="center"/>
        </w:trPr>
        <w:tc>
          <w:tcPr>
            <w:tcW w:w="3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110" w:hRule="atLeast"/>
          <w:jc w:val="center"/>
        </w:trPr>
        <w:tc>
          <w:tcPr>
            <w:tcW w:w="3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6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707" w:hRule="atLeast"/>
          <w:jc w:val="center"/>
        </w:trPr>
        <w:tc>
          <w:tcPr>
            <w:tcW w:w="3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46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eastAsia="zh-CN"/>
              </w:rPr>
              <w:t>召开普法相关培训</w:t>
            </w:r>
            <w:r>
              <w:rPr>
                <w:rFonts w:hint="eastAsia" w:ascii="宋体" w:cs="宋体"/>
                <w:color w:val="000000"/>
                <w:sz w:val="24"/>
                <w:lang w:val="en-US" w:eastAsia="zh-CN"/>
              </w:rPr>
              <w:t>5次、开展宪法宣传、扫黑除恶等大型集中宣传活动5次，受教育人数达2万余人</w:t>
            </w:r>
          </w:p>
        </w:tc>
        <w:tc>
          <w:tcPr>
            <w:tcW w:w="4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eastAsia="zh-CN"/>
              </w:rPr>
              <w:t>召开全区法治宣传教育工作相关会议4次，开展宪法宣传、扫黑除恶等大型集中宣传活动4次，受教育人数达3万余人。编印宪法宣传读本等普法资料3万余册。开展省级法治示范区创建，新建法治文化阵地8个。</w:t>
            </w:r>
          </w:p>
        </w:tc>
      </w:tr>
      <w:tr>
        <w:tblPrEx>
          <w:tblCellMar>
            <w:top w:w="0" w:type="dxa"/>
            <w:left w:w="0" w:type="dxa"/>
            <w:bottom w:w="0" w:type="dxa"/>
            <w:right w:w="0" w:type="dxa"/>
          </w:tblCellMar>
        </w:tblPrEx>
        <w:trPr>
          <w:trHeight w:val="284" w:hRule="atLeast"/>
          <w:jc w:val="center"/>
        </w:trPr>
        <w:tc>
          <w:tcPr>
            <w:tcW w:w="38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413" w:hRule="atLeast"/>
          <w:jc w:val="center"/>
        </w:trPr>
        <w:tc>
          <w:tcPr>
            <w:tcW w:w="3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大型集中宣传活动</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开展宪法宣传、扫黑除恶等大型集中宣传活动</w:t>
            </w:r>
            <w:r>
              <w:rPr>
                <w:rFonts w:hint="eastAsia" w:ascii="宋体" w:cs="宋体"/>
                <w:color w:val="000000"/>
                <w:sz w:val="24"/>
                <w:lang w:val="en-US" w:eastAsia="zh-CN"/>
              </w:rPr>
              <w:t>5</w:t>
            </w:r>
            <w:r>
              <w:rPr>
                <w:rFonts w:hint="eastAsia" w:ascii="宋体" w:cs="宋体"/>
                <w:color w:val="000000"/>
                <w:sz w:val="24"/>
              </w:rPr>
              <w:t>次，受教育人数达</w:t>
            </w:r>
            <w:r>
              <w:rPr>
                <w:rFonts w:hint="eastAsia" w:ascii="宋体" w:cs="宋体"/>
                <w:color w:val="000000"/>
                <w:sz w:val="24"/>
                <w:lang w:val="en-US" w:eastAsia="zh-CN"/>
              </w:rPr>
              <w:t>2</w:t>
            </w:r>
            <w:r>
              <w:rPr>
                <w:rFonts w:hint="eastAsia" w:ascii="宋体" w:cs="宋体"/>
                <w:color w:val="000000"/>
                <w:sz w:val="24"/>
              </w:rPr>
              <w:t>万余人。</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开展宪法宣传、扫黑除恶等大型集中宣传活动4次，受教育人数达3万余人。</w:t>
            </w:r>
          </w:p>
        </w:tc>
      </w:tr>
      <w:tr>
        <w:tblPrEx>
          <w:tblCellMar>
            <w:top w:w="0" w:type="dxa"/>
            <w:left w:w="0" w:type="dxa"/>
            <w:bottom w:w="0" w:type="dxa"/>
            <w:right w:w="0" w:type="dxa"/>
          </w:tblCellMar>
        </w:tblPrEx>
        <w:trPr>
          <w:trHeight w:val="349" w:hRule="atLeast"/>
          <w:jc w:val="center"/>
        </w:trPr>
        <w:tc>
          <w:tcPr>
            <w:tcW w:w="3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质量指标</w:t>
            </w: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rPr>
              <w:t>法治宣传教育工作水平</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提升全区法治宣传教育工作水平</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提升全区法治宣传教育工作水平</w:t>
            </w:r>
          </w:p>
        </w:tc>
      </w:tr>
      <w:tr>
        <w:tblPrEx>
          <w:tblCellMar>
            <w:top w:w="0" w:type="dxa"/>
            <w:left w:w="0" w:type="dxa"/>
            <w:bottom w:w="0" w:type="dxa"/>
            <w:right w:w="0" w:type="dxa"/>
          </w:tblCellMar>
        </w:tblPrEx>
        <w:trPr>
          <w:trHeight w:val="284" w:hRule="atLeast"/>
          <w:jc w:val="center"/>
        </w:trPr>
        <w:tc>
          <w:tcPr>
            <w:tcW w:w="3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成本指标</w:t>
            </w: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人员经费，公用经费，专项项目支出</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15万</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15万</w:t>
            </w:r>
          </w:p>
        </w:tc>
      </w:tr>
      <w:tr>
        <w:tblPrEx>
          <w:tblCellMar>
            <w:top w:w="0" w:type="dxa"/>
            <w:left w:w="0" w:type="dxa"/>
            <w:bottom w:w="0" w:type="dxa"/>
            <w:right w:w="0" w:type="dxa"/>
          </w:tblCellMar>
        </w:tblPrEx>
        <w:trPr>
          <w:trHeight w:val="284" w:hRule="atLeast"/>
          <w:jc w:val="center"/>
        </w:trPr>
        <w:tc>
          <w:tcPr>
            <w:tcW w:w="3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284" w:hRule="atLeast"/>
          <w:jc w:val="center"/>
        </w:trPr>
        <w:tc>
          <w:tcPr>
            <w:tcW w:w="3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284" w:hRule="atLeast"/>
          <w:jc w:val="center"/>
        </w:trPr>
        <w:tc>
          <w:tcPr>
            <w:tcW w:w="3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312" w:hRule="atLeast"/>
          <w:jc w:val="center"/>
        </w:trPr>
        <w:tc>
          <w:tcPr>
            <w:tcW w:w="3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社会效益</w:t>
            </w:r>
          </w:p>
          <w:p>
            <w:pPr>
              <w:widowControl/>
              <w:jc w:val="center"/>
              <w:textAlignment w:val="center"/>
              <w:rPr>
                <w:rFonts w:ascii="宋体" w:cs="宋体"/>
                <w:color w:val="000000"/>
                <w:sz w:val="24"/>
              </w:rPr>
            </w:pPr>
            <w:r>
              <w:rPr>
                <w:rFonts w:hint="eastAsia" w:ascii="宋体" w:cs="宋体"/>
                <w:color w:val="000000"/>
                <w:sz w:val="24"/>
              </w:rPr>
              <w:t>指标</w:t>
            </w: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720" w:firstLineChars="300"/>
              <w:jc w:val="both"/>
              <w:textAlignment w:val="center"/>
              <w:rPr>
                <w:rFonts w:hint="eastAsia" w:ascii="宋体" w:eastAsia="宋体" w:cs="宋体"/>
                <w:color w:val="000000"/>
                <w:sz w:val="24"/>
                <w:lang w:eastAsia="zh-CN"/>
              </w:rPr>
            </w:pPr>
            <w:r>
              <w:rPr>
                <w:rFonts w:hint="eastAsia" w:ascii="宋体" w:cs="宋体"/>
                <w:color w:val="000000"/>
                <w:sz w:val="24"/>
                <w:lang w:eastAsia="zh-CN"/>
              </w:rPr>
              <w:t>法治意识</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增强群众法治观念和尊法学法守法用法意识</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增强群众法治观念和尊法学法守法用法意识</w:t>
            </w:r>
          </w:p>
        </w:tc>
      </w:tr>
      <w:tr>
        <w:tblPrEx>
          <w:tblCellMar>
            <w:top w:w="0" w:type="dxa"/>
            <w:left w:w="0" w:type="dxa"/>
            <w:bottom w:w="0" w:type="dxa"/>
            <w:right w:w="0" w:type="dxa"/>
          </w:tblCellMar>
        </w:tblPrEx>
        <w:trPr>
          <w:trHeight w:val="349" w:hRule="atLeast"/>
          <w:jc w:val="center"/>
        </w:trPr>
        <w:tc>
          <w:tcPr>
            <w:tcW w:w="3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349" w:hRule="atLeast"/>
          <w:jc w:val="center"/>
        </w:trPr>
        <w:tc>
          <w:tcPr>
            <w:tcW w:w="3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满意度指标</w:t>
            </w: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rPr>
              <w:t>群众</w:t>
            </w:r>
            <w:r>
              <w:rPr>
                <w:rFonts w:hint="eastAsia" w:ascii="宋体" w:cs="宋体"/>
                <w:color w:val="000000"/>
                <w:sz w:val="24"/>
                <w:lang w:eastAsia="zh-CN"/>
              </w:rPr>
              <w:t>满意度</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群众对法治宣传教育工作满意</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99%</w:t>
            </w:r>
          </w:p>
        </w:tc>
      </w:tr>
      <w:tr>
        <w:tblPrEx>
          <w:tblCellMar>
            <w:top w:w="0" w:type="dxa"/>
            <w:left w:w="0" w:type="dxa"/>
            <w:bottom w:w="0" w:type="dxa"/>
            <w:right w:w="0" w:type="dxa"/>
          </w:tblCellMar>
        </w:tblPrEx>
        <w:trPr>
          <w:trHeight w:val="291" w:hRule="atLeast"/>
          <w:jc w:val="center"/>
        </w:trPr>
        <w:tc>
          <w:tcPr>
            <w:tcW w:w="38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bl>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p>
      <w:pPr>
        <w:pStyle w:val="2"/>
        <w:rPr>
          <w:rFonts w:hint="default" w:eastAsia="仿宋_GB2312"/>
          <w:lang w:val="en-US" w:eastAsia="zh-CN"/>
        </w:rPr>
      </w:pPr>
    </w:p>
    <w:tbl>
      <w:tblPr>
        <w:tblStyle w:val="15"/>
        <w:tblpPr w:leftFromText="180" w:rightFromText="180" w:vertAnchor="text" w:horzAnchor="page" w:tblpXSpec="center" w:tblpY="423"/>
        <w:tblOverlap w:val="never"/>
        <w:tblW w:w="9740" w:type="dxa"/>
        <w:jc w:val="center"/>
        <w:tblLayout w:type="fixed"/>
        <w:tblCellMar>
          <w:top w:w="0" w:type="dxa"/>
          <w:left w:w="0" w:type="dxa"/>
          <w:bottom w:w="0" w:type="dxa"/>
          <w:right w:w="0" w:type="dxa"/>
        </w:tblCellMar>
      </w:tblPr>
      <w:tblGrid>
        <w:gridCol w:w="380"/>
        <w:gridCol w:w="1336"/>
        <w:gridCol w:w="1003"/>
        <w:gridCol w:w="2338"/>
        <w:gridCol w:w="2340"/>
        <w:gridCol w:w="2343"/>
      </w:tblGrid>
      <w:tr>
        <w:tblPrEx>
          <w:tblCellMar>
            <w:top w:w="0" w:type="dxa"/>
            <w:left w:w="0" w:type="dxa"/>
            <w:bottom w:w="0" w:type="dxa"/>
            <w:right w:w="0" w:type="dxa"/>
          </w:tblCellMar>
        </w:tblPrEx>
        <w:trPr>
          <w:trHeight w:val="4043" w:hRule="atLeast"/>
          <w:jc w:val="center"/>
        </w:trPr>
        <w:tc>
          <w:tcPr>
            <w:tcW w:w="9740" w:type="dxa"/>
            <w:gridSpan w:val="6"/>
            <w:tcBorders>
              <w:top w:val="nil"/>
              <w:left w:val="nil"/>
              <w:bottom w:val="nil"/>
              <w:right w:val="nil"/>
            </w:tcBorders>
            <w:noWrap w:val="0"/>
            <w:tcMar>
              <w:top w:w="15" w:type="dxa"/>
              <w:left w:w="15" w:type="dxa"/>
              <w:right w:w="15" w:type="dxa"/>
            </w:tcMar>
            <w:vAlign w:val="center"/>
          </w:tcPr>
          <w:tbl>
            <w:tblPr>
              <w:tblStyle w:val="15"/>
              <w:tblpPr w:leftFromText="180" w:rightFromText="180" w:vertAnchor="text" w:horzAnchor="page" w:tblpXSpec="center" w:tblpY="423"/>
              <w:tblOverlap w:val="never"/>
              <w:tblW w:w="0" w:type="auto"/>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人民调解</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广元市利州区司法局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2.4</w:t>
                  </w:r>
                  <w:r>
                    <w:rPr>
                      <w:rFonts w:hint="eastAsia" w:ascii="宋体" w:cs="宋体"/>
                      <w:color w:val="000000"/>
                      <w:sz w:val="24"/>
                    </w:rPr>
                    <w:t>5万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2.4</w:t>
                  </w:r>
                  <w:r>
                    <w:rPr>
                      <w:rFonts w:hint="eastAsia" w:ascii="宋体" w:cs="宋体"/>
                      <w:color w:val="000000"/>
                      <w:sz w:val="24"/>
                    </w:rPr>
                    <w:t>5万</w:t>
                  </w:r>
                </w:p>
              </w:tc>
            </w:tr>
            <w:tr>
              <w:tblPrEx>
                <w:tblCellMar>
                  <w:top w:w="0" w:type="dxa"/>
                  <w:left w:w="0" w:type="dxa"/>
                  <w:bottom w:w="0" w:type="dxa"/>
                  <w:right w:w="0" w:type="dxa"/>
                </w:tblCellMar>
              </w:tblPrEx>
              <w:trPr>
                <w:trHeight w:val="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2.4</w:t>
                  </w:r>
                  <w:r>
                    <w:rPr>
                      <w:rFonts w:hint="eastAsia" w:ascii="宋体" w:cs="宋体"/>
                      <w:color w:val="000000"/>
                      <w:sz w:val="24"/>
                    </w:rPr>
                    <w:t>5万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2.4</w:t>
                  </w:r>
                  <w:r>
                    <w:rPr>
                      <w:rFonts w:hint="eastAsia" w:ascii="宋体" w:cs="宋体"/>
                      <w:color w:val="000000"/>
                      <w:sz w:val="24"/>
                    </w:rPr>
                    <w:t>5万</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组织开展人民调解员培训</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不定期组织开展人民调解员培训5次</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不定期组织开展人民调解员培训5次</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人民调解员调解技能</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展开调解人员技能培训</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提升人民调解员调解技能</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专项项目支出</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2.45万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2.45万</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社会效益</w:t>
                  </w:r>
                </w:p>
                <w:p>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维护社会稳定</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加大矛盾排查调处力度，维护社会稳定</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加大矛盾排查调处力度，维护社会稳定</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经济效益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挽回经济损失</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通过人民调解的方式挽回不必要的经济损失</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通过人民调解的方式挽回不必要的经济损失</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eastAsia="zh-CN"/>
                    </w:rPr>
                    <w:t>群众满意度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调解工作满意度</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99%</w:t>
                  </w:r>
                </w:p>
              </w:tc>
            </w:tr>
          </w:tbl>
          <w:p>
            <w:pPr>
              <w:pStyle w:val="2"/>
              <w:rPr>
                <w:rFonts w:hint="default" w:eastAsia="仿宋_GB2312"/>
                <w:lang w:val="en-US" w:eastAsia="zh-CN"/>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hint="eastAsia" w:ascii="宋体" w:hAnsi="宋体" w:cs="宋体"/>
                <w:b/>
                <w:bCs/>
                <w:color w:val="000000"/>
                <w:kern w:val="0"/>
                <w:sz w:val="36"/>
                <w:szCs w:val="36"/>
                <w:lang w:bidi="ar"/>
              </w:rPr>
            </w:pPr>
          </w:p>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110" w:hRule="atLeast"/>
          <w:jc w:val="center"/>
        </w:trPr>
        <w:tc>
          <w:tcPr>
            <w:tcW w:w="271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02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社区矫正刑释解教人员安置帮教</w:t>
            </w:r>
          </w:p>
        </w:tc>
      </w:tr>
      <w:tr>
        <w:tblPrEx>
          <w:tblCellMar>
            <w:top w:w="0" w:type="dxa"/>
            <w:left w:w="0" w:type="dxa"/>
            <w:bottom w:w="0" w:type="dxa"/>
            <w:right w:w="0" w:type="dxa"/>
          </w:tblCellMar>
        </w:tblPrEx>
        <w:trPr>
          <w:trHeight w:val="90" w:hRule="atLeast"/>
          <w:jc w:val="center"/>
        </w:trPr>
        <w:tc>
          <w:tcPr>
            <w:tcW w:w="271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02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广元市利州区司法局</w:t>
            </w:r>
          </w:p>
        </w:tc>
      </w:tr>
      <w:tr>
        <w:tblPrEx>
          <w:tblCellMar>
            <w:top w:w="0" w:type="dxa"/>
            <w:left w:w="0" w:type="dxa"/>
            <w:bottom w:w="0" w:type="dxa"/>
            <w:right w:w="0" w:type="dxa"/>
          </w:tblCellMar>
        </w:tblPrEx>
        <w:trPr>
          <w:trHeight w:val="110" w:hRule="atLeast"/>
          <w:jc w:val="center"/>
        </w:trPr>
        <w:tc>
          <w:tcPr>
            <w:tcW w:w="3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3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62.3万元</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75.25万元</w:t>
            </w:r>
          </w:p>
        </w:tc>
      </w:tr>
      <w:tr>
        <w:tblPrEx>
          <w:tblCellMar>
            <w:top w:w="0" w:type="dxa"/>
            <w:left w:w="0" w:type="dxa"/>
            <w:bottom w:w="0" w:type="dxa"/>
            <w:right w:w="0" w:type="dxa"/>
          </w:tblCellMar>
        </w:tblPrEx>
        <w:trPr>
          <w:trHeight w:val="110" w:hRule="atLeast"/>
          <w:jc w:val="center"/>
        </w:trPr>
        <w:tc>
          <w:tcPr>
            <w:tcW w:w="3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62.3万元</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val="en-US" w:eastAsia="zh-CN"/>
              </w:rPr>
              <w:t>75.25万元</w:t>
            </w:r>
          </w:p>
        </w:tc>
      </w:tr>
      <w:tr>
        <w:tblPrEx>
          <w:tblCellMar>
            <w:top w:w="0" w:type="dxa"/>
            <w:left w:w="0" w:type="dxa"/>
            <w:bottom w:w="0" w:type="dxa"/>
            <w:right w:w="0" w:type="dxa"/>
          </w:tblCellMar>
        </w:tblPrEx>
        <w:trPr>
          <w:trHeight w:val="1693" w:hRule="atLeast"/>
          <w:jc w:val="center"/>
        </w:trPr>
        <w:tc>
          <w:tcPr>
            <w:tcW w:w="3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23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110" w:hRule="atLeast"/>
          <w:jc w:val="center"/>
        </w:trPr>
        <w:tc>
          <w:tcPr>
            <w:tcW w:w="3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6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707" w:hRule="atLeast"/>
          <w:jc w:val="center"/>
        </w:trPr>
        <w:tc>
          <w:tcPr>
            <w:tcW w:w="3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24"/>
              </w:rPr>
            </w:pPr>
          </w:p>
        </w:tc>
        <w:tc>
          <w:tcPr>
            <w:tcW w:w="46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eastAsia="zh-CN"/>
              </w:rPr>
              <w:t>为确保社区矫正工作者依法、正确、规范履行社区矫正工作职权，严格对社区矫正对象监督管理，努力为维护社会稳定做贡献。</w:t>
            </w:r>
          </w:p>
        </w:tc>
        <w:tc>
          <w:tcPr>
            <w:tcW w:w="4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lang w:eastAsia="zh-CN"/>
              </w:rPr>
              <w:t>为确保社区矫正工作者依法、正确、规范履行社区矫正工作职权，严格对社区矫正对象监督管理，努力为维护社会稳定做贡献。。</w:t>
            </w:r>
          </w:p>
        </w:tc>
      </w:tr>
      <w:tr>
        <w:tblPrEx>
          <w:tblCellMar>
            <w:top w:w="0" w:type="dxa"/>
            <w:left w:w="0" w:type="dxa"/>
            <w:bottom w:w="0" w:type="dxa"/>
            <w:right w:w="0" w:type="dxa"/>
          </w:tblCellMar>
        </w:tblPrEx>
        <w:trPr>
          <w:trHeight w:val="284" w:hRule="atLeast"/>
          <w:jc w:val="center"/>
        </w:trPr>
        <w:tc>
          <w:tcPr>
            <w:tcW w:w="38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413" w:hRule="atLeast"/>
          <w:jc w:val="center"/>
        </w:trPr>
        <w:tc>
          <w:tcPr>
            <w:tcW w:w="3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社区矫正对象数</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社区矫正对象数量445人。</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社区矫正对象数量445人。</w:t>
            </w:r>
          </w:p>
        </w:tc>
      </w:tr>
      <w:tr>
        <w:tblPrEx>
          <w:tblCellMar>
            <w:top w:w="0" w:type="dxa"/>
            <w:left w:w="0" w:type="dxa"/>
            <w:bottom w:w="0" w:type="dxa"/>
            <w:right w:w="0" w:type="dxa"/>
          </w:tblCellMar>
        </w:tblPrEx>
        <w:trPr>
          <w:trHeight w:val="349" w:hRule="atLeast"/>
          <w:jc w:val="center"/>
        </w:trPr>
        <w:tc>
          <w:tcPr>
            <w:tcW w:w="3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质量指标</w:t>
            </w: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rPr>
              <w:t>犯罪的改造质量</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工作者依法、正确、规范严格对社区矫正对象监督管理，提高社会犯罪的改造质量</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工作者依法、正确、规范严格对社区矫正对象监督管理，提高社会犯罪的改造质量</w:t>
            </w:r>
          </w:p>
        </w:tc>
      </w:tr>
      <w:tr>
        <w:tblPrEx>
          <w:tblCellMar>
            <w:top w:w="0" w:type="dxa"/>
            <w:left w:w="0" w:type="dxa"/>
            <w:bottom w:w="0" w:type="dxa"/>
            <w:right w:w="0" w:type="dxa"/>
          </w:tblCellMar>
        </w:tblPrEx>
        <w:trPr>
          <w:trHeight w:val="284" w:hRule="atLeast"/>
          <w:jc w:val="center"/>
        </w:trPr>
        <w:tc>
          <w:tcPr>
            <w:tcW w:w="3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成本指标</w:t>
            </w: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人员经费，公用经费，专项项目支出</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75.25万</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75.25万</w:t>
            </w:r>
          </w:p>
        </w:tc>
      </w:tr>
      <w:tr>
        <w:tblPrEx>
          <w:tblCellMar>
            <w:top w:w="0" w:type="dxa"/>
            <w:left w:w="0" w:type="dxa"/>
            <w:bottom w:w="0" w:type="dxa"/>
            <w:right w:w="0" w:type="dxa"/>
          </w:tblCellMar>
        </w:tblPrEx>
        <w:trPr>
          <w:trHeight w:val="284" w:hRule="atLeast"/>
          <w:jc w:val="center"/>
        </w:trPr>
        <w:tc>
          <w:tcPr>
            <w:tcW w:w="3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项目完成指标</w:t>
            </w: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284" w:hRule="atLeast"/>
          <w:jc w:val="center"/>
        </w:trPr>
        <w:tc>
          <w:tcPr>
            <w:tcW w:w="3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284" w:hRule="atLeast"/>
          <w:jc w:val="center"/>
        </w:trPr>
        <w:tc>
          <w:tcPr>
            <w:tcW w:w="3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312" w:hRule="atLeast"/>
          <w:jc w:val="center"/>
        </w:trPr>
        <w:tc>
          <w:tcPr>
            <w:tcW w:w="3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rPr>
            </w:pPr>
            <w:r>
              <w:rPr>
                <w:rFonts w:hint="eastAsia" w:ascii="宋体" w:cs="宋体"/>
                <w:color w:val="000000"/>
                <w:sz w:val="24"/>
              </w:rPr>
              <w:t>社会效益</w:t>
            </w:r>
          </w:p>
          <w:p>
            <w:pPr>
              <w:widowControl/>
              <w:jc w:val="center"/>
              <w:textAlignment w:val="center"/>
              <w:rPr>
                <w:rFonts w:ascii="宋体" w:cs="宋体"/>
                <w:color w:val="000000"/>
                <w:sz w:val="24"/>
              </w:rPr>
            </w:pPr>
            <w:r>
              <w:rPr>
                <w:rFonts w:hint="eastAsia" w:ascii="宋体" w:cs="宋体"/>
                <w:color w:val="000000"/>
                <w:sz w:val="24"/>
              </w:rPr>
              <w:t>指标</w:t>
            </w: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720" w:firstLineChars="300"/>
              <w:jc w:val="both"/>
              <w:textAlignment w:val="center"/>
              <w:rPr>
                <w:rFonts w:hint="eastAsia" w:ascii="宋体" w:eastAsia="宋体" w:cs="宋体"/>
                <w:color w:val="000000"/>
                <w:sz w:val="24"/>
                <w:lang w:eastAsia="zh-CN"/>
              </w:rPr>
            </w:pPr>
            <w:r>
              <w:rPr>
                <w:rFonts w:hint="eastAsia" w:ascii="宋体" w:cs="宋体"/>
                <w:color w:val="000000"/>
                <w:sz w:val="24"/>
                <w:lang w:eastAsia="zh-CN"/>
              </w:rPr>
              <w:t>维护社会稳定</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提高犯罪的改造质量，维护社会稳定</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提高犯罪的改造质量，维护社会稳定</w:t>
            </w:r>
          </w:p>
        </w:tc>
      </w:tr>
      <w:tr>
        <w:tblPrEx>
          <w:tblCellMar>
            <w:top w:w="0" w:type="dxa"/>
            <w:left w:w="0" w:type="dxa"/>
            <w:bottom w:w="0" w:type="dxa"/>
            <w:right w:w="0" w:type="dxa"/>
          </w:tblCellMar>
        </w:tblPrEx>
        <w:trPr>
          <w:trHeight w:val="349" w:hRule="atLeast"/>
          <w:jc w:val="center"/>
        </w:trPr>
        <w:tc>
          <w:tcPr>
            <w:tcW w:w="3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349" w:hRule="atLeast"/>
          <w:jc w:val="center"/>
        </w:trPr>
        <w:tc>
          <w:tcPr>
            <w:tcW w:w="3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24"/>
                <w:lang w:bidi="ar"/>
              </w:rPr>
            </w:pPr>
            <w:r>
              <w:rPr>
                <w:rFonts w:hint="eastAsia" w:ascii="宋体" w:hAnsi="宋体" w:cs="宋体"/>
                <w:color w:val="000000"/>
                <w:kern w:val="0"/>
                <w:sz w:val="24"/>
                <w:lang w:bidi="ar"/>
              </w:rPr>
              <w:t>满意度指标</w:t>
            </w: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社会满意度</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对社区矫正工作满意度</w:t>
            </w: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99%</w:t>
            </w:r>
          </w:p>
        </w:tc>
      </w:tr>
      <w:tr>
        <w:tblPrEx>
          <w:tblCellMar>
            <w:top w:w="0" w:type="dxa"/>
            <w:left w:w="0" w:type="dxa"/>
            <w:bottom w:w="0" w:type="dxa"/>
            <w:right w:w="0" w:type="dxa"/>
          </w:tblCellMar>
        </w:tblPrEx>
        <w:trPr>
          <w:trHeight w:val="291" w:hRule="atLeast"/>
          <w:jc w:val="center"/>
        </w:trPr>
        <w:tc>
          <w:tcPr>
            <w:tcW w:w="38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rPr>
            </w:pP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c>
          <w:tcPr>
            <w:tcW w:w="2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rPr>
            </w:pPr>
          </w:p>
        </w:tc>
      </w:tr>
    </w:tbl>
    <w:p>
      <w:pPr>
        <w:pStyle w:val="2"/>
        <w:rPr>
          <w:rFonts w:hint="default" w:eastAsia="仿宋_GB2312"/>
          <w:lang w:val="en-US" w:eastAsia="zh-CN"/>
        </w:rPr>
      </w:pPr>
    </w:p>
    <w:p>
      <w:pPr>
        <w:spacing w:line="580" w:lineRule="exact"/>
        <w:ind w:left="63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年部门整体支出绩效评价情况开展自评，《广元市</w:t>
      </w:r>
      <w:r>
        <w:rPr>
          <w:rFonts w:ascii="仿宋_GB2312" w:hAnsi="仿宋_GB2312" w:eastAsia="仿宋_GB2312" w:cs="仿宋_GB2312"/>
          <w:sz w:val="32"/>
          <w:szCs w:val="32"/>
        </w:rPr>
        <w:t>利州区</w:t>
      </w:r>
      <w:r>
        <w:rPr>
          <w:rFonts w:hint="eastAsia" w:ascii="仿宋_GB2312" w:hAnsi="仿宋_GB2312" w:eastAsia="仿宋_GB2312" w:cs="仿宋_GB2312"/>
          <w:sz w:val="32"/>
          <w:szCs w:val="32"/>
          <w:lang w:eastAsia="zh-CN"/>
        </w:rPr>
        <w:t>司法局</w:t>
      </w:r>
      <w:r>
        <w:rPr>
          <w:rFonts w:hint="eastAsia" w:ascii="仿宋_GB2312" w:hAnsi="仿宋_GB2312" w:eastAsia="仿宋_GB2312" w:cs="仿宋_GB2312"/>
          <w:sz w:val="32"/>
          <w:szCs w:val="32"/>
        </w:rPr>
        <w:t>部门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法律援助</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人民调解</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、普法宣传</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、公共法律服务平台建设项目、社区矫正</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法律援助</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人民调解</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普法宣传</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公共法律服务平台建设项目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法社区矫正</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年绩效评价报告》见附件（附件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0" w:firstLineChars="150"/>
        <w:jc w:val="center"/>
        <w:outlineLvl w:val="0"/>
        <w:rPr>
          <w:rStyle w:val="26"/>
          <w:rFonts w:ascii="黑体" w:hAnsi="黑体" w:eastAsia="黑体"/>
          <w:b w:val="0"/>
        </w:rPr>
      </w:pPr>
      <w:bookmarkStart w:id="65" w:name="_Toc15396613"/>
      <w:bookmarkStart w:id="66" w:name="_Toc15377225"/>
      <w:bookmarkStart w:id="67" w:name="_Toc16546"/>
      <w:r>
        <w:rPr>
          <w:rFonts w:hint="eastAsia" w:ascii="黑体" w:hAnsi="黑体" w:eastAsia="黑体"/>
          <w:color w:val="000000"/>
          <w:sz w:val="44"/>
          <w:szCs w:val="44"/>
        </w:rPr>
        <w:t>名</w:t>
      </w:r>
      <w:r>
        <w:rPr>
          <w:rStyle w:val="26"/>
          <w:rFonts w:hint="eastAsia" w:ascii="黑体" w:hAnsi="黑体" w:eastAsia="黑体"/>
          <w:b w:val="0"/>
        </w:rPr>
        <w:t>词解释</w:t>
      </w:r>
      <w:bookmarkEnd w:id="65"/>
      <w:bookmarkEnd w:id="66"/>
      <w:bookmarkEnd w:id="67"/>
    </w:p>
    <w:p>
      <w:pPr>
        <w:spacing w:line="600" w:lineRule="exact"/>
        <w:jc w:val="left"/>
        <w:rPr>
          <w:rFonts w:ascii="宋体"/>
          <w:b/>
          <w:color w:val="000000"/>
          <w:sz w:val="44"/>
          <w:szCs w:val="44"/>
        </w:rPr>
      </w:pPr>
    </w:p>
    <w:p>
      <w:pPr>
        <w:pStyle w:val="3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2020</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3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6"/>
          <w:rFonts w:ascii="黑体" w:hAnsi="黑体" w:eastAsia="黑体"/>
          <w:b w:val="0"/>
        </w:rPr>
      </w:pPr>
      <w:bookmarkStart w:id="68" w:name="_Toc15377226"/>
      <w:r>
        <w:rPr>
          <w:rFonts w:ascii="宋体"/>
          <w:b/>
          <w:color w:val="000000"/>
          <w:sz w:val="44"/>
          <w:szCs w:val="44"/>
        </w:rPr>
        <w:br w:type="page"/>
      </w:r>
      <w:bookmarkStart w:id="69" w:name="_Toc15396614"/>
      <w:bookmarkStart w:id="70" w:name="_Toc1605"/>
      <w:r>
        <w:rPr>
          <w:rFonts w:hint="eastAsia" w:ascii="黑体" w:hAnsi="黑体" w:eastAsia="黑体"/>
          <w:color w:val="000000"/>
          <w:sz w:val="44"/>
          <w:szCs w:val="44"/>
        </w:rPr>
        <w:t>第</w:t>
      </w:r>
      <w:r>
        <w:rPr>
          <w:rStyle w:val="26"/>
          <w:rFonts w:hint="eastAsia" w:ascii="黑体" w:hAnsi="黑体" w:eastAsia="黑体"/>
          <w:b w:val="0"/>
        </w:rPr>
        <w:t>四部分</w:t>
      </w:r>
      <w:r>
        <w:rPr>
          <w:rStyle w:val="26"/>
          <w:rFonts w:ascii="黑体" w:hAnsi="黑体" w:eastAsia="黑体"/>
          <w:b w:val="0"/>
        </w:rPr>
        <w:t xml:space="preserve"> </w:t>
      </w:r>
      <w:r>
        <w:rPr>
          <w:rStyle w:val="26"/>
          <w:rFonts w:hint="eastAsia" w:ascii="黑体" w:hAnsi="黑体" w:eastAsia="黑体"/>
          <w:b w:val="0"/>
        </w:rPr>
        <w:t>附件</w:t>
      </w:r>
      <w:bookmarkEnd w:id="69"/>
      <w:bookmarkEnd w:id="70"/>
    </w:p>
    <w:p>
      <w:pPr>
        <w:spacing w:line="600" w:lineRule="exact"/>
        <w:jc w:val="left"/>
        <w:outlineLvl w:val="0"/>
        <w:rPr>
          <w:rFonts w:ascii="方正小标宋简体" w:hAnsi="方正小标宋简体" w:eastAsia="方正小标宋简体" w:cs="方正小标宋简体"/>
          <w:sz w:val="32"/>
          <w:szCs w:val="32"/>
        </w:rPr>
      </w:pPr>
      <w:bookmarkStart w:id="71" w:name="_Toc650"/>
      <w:r>
        <w:rPr>
          <w:rFonts w:hint="eastAsia" w:ascii="黑体" w:hAnsi="黑体" w:eastAsia="黑体" w:cs="黑体"/>
          <w:sz w:val="32"/>
          <w:szCs w:val="32"/>
        </w:rPr>
        <w:t>附件</w:t>
      </w:r>
      <w:r>
        <w:rPr>
          <w:rFonts w:ascii="黑体" w:hAnsi="黑体" w:eastAsia="黑体" w:cs="黑体"/>
          <w:sz w:val="32"/>
          <w:szCs w:val="32"/>
        </w:rPr>
        <w:t>1</w:t>
      </w:r>
      <w:bookmarkEnd w:id="71"/>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eastAsia="zh-CN"/>
        </w:rPr>
        <w:t>广元市利州区司法局</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ind w:firstLine="800" w:firstLineChars="250"/>
        <w:rPr>
          <w:rFonts w:ascii="仿宋" w:hAnsi="仿宋" w:eastAsia="仿宋"/>
          <w:sz w:val="32"/>
          <w:szCs w:val="32"/>
        </w:rPr>
      </w:pPr>
      <w:r>
        <w:rPr>
          <w:rFonts w:hint="eastAsia" w:ascii="仿宋" w:hAnsi="仿宋" w:eastAsia="仿宋"/>
          <w:sz w:val="32"/>
          <w:szCs w:val="32"/>
          <w:lang w:eastAsia="zh-CN"/>
        </w:rPr>
        <w:t>利州区司法局</w:t>
      </w:r>
      <w:r>
        <w:rPr>
          <w:rFonts w:hint="eastAsia" w:ascii="仿宋" w:hAnsi="仿宋" w:eastAsia="仿宋"/>
          <w:sz w:val="32"/>
          <w:szCs w:val="32"/>
        </w:rPr>
        <w:t>下属二级单位</w:t>
      </w:r>
      <w:r>
        <w:rPr>
          <w:rFonts w:hint="eastAsia" w:ascii="仿宋" w:hAnsi="仿宋" w:eastAsia="仿宋"/>
          <w:sz w:val="32"/>
          <w:szCs w:val="32"/>
          <w:lang w:val="en-US" w:eastAsia="zh-CN"/>
        </w:rPr>
        <w:t>2</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1</w:t>
      </w:r>
      <w:r>
        <w:rPr>
          <w:rFonts w:hint="eastAsia" w:ascii="仿宋" w:hAnsi="仿宋" w:eastAsia="仿宋"/>
          <w:sz w:val="32"/>
          <w:szCs w:val="32"/>
        </w:rPr>
        <w:t>个，其他事业单位</w:t>
      </w:r>
      <w:r>
        <w:rPr>
          <w:rFonts w:hint="eastAsia" w:ascii="仿宋" w:hAnsi="仿宋" w:eastAsia="仿宋"/>
          <w:sz w:val="32"/>
          <w:szCs w:val="32"/>
          <w:lang w:val="en-US" w:eastAsia="zh-CN"/>
        </w:rPr>
        <w:t>1</w:t>
      </w:r>
      <w:r>
        <w:rPr>
          <w:rFonts w:hint="eastAsia" w:ascii="仿宋" w:hAnsi="仿宋" w:eastAsia="仿宋"/>
          <w:sz w:val="32"/>
          <w:szCs w:val="32"/>
        </w:rPr>
        <w:t>个。</w:t>
      </w:r>
    </w:p>
    <w:p>
      <w:pPr>
        <w:pStyle w:val="7"/>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ascii="仿宋" w:hAnsi="仿宋" w:eastAsia="仿宋"/>
          <w:color w:val="000000"/>
          <w:sz w:val="32"/>
          <w:szCs w:val="32"/>
        </w:rPr>
        <w:t>2020</w:t>
      </w:r>
      <w:r>
        <w:rPr>
          <w:rFonts w:hint="eastAsia" w:ascii="仿宋" w:hAnsi="仿宋" w:eastAsia="仿宋"/>
          <w:color w:val="000000"/>
          <w:sz w:val="32"/>
          <w:szCs w:val="32"/>
        </w:rPr>
        <w:t>年度部门决算编制范围的二级预算单位包括：</w:t>
      </w:r>
    </w:p>
    <w:p>
      <w:pPr>
        <w:pStyle w:val="7"/>
        <w:numPr>
          <w:ilvl w:val="0"/>
          <w:numId w:val="1"/>
        </w:numPr>
        <w:adjustRightInd w:val="0"/>
        <w:snapToGrid w:val="0"/>
        <w:spacing w:before="93" w:line="600" w:lineRule="exact"/>
        <w:ind w:left="1320" w:leftChars="0" w:firstLineChars="0"/>
        <w:outlineLvl w:val="2"/>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法律援助中心</w:t>
      </w:r>
    </w:p>
    <w:p>
      <w:pPr>
        <w:pStyle w:val="2"/>
        <w:rPr>
          <w:lang w:val="zh-CN"/>
        </w:rPr>
      </w:pPr>
    </w:p>
    <w:p>
      <w:pPr>
        <w:widowControl/>
        <w:numPr>
          <w:ilvl w:val="0"/>
          <w:numId w:val="6"/>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spacing w:line="576"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广元市利州区司法局(简称区司法局)是广元市利州区人民政府</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工作部门，为正科级。</w:t>
      </w:r>
    </w:p>
    <w:p>
      <w:pPr>
        <w:overflowPunct w:val="0"/>
        <w:spacing w:line="576" w:lineRule="exact"/>
        <w:ind w:firstLine="63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中共广元市利州区委全面依法治区委员会办公室（简称区委依法治区办）设在区司法局，接受</w:t>
      </w:r>
      <w:r>
        <w:rPr>
          <w:rFonts w:hint="eastAsia" w:ascii="仿宋" w:hAnsi="仿宋" w:eastAsia="仿宋" w:cs="仿宋"/>
          <w:color w:val="auto"/>
          <w:sz w:val="32"/>
          <w:szCs w:val="32"/>
          <w:lang w:eastAsia="zh-CN"/>
        </w:rPr>
        <w:t>中共广元市利州区</w:t>
      </w:r>
      <w:r>
        <w:rPr>
          <w:rFonts w:hint="eastAsia" w:ascii="仿宋" w:hAnsi="仿宋" w:eastAsia="仿宋" w:cs="仿宋"/>
          <w:color w:val="auto"/>
          <w:sz w:val="32"/>
          <w:szCs w:val="32"/>
        </w:rPr>
        <w:t>委</w:t>
      </w:r>
      <w:r>
        <w:rPr>
          <w:rFonts w:hint="eastAsia" w:ascii="仿宋" w:hAnsi="仿宋" w:eastAsia="仿宋" w:cs="仿宋"/>
          <w:color w:val="auto"/>
          <w:sz w:val="32"/>
          <w:szCs w:val="32"/>
          <w:lang w:eastAsia="zh-CN"/>
        </w:rPr>
        <w:t>全面依法治区委员会（以下简称委员会）</w:t>
      </w:r>
      <w:r>
        <w:rPr>
          <w:rFonts w:hint="eastAsia" w:ascii="仿宋" w:hAnsi="仿宋" w:eastAsia="仿宋" w:cs="仿宋"/>
          <w:color w:val="auto"/>
          <w:sz w:val="32"/>
          <w:szCs w:val="32"/>
        </w:rPr>
        <w:t>的直接领导，承担委员会具体工作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组织开展全面依法治区重大问题的政策研究。协调督促有关方面落实委员会</w:t>
      </w:r>
      <w:r>
        <w:rPr>
          <w:rFonts w:hint="eastAsia" w:ascii="仿宋" w:hAnsi="仿宋" w:eastAsia="仿宋" w:cs="仿宋"/>
          <w:color w:val="auto"/>
          <w:sz w:val="32"/>
          <w:szCs w:val="32"/>
          <w:lang w:eastAsia="zh-CN"/>
        </w:rPr>
        <w:t>及其</w:t>
      </w:r>
      <w:r>
        <w:rPr>
          <w:rFonts w:hint="eastAsia" w:ascii="仿宋" w:hAnsi="仿宋" w:eastAsia="仿宋" w:cs="仿宋"/>
          <w:color w:val="auto"/>
          <w:sz w:val="32"/>
          <w:szCs w:val="32"/>
        </w:rPr>
        <w:t>办公室决定事项、工作部署和要求等。</w:t>
      </w:r>
      <w:r>
        <w:rPr>
          <w:rFonts w:hint="eastAsia" w:ascii="仿宋" w:hAnsi="仿宋" w:eastAsia="仿宋" w:cs="仿宋"/>
          <w:color w:val="auto"/>
          <w:sz w:val="32"/>
          <w:szCs w:val="32"/>
          <w:lang w:eastAsia="zh-CN"/>
        </w:rPr>
        <w:t>设置区委依法治区办秘书室，负责处理区委依法治区办日常事务。内设机构根据工作需要承担区委依法治区办相关工作，接受区委依法治区办的统筹协调。</w:t>
      </w:r>
    </w:p>
    <w:p>
      <w:pPr>
        <w:overflowPunct w:val="0"/>
        <w:spacing w:line="576"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负责贯彻落实党中央关于全面依法治国的方针政策和省委、市委、区委的决策部署，在履行职责过程中坚持和加强党对全面依法治区工作的集中统一领导。主要职责是：</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1</w:t>
      </w:r>
      <w:r>
        <w:rPr>
          <w:rFonts w:hint="eastAsia" w:ascii="楷体" w:hAnsi="楷体" w:eastAsia="楷体" w:cs="楷体"/>
          <w:color w:val="auto"/>
          <w:sz w:val="32"/>
          <w:szCs w:val="32"/>
        </w:rPr>
        <w:t>）</w:t>
      </w:r>
      <w:r>
        <w:rPr>
          <w:rFonts w:hint="eastAsia" w:ascii="仿宋" w:hAnsi="仿宋" w:eastAsia="仿宋" w:cs="仿宋"/>
          <w:color w:val="auto"/>
          <w:sz w:val="32"/>
          <w:szCs w:val="32"/>
        </w:rPr>
        <w:t>承担全面依法治国、依法治省、依法治市和依法治区重大问题的政策研究，协调有关方面提出全面依法治区规划建议，负责有关重大决策部署督察工作。</w:t>
      </w:r>
    </w:p>
    <w:p>
      <w:pPr>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2</w:t>
      </w:r>
      <w:r>
        <w:rPr>
          <w:rFonts w:hint="eastAsia" w:ascii="楷体" w:hAnsi="楷体" w:eastAsia="楷体" w:cs="楷体"/>
          <w:color w:val="auto"/>
          <w:sz w:val="32"/>
          <w:szCs w:val="32"/>
        </w:rPr>
        <w:t>）</w:t>
      </w:r>
      <w:r>
        <w:rPr>
          <w:rFonts w:hint="eastAsia" w:ascii="仿宋" w:hAnsi="仿宋" w:eastAsia="仿宋" w:cs="仿宋"/>
          <w:color w:val="auto"/>
          <w:sz w:val="32"/>
          <w:szCs w:val="32"/>
        </w:rPr>
        <w:t>贯彻执行国家、省、市、区关于司法行政工作的方针、政策，制定司法行政规范性文件、发展规划、工作计划并组织实施。</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3</w:t>
      </w:r>
      <w:r>
        <w:rPr>
          <w:rFonts w:hint="eastAsia" w:ascii="楷体" w:hAnsi="楷体" w:eastAsia="楷体" w:cs="楷体"/>
          <w:color w:val="auto"/>
          <w:sz w:val="32"/>
          <w:szCs w:val="32"/>
        </w:rPr>
        <w:t>）</w:t>
      </w:r>
      <w:r>
        <w:rPr>
          <w:rFonts w:hint="eastAsia" w:ascii="仿宋" w:hAnsi="仿宋" w:eastAsia="仿宋" w:cs="仿宋"/>
          <w:color w:val="auto"/>
          <w:sz w:val="32"/>
          <w:szCs w:val="32"/>
        </w:rPr>
        <w:t>负责区政府规范性文件、重大行政决策发布前的合法性审查。承办区政府规范性文件的报送备案工作。负责各乡镇（街道）政府（办事处）和区政府各部门报送区政府的规范性文件备案审查工作。组织开展规范性文件清理。</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4</w:t>
      </w:r>
      <w:r>
        <w:rPr>
          <w:rFonts w:hint="eastAsia" w:ascii="楷体" w:hAnsi="楷体" w:eastAsia="楷体" w:cs="楷体"/>
          <w:color w:val="auto"/>
          <w:sz w:val="32"/>
          <w:szCs w:val="32"/>
        </w:rPr>
        <w:t>）</w:t>
      </w:r>
      <w:r>
        <w:rPr>
          <w:rFonts w:hint="eastAsia" w:ascii="仿宋" w:hAnsi="仿宋" w:eastAsia="仿宋" w:cs="仿宋"/>
          <w:color w:val="auto"/>
          <w:sz w:val="32"/>
          <w:szCs w:val="32"/>
        </w:rPr>
        <w:t>承担统筹推进法治政府建设的责任。指导监督区政府各部门、各乡镇（街道）政府（办事处）依法行政工作。负责综合协调和监督检查行政执法，承担推进行政执法体制改革有关工作，推进严格规范公正文明执法。指导监督全区行政复议、行政应诉和行政赔偿工作，承办向区政府申请的行政复议、行政赔偿案件，代理区政府行政应诉案件。承担区政府法律顾问的聘任和管理，组织区政府行政行为听证等工作。负责全区行政执法主体、人员资格审查和行政执法证、监督检查证的审核管理及人员培训工作。</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5</w:t>
      </w:r>
      <w:r>
        <w:rPr>
          <w:rFonts w:hint="eastAsia" w:ascii="楷体" w:hAnsi="楷体" w:eastAsia="楷体" w:cs="楷体"/>
          <w:color w:val="auto"/>
          <w:sz w:val="32"/>
          <w:szCs w:val="32"/>
        </w:rPr>
        <w:t>）</w:t>
      </w:r>
      <w:r>
        <w:rPr>
          <w:rFonts w:hint="eastAsia" w:ascii="仿宋" w:hAnsi="仿宋" w:eastAsia="仿宋" w:cs="仿宋"/>
          <w:color w:val="auto"/>
          <w:sz w:val="32"/>
          <w:szCs w:val="32"/>
        </w:rPr>
        <w:t>承担统筹规划法治社会建设的责任。负责拟订法治宣传教育规划，组织实施普法宣传工作，组织对外法治宣传。推动人民参与和促进法治建设。指导依法治理和法治创建工作。指导人民调解、行政调解和行业性专业性调解等工作。参与人民监督员的选任、管理工作。负责人民陪审员选任工作的具体实施。指导监督司法所工作。</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6</w:t>
      </w:r>
      <w:r>
        <w:rPr>
          <w:rFonts w:hint="eastAsia" w:ascii="楷体" w:hAnsi="楷体" w:eastAsia="楷体" w:cs="楷体"/>
          <w:color w:val="auto"/>
          <w:sz w:val="32"/>
          <w:szCs w:val="32"/>
        </w:rPr>
        <w:t>）</w:t>
      </w:r>
      <w:r>
        <w:rPr>
          <w:rFonts w:hint="eastAsia" w:ascii="仿宋" w:hAnsi="仿宋" w:eastAsia="仿宋" w:cs="仿宋"/>
          <w:color w:val="auto"/>
          <w:sz w:val="32"/>
          <w:szCs w:val="32"/>
        </w:rPr>
        <w:t>指导管理社区矫正工作。负责刑满释放人员帮教安置工作。</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7</w:t>
      </w:r>
      <w:r>
        <w:rPr>
          <w:rFonts w:hint="eastAsia" w:ascii="楷体" w:hAnsi="楷体" w:eastAsia="楷体" w:cs="楷体"/>
          <w:color w:val="auto"/>
          <w:sz w:val="32"/>
          <w:szCs w:val="32"/>
        </w:rPr>
        <w:t>）</w:t>
      </w:r>
      <w:r>
        <w:rPr>
          <w:rFonts w:hint="eastAsia" w:ascii="仿宋" w:hAnsi="仿宋" w:eastAsia="仿宋" w:cs="仿宋"/>
          <w:color w:val="auto"/>
          <w:sz w:val="32"/>
          <w:szCs w:val="32"/>
        </w:rPr>
        <w:t>负责拟订全区公共法律服务体系建设规划并指导实施，统筹和布局全区城乡、区域法律服务资源。指导监督律师、法律援助、公证、仲裁和基层法律服务等工作。</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8</w:t>
      </w:r>
      <w:r>
        <w:rPr>
          <w:rFonts w:hint="eastAsia" w:ascii="楷体" w:hAnsi="楷体" w:eastAsia="楷体" w:cs="楷体"/>
          <w:color w:val="auto"/>
          <w:sz w:val="32"/>
          <w:szCs w:val="32"/>
        </w:rPr>
        <w:t>）</w:t>
      </w:r>
      <w:r>
        <w:rPr>
          <w:rFonts w:hint="eastAsia" w:ascii="仿宋" w:hAnsi="仿宋" w:eastAsia="仿宋" w:cs="仿宋"/>
          <w:color w:val="auto"/>
          <w:sz w:val="32"/>
          <w:szCs w:val="32"/>
        </w:rPr>
        <w:t>负责本</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财务、装备、设施、场所等保障工作。负责本</w:t>
      </w:r>
      <w:r>
        <w:rPr>
          <w:rFonts w:hint="eastAsia" w:ascii="仿宋" w:hAnsi="仿宋" w:eastAsia="仿宋" w:cs="仿宋"/>
          <w:color w:val="auto"/>
          <w:sz w:val="32"/>
          <w:szCs w:val="32"/>
          <w:lang w:eastAsia="zh-CN"/>
        </w:rPr>
        <w:t>系统</w:t>
      </w:r>
      <w:r>
        <w:rPr>
          <w:rFonts w:hint="eastAsia" w:ascii="仿宋" w:hAnsi="仿宋" w:eastAsia="仿宋" w:cs="仿宋"/>
          <w:color w:val="auto"/>
          <w:sz w:val="32"/>
          <w:szCs w:val="32"/>
        </w:rPr>
        <w:t>警车管理工作。</w:t>
      </w:r>
    </w:p>
    <w:p>
      <w:pPr>
        <w:overflowPunct w:val="0"/>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9</w:t>
      </w:r>
      <w:r>
        <w:rPr>
          <w:rFonts w:hint="eastAsia" w:ascii="楷体" w:hAnsi="楷体" w:eastAsia="楷体" w:cs="楷体"/>
          <w:color w:val="auto"/>
          <w:sz w:val="32"/>
          <w:szCs w:val="32"/>
        </w:rPr>
        <w:t>）</w:t>
      </w:r>
      <w:r>
        <w:rPr>
          <w:rFonts w:hint="eastAsia" w:ascii="仿宋" w:hAnsi="仿宋" w:eastAsia="仿宋" w:cs="仿宋"/>
          <w:color w:val="auto"/>
          <w:sz w:val="32"/>
          <w:szCs w:val="32"/>
        </w:rPr>
        <w:t>规划、协调、指导法治人才队伍建设相关工作，负责本系统队伍建设。</w:t>
      </w:r>
    </w:p>
    <w:p>
      <w:pPr>
        <w:overflowPunct w:val="0"/>
        <w:spacing w:line="576" w:lineRule="exact"/>
        <w:ind w:firstLine="640" w:firstLineChars="200"/>
        <w:rPr>
          <w:rFonts w:hint="eastAsia" w:ascii="仿宋" w:hAnsi="仿宋" w:eastAsia="楷体" w:cs="仿宋"/>
          <w:color w:val="auto"/>
          <w:sz w:val="32"/>
          <w:szCs w:val="32"/>
          <w:lang w:eastAsia="zh-CN"/>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10</w:t>
      </w:r>
      <w:r>
        <w:rPr>
          <w:rFonts w:hint="eastAsia" w:ascii="楷体" w:hAnsi="楷体" w:eastAsia="楷体" w:cs="楷体"/>
          <w:color w:val="auto"/>
          <w:sz w:val="32"/>
          <w:szCs w:val="32"/>
        </w:rPr>
        <w:t>）</w:t>
      </w:r>
      <w:r>
        <w:rPr>
          <w:rFonts w:hint="eastAsia" w:ascii="仿宋" w:hAnsi="仿宋" w:eastAsia="仿宋" w:cs="仿宋"/>
          <w:color w:val="auto"/>
          <w:sz w:val="32"/>
          <w:szCs w:val="32"/>
          <w:lang w:eastAsia="zh-CN"/>
        </w:rPr>
        <w:t>承担职责范围内安全生产和职业健康、生态环境保护、审批服务便民化等工作。负责全区外来企业、民营企业法律服务工作。监督管理所属社团组织。</w:t>
      </w:r>
    </w:p>
    <w:p>
      <w:pPr>
        <w:pStyle w:val="7"/>
        <w:adjustRightInd w:val="0"/>
        <w:snapToGrid w:val="0"/>
        <w:spacing w:before="93" w:line="600" w:lineRule="exact"/>
        <w:ind w:firstLine="672" w:firstLineChars="210"/>
        <w:outlineLvl w:val="2"/>
        <w:rPr>
          <w:lang w:val="zh-CN"/>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11</w:t>
      </w:r>
      <w:r>
        <w:rPr>
          <w:rFonts w:hint="eastAsia" w:ascii="楷体" w:hAnsi="楷体" w:eastAsia="楷体" w:cs="楷体"/>
          <w:color w:val="auto"/>
          <w:sz w:val="32"/>
          <w:szCs w:val="32"/>
        </w:rPr>
        <w:t>）</w:t>
      </w:r>
      <w:r>
        <w:rPr>
          <w:rFonts w:hint="eastAsia" w:ascii="仿宋" w:hAnsi="仿宋" w:eastAsia="仿宋" w:cs="仿宋"/>
          <w:color w:val="auto"/>
          <w:sz w:val="32"/>
          <w:szCs w:val="32"/>
        </w:rPr>
        <w:t>完成区委、区政府交办的其他任务。</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ind w:firstLine="640" w:firstLineChars="200"/>
        <w:rPr>
          <w:rFonts w:hint="eastAsia" w:ascii="仿宋" w:hAnsi="仿宋" w:eastAsia="仿宋"/>
          <w:sz w:val="32"/>
          <w:szCs w:val="32"/>
          <w:lang w:eastAsia="zh-CN"/>
        </w:rPr>
      </w:pPr>
      <w:r>
        <w:rPr>
          <w:rFonts w:hint="eastAsia" w:ascii="仿宋" w:hAnsi="仿宋" w:eastAsia="仿宋"/>
          <w:color w:val="000000"/>
          <w:sz w:val="32"/>
          <w:szCs w:val="32"/>
        </w:rPr>
        <w:t>2020年末行政</w:t>
      </w:r>
      <w:r>
        <w:rPr>
          <w:rFonts w:hint="eastAsia" w:ascii="仿宋" w:hAnsi="仿宋" w:eastAsia="仿宋"/>
          <w:color w:val="000000"/>
          <w:sz w:val="32"/>
          <w:szCs w:val="32"/>
          <w:lang w:val="en-US" w:eastAsia="zh-CN"/>
        </w:rPr>
        <w:t>45</w:t>
      </w:r>
      <w:r>
        <w:rPr>
          <w:rFonts w:hint="eastAsia" w:ascii="仿宋" w:hAnsi="仿宋" w:eastAsia="仿宋"/>
          <w:color w:val="000000"/>
          <w:sz w:val="32"/>
          <w:szCs w:val="32"/>
        </w:rPr>
        <w:t>人；工勤</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人；全额事业</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人（遗属5</w:t>
      </w:r>
      <w:r>
        <w:rPr>
          <w:rFonts w:hint="eastAsia" w:ascii="仿宋" w:hAnsi="仿宋" w:eastAsia="仿宋"/>
          <w:sz w:val="32"/>
          <w:szCs w:val="32"/>
        </w:rPr>
        <w:t>人；司法</w:t>
      </w:r>
      <w:r>
        <w:rPr>
          <w:rFonts w:hint="eastAsia" w:ascii="仿宋" w:hAnsi="仿宋" w:eastAsia="仿宋"/>
          <w:sz w:val="32"/>
          <w:szCs w:val="32"/>
          <w:lang w:eastAsia="zh-CN"/>
        </w:rPr>
        <w:t>协勤</w:t>
      </w:r>
      <w:r>
        <w:rPr>
          <w:rFonts w:hint="eastAsia" w:ascii="仿宋" w:hAnsi="仿宋" w:eastAsia="仿宋"/>
          <w:sz w:val="32"/>
          <w:szCs w:val="32"/>
        </w:rPr>
        <w:t>人员</w:t>
      </w:r>
      <w:r>
        <w:rPr>
          <w:rFonts w:hint="eastAsia" w:ascii="仿宋" w:hAnsi="仿宋" w:eastAsia="仿宋"/>
          <w:sz w:val="32"/>
          <w:szCs w:val="32"/>
          <w:lang w:val="en-US" w:eastAsia="zh-CN"/>
        </w:rPr>
        <w:t>17</w:t>
      </w:r>
      <w:r>
        <w:rPr>
          <w:rFonts w:hint="eastAsia" w:ascii="仿宋" w:hAnsi="仿宋" w:eastAsia="仿宋"/>
          <w:sz w:val="32"/>
          <w:szCs w:val="32"/>
        </w:rPr>
        <w:t>人</w:t>
      </w:r>
      <w:r>
        <w:rPr>
          <w:rFonts w:hint="eastAsia" w:ascii="仿宋" w:hAnsi="仿宋" w:eastAsia="仿宋"/>
          <w:sz w:val="32"/>
          <w:szCs w:val="32"/>
          <w:lang w:eastAsia="zh-CN"/>
        </w:rPr>
        <w:t>。</w:t>
      </w:r>
    </w:p>
    <w:p>
      <w:pPr>
        <w:pStyle w:val="2"/>
        <w:rPr>
          <w:lang w:val="zh-CN"/>
        </w:rPr>
      </w:pPr>
    </w:p>
    <w:p>
      <w:pPr>
        <w:pStyle w:val="2"/>
        <w:rPr>
          <w:lang w:val="zh-CN"/>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pacing w:line="600" w:lineRule="exact"/>
        <w:ind w:firstLine="640" w:firstLineChars="200"/>
        <w:outlineLvl w:val="1"/>
        <w:rPr>
          <w:lang w:val="zh-CN"/>
        </w:rPr>
      </w:pPr>
      <w:bookmarkStart w:id="72" w:name="_Toc83802831"/>
      <w:r>
        <w:rPr>
          <w:rFonts w:ascii="仿宋" w:hAnsi="仿宋" w:eastAsia="仿宋"/>
          <w:sz w:val="32"/>
          <w:szCs w:val="32"/>
        </w:rPr>
        <w:t>2020</w:t>
      </w:r>
      <w:r>
        <w:rPr>
          <w:rFonts w:hint="eastAsia" w:ascii="仿宋" w:hAnsi="仿宋" w:eastAsia="仿宋"/>
          <w:sz w:val="32"/>
          <w:szCs w:val="32"/>
        </w:rPr>
        <w:t>年收入合计</w:t>
      </w:r>
      <w:r>
        <w:rPr>
          <w:rFonts w:hint="eastAsia" w:ascii="仿宋" w:hAnsi="仿宋" w:eastAsia="仿宋"/>
          <w:sz w:val="32"/>
          <w:szCs w:val="32"/>
          <w:lang w:val="en-US" w:eastAsia="zh-CN"/>
        </w:rPr>
        <w:t>1471.64</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1471.64</w:t>
      </w:r>
      <w:r>
        <w:rPr>
          <w:rFonts w:hint="eastAsia" w:ascii="仿宋" w:hAnsi="仿宋" w:eastAsia="仿宋"/>
          <w:sz w:val="32"/>
          <w:szCs w:val="32"/>
        </w:rPr>
        <w:t>万元。</w:t>
      </w:r>
      <w:bookmarkEnd w:id="72"/>
    </w:p>
    <w:p>
      <w:pPr>
        <w:widowControl/>
        <w:numPr>
          <w:ilvl w:val="0"/>
          <w:numId w:val="6"/>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spacing w:line="600" w:lineRule="exact"/>
        <w:ind w:firstLine="640" w:firstLineChars="200"/>
        <w:outlineLvl w:val="1"/>
        <w:rPr>
          <w:lang w:val="zh-CN"/>
        </w:rPr>
      </w:pPr>
      <w:bookmarkStart w:id="73" w:name="_Toc83802832"/>
      <w:r>
        <w:rPr>
          <w:rFonts w:ascii="仿宋" w:hAnsi="仿宋" w:eastAsia="仿宋"/>
          <w:sz w:val="32"/>
          <w:szCs w:val="32"/>
        </w:rPr>
        <w:t>2020</w:t>
      </w:r>
      <w:r>
        <w:rPr>
          <w:rFonts w:hint="eastAsia" w:ascii="仿宋" w:hAnsi="仿宋" w:eastAsia="仿宋"/>
          <w:sz w:val="32"/>
          <w:szCs w:val="32"/>
        </w:rPr>
        <w:t>年支出合计</w:t>
      </w:r>
      <w:r>
        <w:rPr>
          <w:rFonts w:hint="eastAsia" w:ascii="仿宋" w:hAnsi="仿宋" w:eastAsia="仿宋"/>
          <w:sz w:val="32"/>
          <w:szCs w:val="32"/>
          <w:lang w:val="en-US" w:eastAsia="zh-CN"/>
        </w:rPr>
        <w:t>1342.29</w:t>
      </w:r>
      <w:r>
        <w:rPr>
          <w:rFonts w:hint="eastAsia" w:ascii="仿宋" w:hAnsi="仿宋" w:eastAsia="仿宋"/>
          <w:sz w:val="32"/>
          <w:szCs w:val="32"/>
        </w:rPr>
        <w:t>万元，其中：基本支出</w:t>
      </w:r>
      <w:r>
        <w:rPr>
          <w:rFonts w:hint="eastAsia" w:ascii="仿宋" w:hAnsi="仿宋" w:eastAsia="仿宋"/>
          <w:sz w:val="32"/>
          <w:szCs w:val="32"/>
          <w:lang w:val="en-US" w:eastAsia="zh-CN"/>
        </w:rPr>
        <w:t>884.76</w:t>
      </w:r>
      <w:r>
        <w:rPr>
          <w:rFonts w:hint="eastAsia" w:ascii="仿宋" w:hAnsi="仿宋" w:eastAsia="仿宋"/>
          <w:sz w:val="32"/>
          <w:szCs w:val="32"/>
        </w:rPr>
        <w:t>万元，项目支出</w:t>
      </w:r>
      <w:r>
        <w:rPr>
          <w:rFonts w:hint="eastAsia" w:ascii="仿宋" w:hAnsi="仿宋" w:eastAsia="仿宋"/>
          <w:sz w:val="32"/>
          <w:szCs w:val="32"/>
          <w:lang w:val="en-US" w:eastAsia="zh-CN"/>
        </w:rPr>
        <w:t>457.53</w:t>
      </w:r>
      <w:r>
        <w:rPr>
          <w:rFonts w:hint="eastAsia" w:ascii="仿宋" w:hAnsi="仿宋" w:eastAsia="仿宋"/>
          <w:sz w:val="32"/>
          <w:szCs w:val="32"/>
        </w:rPr>
        <w:t>万元。</w:t>
      </w:r>
      <w:bookmarkEnd w:id="73"/>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在编制2020年预决算报表时，我单位严格按照区委、区政府统一部署，在区财政局的指导下，认真编制预决算报表，严格审核，对各项专项预算提前细化，将专项支出预算分类分项并逐条说明，确保汇总上报的数据完整、真实、准确，保证预决算报表不存在应编未编、错误列编、虚假混编等情形。</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仿宋_GB2312" w:hAnsi="宋体" w:eastAsia="仿宋_GB2312" w:cs="宋体"/>
          <w:kern w:val="0"/>
          <w:sz w:val="32"/>
          <w:szCs w:val="32"/>
          <w:shd w:val="clear" w:color="auto" w:fill="FFFFFF"/>
          <w:lang w:val="zh-CN"/>
        </w:rPr>
        <w:t>我单位财务部门认真履行预算管理、收支管理、资产管理、往来资金管理、财务核算、财务监督以及其他相关财务职责。同时着力加强内部审计内控建设工作，增强财务监督和管理水平，提高资金使用效益，严肃财经纪律。及时按照上级部门要求进行信息公开，认真开展绩效评价，反馈良好。</w:t>
      </w:r>
      <w:r>
        <w:rPr>
          <w:rFonts w:hint="eastAsia" w:ascii="黑体" w:hAnsi="宋体" w:eastAsia="黑体" w:cs="宋体"/>
          <w:color w:val="000000"/>
          <w:kern w:val="0"/>
          <w:sz w:val="32"/>
          <w:szCs w:val="32"/>
          <w:shd w:val="clear" w:color="auto" w:fill="FFFFFF"/>
        </w:rPr>
        <w:t>四、评价结论及建议</w:t>
      </w:r>
    </w:p>
    <w:p>
      <w:pPr>
        <w:widowControl/>
        <w:numPr>
          <w:ilvl w:val="0"/>
          <w:numId w:val="7"/>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评价结论。</w:t>
      </w:r>
    </w:p>
    <w:p>
      <w:pPr>
        <w:widowControl/>
        <w:adjustRightInd w:val="0"/>
        <w:snapToGrid w:val="0"/>
        <w:spacing w:line="580" w:lineRule="exact"/>
        <w:ind w:firstLine="640" w:firstLineChars="200"/>
        <w:contextualSpacing/>
        <w:jc w:val="left"/>
        <w:rPr>
          <w:lang w:val="zh-CN"/>
        </w:rPr>
      </w:pPr>
      <w:r>
        <w:rPr>
          <w:rFonts w:hint="eastAsia" w:ascii="仿宋_GB2312" w:hAnsi="宋体" w:eastAsia="仿宋_GB2312" w:cs="宋体"/>
          <w:kern w:val="0"/>
          <w:sz w:val="32"/>
          <w:szCs w:val="32"/>
          <w:shd w:val="clear" w:color="auto" w:fill="FFFFFF"/>
          <w:lang w:val="zh-CN"/>
        </w:rPr>
        <w:t>严格按照预算批复支出项目资金，支出符合国家财经法规和财务管理制度,经评价，项目财务管理信息资料真实、及时、完整，管理制度健全，管理效果明显，财政资金执行情况良好，项目目标得到较好完成。</w:t>
      </w:r>
    </w:p>
    <w:p>
      <w:pPr>
        <w:widowControl/>
        <w:numPr>
          <w:ilvl w:val="0"/>
          <w:numId w:val="7"/>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存在问题。</w:t>
      </w:r>
    </w:p>
    <w:p>
      <w:pPr>
        <w:pStyle w:val="2"/>
        <w:numPr>
          <w:ilvl w:val="0"/>
          <w:numId w:val="0"/>
        </w:numPr>
        <w:ind w:leftChars="200" w:firstLine="640" w:firstLineChars="200"/>
        <w:rPr>
          <w:lang w:val="zh-CN"/>
        </w:rPr>
      </w:pPr>
      <w:r>
        <w:rPr>
          <w:rFonts w:hint="eastAsia" w:ascii="仿宋_GB2312" w:hAnsi="宋体" w:eastAsia="仿宋_GB2312" w:cs="宋体"/>
          <w:kern w:val="0"/>
          <w:sz w:val="32"/>
          <w:szCs w:val="32"/>
          <w:shd w:val="clear" w:color="auto" w:fill="FFFFFF"/>
          <w:lang w:val="zh-CN"/>
        </w:rPr>
        <w:t>由于疫情原因，导致政法装备采购和业务用房建设工作滞后，导致项目资金年度结转至次年使用。造成了预算资金执行未全额使用。</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firstLineChars="200"/>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今后在资金执行管理中，监管部门加大监督力度，项目实施部门按月、季度、年的时间合理规划资金使用进度，各部门紧密衔接、加快预算执行进度，提高预算执行质量，强化财政资金使用效益，确保预算执行保持均衡进度。</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eastAsia="zh-CN"/>
        </w:rPr>
        <w:t>法律援助</w:t>
      </w:r>
      <w:r>
        <w:rPr>
          <w:rFonts w:hint="eastAsia" w:ascii="方正小标宋简体" w:hAnsi="宋体" w:eastAsia="方正小标宋简体"/>
          <w:color w:val="000000"/>
          <w:kern w:val="0"/>
          <w:sz w:val="44"/>
          <w:szCs w:val="44"/>
          <w:lang w:val="zh-CN"/>
        </w:rPr>
        <w:t>项目</w:t>
      </w: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．说明项目主管部门（单位）在该项目管理中的职能。</w:t>
      </w:r>
    </w:p>
    <w:p>
      <w:pPr>
        <w:pageBreakBefore w:val="0"/>
        <w:kinsoku/>
        <w:overflowPunct/>
        <w:topLinePunct w:val="0"/>
        <w:bidi w:val="0"/>
        <w:spacing w:line="360" w:lineRule="auto"/>
        <w:ind w:firstLine="1280" w:firstLineChars="400"/>
        <w:rPr>
          <w:lang w:val="zh-CN"/>
        </w:rPr>
      </w:pPr>
      <w:r>
        <w:rPr>
          <w:rFonts w:hint="eastAsia" w:ascii="仿宋_GB2312" w:hAnsi="Times New Roman" w:eastAsia="仿宋_GB2312" w:cs="仿宋_GB2312"/>
          <w:sz w:val="32"/>
          <w:szCs w:val="32"/>
          <w:shd w:val="clear" w:color="auto" w:fill="FFFFFF"/>
          <w:lang w:val="zh-CN"/>
        </w:rPr>
        <w:t>法律援助业务包括用于开展法律援助工作。包括</w:t>
      </w:r>
      <w:r>
        <w:rPr>
          <w:rFonts w:hint="eastAsia" w:ascii="仿宋_GB2312" w:eastAsia="仿宋_GB2312" w:cs="仿宋_GB2312"/>
          <w:sz w:val="32"/>
          <w:szCs w:val="32"/>
          <w:shd w:val="clear" w:color="auto" w:fill="FFFFFF"/>
        </w:rPr>
        <w:t>区</w:t>
      </w:r>
      <w:r>
        <w:rPr>
          <w:rFonts w:hint="eastAsia" w:ascii="仿宋_GB2312" w:hAnsi="仿宋_GB2312" w:eastAsia="仿宋_GB2312" w:cs="仿宋_GB2312"/>
          <w:sz w:val="32"/>
          <w:szCs w:val="32"/>
        </w:rPr>
        <w:t>承办法律援助案件、事项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开展法律援助宣传、教育、培训、调研、检查、指导工作、对外学习交流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法律援助卷宗档案管理</w:t>
      </w:r>
      <w:r>
        <w:rPr>
          <w:rFonts w:hint="eastAsia" w:ascii="仿宋_GB2312" w:hAnsi="仿宋_GB2312" w:eastAsia="仿宋_GB2312" w:cs="仿宋_GB2312"/>
          <w:sz w:val="32"/>
          <w:szCs w:val="32"/>
          <w:lang w:eastAsia="zh-CN"/>
        </w:rPr>
        <w:t>等一系列法律援助业务工作，通过数量指标、时效指标、质量指标、成本指标进行绩效评价</w:t>
      </w:r>
      <w:r>
        <w:rPr>
          <w:rFonts w:ascii="仿宋" w:hAnsi="仿宋" w:eastAsia="仿宋" w:cs="仿宋_GB2312"/>
          <w:sz w:val="32"/>
          <w:szCs w:val="32"/>
        </w:rPr>
        <w:t>项目评价</w:t>
      </w:r>
      <w:r>
        <w:rPr>
          <w:rFonts w:hint="eastAsia" w:ascii="仿宋" w:hAnsi="仿宋" w:eastAsia="仿宋" w:cs="仿宋_GB2312"/>
          <w:sz w:val="32"/>
          <w:szCs w:val="32"/>
          <w:lang w:eastAsia="zh-CN"/>
        </w:rPr>
        <w:t>。</w:t>
      </w:r>
    </w:p>
    <w:p>
      <w:pPr>
        <w:numPr>
          <w:ilvl w:val="0"/>
          <w:numId w:val="0"/>
        </w:num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项目立项、资金申报的依据。</w:t>
      </w:r>
    </w:p>
    <w:p>
      <w:pPr>
        <w:pStyle w:val="2"/>
        <w:numPr>
          <w:ilvl w:val="0"/>
          <w:numId w:val="0"/>
        </w:numPr>
        <w:rPr>
          <w:rFonts w:hint="default" w:ascii="仿宋_GB2312" w:hAnsi="宋体" w:eastAsia="仿宋_GB2312" w:cs="Times New Roman"/>
          <w:kern w:val="2"/>
          <w:sz w:val="32"/>
          <w:szCs w:val="32"/>
          <w:lang w:val="en-US" w:eastAsia="zh-CN" w:bidi="ar-SA"/>
        </w:rPr>
      </w:pPr>
      <w:r>
        <w:rPr>
          <w:rFonts w:hint="eastAsia"/>
          <w:lang w:val="en-US" w:eastAsia="zh-CN"/>
        </w:rPr>
        <w:t xml:space="preserve">       </w:t>
      </w:r>
      <w:r>
        <w:rPr>
          <w:rFonts w:hint="eastAsia" w:ascii="仿宋_GB2312" w:hAnsi="宋体" w:eastAsia="仿宋_GB2312" w:cs="Times New Roman"/>
          <w:kern w:val="2"/>
          <w:sz w:val="32"/>
          <w:szCs w:val="32"/>
          <w:lang w:val="en-US" w:eastAsia="zh-CN" w:bidi="ar-SA"/>
        </w:rPr>
        <w:t>财政局下发的相关立项、资金申报文件</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．资金管理办法制定情况，资金支持具体项目的条件、范围与支持方式概况。</w:t>
      </w:r>
    </w:p>
    <w:p>
      <w:pPr>
        <w:ind w:firstLine="645"/>
        <w:rPr>
          <w:rFonts w:hint="default" w:ascii="仿宋" w:hAnsi="仿宋" w:eastAsia="仿宋_GB2312" w:cs="仿宋_GB2312"/>
          <w:sz w:val="32"/>
          <w:szCs w:val="32"/>
          <w:lang w:val="en-US" w:eastAsia="zh-CN"/>
        </w:rPr>
      </w:pPr>
      <w:r>
        <w:rPr>
          <w:rFonts w:hint="eastAsia" w:ascii="仿宋_GB2312" w:hAnsi="仿宋_GB2312" w:eastAsia="仿宋_GB2312" w:cs="仿宋_GB2312"/>
          <w:color w:val="000000"/>
          <w:sz w:val="32"/>
          <w:szCs w:val="32"/>
        </w:rPr>
        <w:t>法律援助民生工程资金</w:t>
      </w:r>
      <w:r>
        <w:rPr>
          <w:rFonts w:hint="eastAsia" w:ascii="仿宋_GB2312" w:hAnsi="仿宋_GB2312" w:eastAsia="仿宋_GB2312" w:cs="仿宋_GB2312"/>
          <w:color w:val="000000"/>
          <w:sz w:val="32"/>
          <w:szCs w:val="32"/>
          <w:lang w:val="en-US" w:eastAsia="zh-CN"/>
        </w:rPr>
        <w:t>30.5</w:t>
      </w:r>
      <w:r>
        <w:rPr>
          <w:rFonts w:hint="eastAsia" w:ascii="仿宋_GB2312" w:hAnsi="仿宋_GB2312" w:eastAsia="仿宋_GB2312" w:cs="仿宋_GB2312"/>
          <w:color w:val="000000"/>
          <w:sz w:val="32"/>
          <w:szCs w:val="32"/>
        </w:rPr>
        <w:t>万元。</w:t>
      </w:r>
      <w:r>
        <w:rPr>
          <w:rFonts w:hint="eastAsia" w:ascii="仿宋_GB2312" w:eastAsia="仿宋_GB2312"/>
          <w:color w:val="000000"/>
          <w:sz w:val="32"/>
          <w:szCs w:val="32"/>
          <w:lang w:eastAsia="zh-CN"/>
        </w:rPr>
        <w:t>资金得到合理合规的分配和利用，主要用于</w:t>
      </w:r>
      <w:r>
        <w:rPr>
          <w:rFonts w:hint="eastAsia" w:ascii="仿宋_GB2312" w:eastAsia="仿宋_GB2312"/>
          <w:color w:val="000000"/>
          <w:sz w:val="32"/>
          <w:szCs w:val="32"/>
          <w:lang w:val="en-US" w:eastAsia="zh-CN"/>
        </w:rPr>
        <w:t>2020年法律援助办案业务费、办公经费、差旅费等方面。</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w:t>
      </w:r>
    </w:p>
    <w:p>
      <w:pPr>
        <w:pStyle w:val="2"/>
        <w:rPr>
          <w:lang w:val="zh-CN"/>
        </w:rPr>
      </w:pPr>
      <w:r>
        <w:rPr>
          <w:rFonts w:hint="eastAsia" w:ascii="仿宋_GB2312" w:hAnsi="宋体" w:eastAsia="仿宋_GB2312"/>
          <w:sz w:val="32"/>
          <w:szCs w:val="32"/>
          <w:lang w:val="zh-CN"/>
        </w:rPr>
        <w:t>在资金管理上</w:t>
      </w:r>
      <w:r>
        <w:rPr>
          <w:rFonts w:hint="eastAsia" w:ascii="仿宋_GB2312" w:hAnsi="宋体" w:eastAsia="仿宋_GB2312"/>
          <w:b/>
          <w:sz w:val="32"/>
          <w:szCs w:val="32"/>
          <w:lang w:val="zh-CN"/>
        </w:rPr>
        <w:t>，</w:t>
      </w:r>
      <w:r>
        <w:rPr>
          <w:rFonts w:hint="eastAsia" w:ascii="仿宋_GB2312" w:hAnsi="宋体" w:eastAsia="仿宋_GB2312"/>
          <w:sz w:val="32"/>
          <w:szCs w:val="32"/>
          <w:lang w:val="zh-CN"/>
        </w:rPr>
        <w:t>明确了资金筹集、管理、监督和责任追究内容。司法救助纳入年度财政预算，对司法救助对象切实给予保障，建立动态调整机制，专款专用。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pPr>
        <w:pStyle w:val="2"/>
        <w:rPr>
          <w:rFonts w:hint="eastAsia" w:ascii="仿宋_GB2312" w:hAnsi="宋体" w:eastAsia="仿宋_GB2312" w:cs="Times New Roman"/>
          <w:kern w:val="2"/>
          <w:sz w:val="32"/>
          <w:szCs w:val="32"/>
          <w:lang w:val="zh-CN" w:eastAsia="zh-CN" w:bidi="ar-SA"/>
        </w:rPr>
      </w:pPr>
      <w:r>
        <w:rPr>
          <w:rFonts w:hint="eastAsia" w:ascii="仿宋_GB2312" w:hAnsi="宋体" w:eastAsia="仿宋_GB2312" w:cs="Times New Roman"/>
          <w:kern w:val="2"/>
          <w:sz w:val="32"/>
          <w:szCs w:val="32"/>
          <w:lang w:val="zh-CN" w:eastAsia="zh-CN" w:bidi="ar-SA"/>
        </w:rPr>
        <w:t>一是受理审查指派法律援助案件，二是对案件承办人员支付法律援助补贴，三是法律援助宣传培训等。</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．项目应实现的具体绩效目标，包括目标的量化、细化情况以及项目实施进度计划等。</w:t>
      </w:r>
    </w:p>
    <w:p>
      <w:pPr>
        <w:pStyle w:val="2"/>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zh-CN" w:eastAsia="zh-CN" w:bidi="ar-SA"/>
        </w:rPr>
        <w:t>全年办理法律援助案件共计</w:t>
      </w:r>
      <w:r>
        <w:rPr>
          <w:rFonts w:hint="eastAsia" w:ascii="仿宋_GB2312" w:hAnsi="宋体" w:eastAsia="仿宋_GB2312" w:cs="Times New Roman"/>
          <w:kern w:val="2"/>
          <w:sz w:val="32"/>
          <w:szCs w:val="32"/>
          <w:lang w:val="en-US" w:eastAsia="zh-CN" w:bidi="ar-SA"/>
        </w:rPr>
        <w:t>185件，法律咨询人次2000次，按法律援助承办人员工作进度支付办案补贴。</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．分析评价申报内容是否与实际相符，申报目标是否合理可行。</w:t>
      </w:r>
    </w:p>
    <w:p>
      <w:pPr>
        <w:pStyle w:val="2"/>
        <w:rPr>
          <w:rFonts w:hint="eastAsia" w:ascii="仿宋_GB2312" w:hAnsi="宋体" w:eastAsia="仿宋_GB2312" w:cs="Times New Roman"/>
          <w:kern w:val="2"/>
          <w:sz w:val="32"/>
          <w:szCs w:val="32"/>
          <w:lang w:val="zh-CN" w:eastAsia="zh-CN" w:bidi="ar-SA"/>
        </w:rPr>
      </w:pPr>
      <w:r>
        <w:rPr>
          <w:rFonts w:hint="eastAsia" w:ascii="仿宋_GB2312" w:hAnsi="宋体" w:eastAsia="仿宋_GB2312" w:cs="Times New Roman"/>
          <w:kern w:val="2"/>
          <w:sz w:val="32"/>
          <w:szCs w:val="32"/>
          <w:lang w:val="zh-CN" w:eastAsia="zh-CN" w:bidi="ar-SA"/>
        </w:rPr>
        <w:t>全年法律援助项目完成情况均为真实数据，以卷宗形式存档，可查阅，承办案件的结果均有当事人认可后终止。</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我</w:t>
      </w:r>
      <w:r>
        <w:rPr>
          <w:rFonts w:hint="eastAsia" w:ascii="仿宋_GB2312" w:hAnsi="宋体" w:eastAsia="仿宋_GB2312"/>
          <w:sz w:val="32"/>
          <w:szCs w:val="32"/>
          <w:lang w:val="zh-CN"/>
        </w:rPr>
        <w:t>单位向区委政法委、区财政局申请项目资金，</w:t>
      </w:r>
      <w:r>
        <w:rPr>
          <w:rFonts w:ascii="仿宋_GB2312" w:hAnsi="宋体" w:eastAsia="仿宋_GB2312"/>
          <w:sz w:val="32"/>
          <w:szCs w:val="32"/>
          <w:lang w:val="zh-CN"/>
        </w:rPr>
        <w:t>成立了</w:t>
      </w:r>
      <w:r>
        <w:rPr>
          <w:rFonts w:hint="eastAsia" w:ascii="仿宋_GB2312" w:hAnsi="宋体" w:eastAsia="仿宋_GB2312"/>
          <w:sz w:val="32"/>
          <w:szCs w:val="32"/>
          <w:lang w:val="zh-CN"/>
        </w:rPr>
        <w:t>法律援助</w:t>
      </w:r>
      <w:r>
        <w:rPr>
          <w:rFonts w:ascii="仿宋_GB2312" w:hAnsi="宋体" w:eastAsia="仿宋_GB2312"/>
          <w:sz w:val="32"/>
          <w:szCs w:val="32"/>
          <w:lang w:val="zh-CN"/>
        </w:rPr>
        <w:t>工作领导小组。领导小组负责研究制定</w:t>
      </w:r>
      <w:r>
        <w:rPr>
          <w:rFonts w:hint="eastAsia" w:ascii="仿宋_GB2312" w:hAnsi="宋体" w:eastAsia="仿宋_GB2312"/>
          <w:sz w:val="32"/>
          <w:szCs w:val="32"/>
          <w:lang w:val="zh-CN"/>
        </w:rPr>
        <w:t>法律援助</w:t>
      </w:r>
      <w:r>
        <w:rPr>
          <w:rFonts w:ascii="仿宋_GB2312" w:hAnsi="宋体" w:eastAsia="仿宋_GB2312"/>
          <w:sz w:val="32"/>
          <w:szCs w:val="32"/>
          <w:lang w:val="zh-CN"/>
        </w:rPr>
        <w:t>制度规范，测算资金需求，定期检查工作落实情况。由工作领导小组</w:t>
      </w:r>
      <w:r>
        <w:rPr>
          <w:rFonts w:hint="eastAsia" w:ascii="仿宋_GB2312" w:hAnsi="宋体" w:eastAsia="仿宋_GB2312"/>
          <w:sz w:val="32"/>
          <w:szCs w:val="32"/>
          <w:lang w:val="zh-CN"/>
        </w:rPr>
        <w:t>、财务保障股、分管领导共同落实法律援助</w:t>
      </w:r>
      <w:r>
        <w:rPr>
          <w:rFonts w:ascii="仿宋_GB2312" w:hAnsi="宋体" w:eastAsia="仿宋_GB2312"/>
          <w:sz w:val="32"/>
          <w:szCs w:val="32"/>
          <w:lang w:val="zh-CN"/>
        </w:rPr>
        <w:t>工作，并按照分工，分别对救助申请进行审核，在审批后进行</w:t>
      </w:r>
      <w:r>
        <w:rPr>
          <w:rFonts w:hint="eastAsia" w:ascii="仿宋_GB2312" w:hAnsi="宋体" w:eastAsia="仿宋_GB2312"/>
          <w:sz w:val="32"/>
          <w:szCs w:val="32"/>
          <w:lang w:val="zh-CN"/>
        </w:rPr>
        <w:t>法律援助资金</w:t>
      </w:r>
      <w:r>
        <w:rPr>
          <w:rFonts w:ascii="仿宋_GB2312" w:hAnsi="宋体" w:eastAsia="仿宋_GB2312"/>
          <w:sz w:val="32"/>
          <w:szCs w:val="32"/>
          <w:lang w:val="zh-CN"/>
        </w:rPr>
        <w:t>的发放。建立衔接机制，充分保障困难群众行使诉讼权利和享有帮扶</w:t>
      </w:r>
      <w:r>
        <w:rPr>
          <w:rFonts w:hint="eastAsia" w:ascii="仿宋_GB2312" w:hAnsi="宋体" w:eastAsia="仿宋_GB2312"/>
          <w:sz w:val="32"/>
          <w:szCs w:val="32"/>
          <w:lang w:val="zh-CN"/>
        </w:rPr>
        <w:t>援助</w:t>
      </w:r>
      <w:r>
        <w:rPr>
          <w:rFonts w:ascii="仿宋_GB2312" w:hAnsi="宋体" w:eastAsia="仿宋_GB2312"/>
          <w:sz w:val="32"/>
          <w:szCs w:val="32"/>
          <w:lang w:val="zh-CN"/>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法律援助资金项目经费预算</w:t>
      </w:r>
      <w:r>
        <w:rPr>
          <w:rFonts w:hint="eastAsia" w:ascii="仿宋_GB2312" w:hAnsi="宋体" w:eastAsia="仿宋_GB2312"/>
          <w:sz w:val="32"/>
          <w:szCs w:val="32"/>
          <w:lang w:val="en-US" w:eastAsia="zh-CN"/>
        </w:rPr>
        <w:t>30.5</w:t>
      </w:r>
      <w:r>
        <w:rPr>
          <w:rFonts w:hint="eastAsia" w:ascii="仿宋_GB2312" w:hAnsi="宋体" w:eastAsia="仿宋_GB2312"/>
          <w:sz w:val="32"/>
          <w:szCs w:val="32"/>
          <w:lang w:val="zh-CN"/>
        </w:rPr>
        <w:t>万元，按年度进行申报，资金及时批复到位。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r>
        <w:rPr>
          <w:rFonts w:hint="eastAsia" w:ascii="仿宋_GB2312" w:hAnsi="宋体" w:eastAsia="仿宋_GB2312"/>
          <w:sz w:val="32"/>
          <w:szCs w:val="32"/>
          <w:lang w:val="zh-CN"/>
        </w:rPr>
        <w:t>于2019年申请2020年司法律援助项目经费年初预算</w:t>
      </w:r>
      <w:r>
        <w:rPr>
          <w:rFonts w:hint="eastAsia" w:ascii="仿宋_GB2312" w:hAnsi="宋体" w:eastAsia="仿宋_GB2312"/>
          <w:sz w:val="32"/>
          <w:szCs w:val="32"/>
          <w:lang w:val="en-US" w:eastAsia="zh-CN"/>
        </w:rPr>
        <w:t>30.5</w:t>
      </w:r>
      <w:r>
        <w:rPr>
          <w:rFonts w:hint="eastAsia" w:ascii="仿宋_GB2312" w:hAnsi="宋体" w:eastAsia="仿宋_GB2312"/>
          <w:sz w:val="32"/>
          <w:szCs w:val="32"/>
          <w:lang w:val="zh-CN"/>
        </w:rPr>
        <w:t>万元。</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ascii="仿宋_GB2312" w:hAnsi="宋体" w:eastAsia="仿宋_GB2312"/>
          <w:sz w:val="32"/>
          <w:szCs w:val="32"/>
          <w:lang w:val="zh-CN"/>
        </w:rPr>
        <w:t>截止2020年12月，所有计划资金全部到位，共计</w:t>
      </w:r>
      <w:r>
        <w:rPr>
          <w:rFonts w:hint="eastAsia" w:ascii="仿宋_GB2312" w:hAnsi="宋体" w:eastAsia="仿宋_GB2312"/>
          <w:sz w:val="32"/>
          <w:szCs w:val="32"/>
          <w:lang w:val="en-US" w:eastAsia="zh-CN"/>
        </w:rPr>
        <w:t>30.5</w:t>
      </w:r>
      <w:r>
        <w:rPr>
          <w:rFonts w:hint="eastAsia" w:ascii="仿宋_GB2312" w:hAnsi="宋体" w:eastAsia="仿宋_GB2312"/>
          <w:sz w:val="32"/>
          <w:szCs w:val="32"/>
          <w:lang w:val="zh-CN"/>
        </w:rPr>
        <w:t>万元。</w:t>
      </w:r>
    </w:p>
    <w:p>
      <w:pPr>
        <w:adjustRightInd w:val="0"/>
        <w:snapToGrid w:val="0"/>
        <w:spacing w:line="600" w:lineRule="exact"/>
        <w:ind w:firstLine="720"/>
        <w:rPr>
          <w:rFonts w:hint="eastAsia" w:ascii="仿宋_GB2312" w:hAnsi="宋体" w:eastAsia="仿宋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_GB2312" w:hAnsi="宋体" w:eastAsia="仿宋_GB2312"/>
          <w:sz w:val="32"/>
          <w:szCs w:val="32"/>
          <w:lang w:val="zh-CN"/>
        </w:rPr>
        <w:t>截止2020年12月31日，该项目经费按进度支出，共计</w:t>
      </w:r>
      <w:r>
        <w:rPr>
          <w:rFonts w:hint="eastAsia" w:ascii="仿宋_GB2312" w:hAnsi="宋体" w:eastAsia="仿宋_GB2312"/>
          <w:sz w:val="32"/>
          <w:szCs w:val="32"/>
          <w:lang w:val="en-US" w:eastAsia="zh-CN"/>
        </w:rPr>
        <w:t>24.21</w:t>
      </w:r>
      <w:r>
        <w:rPr>
          <w:rFonts w:hint="eastAsia" w:ascii="仿宋_GB2312" w:hAnsi="宋体" w:eastAsia="仿宋_GB2312"/>
          <w:sz w:val="32"/>
          <w:szCs w:val="32"/>
          <w:lang w:val="zh-CN"/>
        </w:rPr>
        <w:t>万元，用于法律援助案件补贴、承办案件人员值班补贴等</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2020年司法律援助项目经费采取授权支付形式，由财政所年初拟定用款计划，分期严格按照项目资金管理办法对资金进行计划申请、划拨、使用，我单位财务人员及时、规范对收支进行账务处理和会计核算。</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numPr>
          <w:ilvl w:val="0"/>
          <w:numId w:val="8"/>
        </w:num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项目组织架构及实施流程。</w:t>
      </w:r>
    </w:p>
    <w:p>
      <w:pPr>
        <w:spacing w:line="570" w:lineRule="exact"/>
        <w:ind w:firstLine="640" w:firstLineChars="200"/>
        <w:outlineLvl w:val="0"/>
        <w:rPr>
          <w:lang w:val="zh-CN"/>
        </w:rPr>
      </w:pPr>
      <w:bookmarkStart w:id="74" w:name="_Toc5405"/>
      <w:bookmarkStart w:id="75" w:name="_Toc83802833"/>
      <w:r>
        <w:rPr>
          <w:rFonts w:hint="eastAsia" w:ascii="仿宋_GB2312" w:hAnsi="宋体" w:eastAsia="仿宋_GB2312"/>
          <w:color w:val="000000" w:themeColor="text1"/>
          <w:sz w:val="32"/>
          <w:szCs w:val="32"/>
          <w:lang w:val="zh-CN"/>
          <w14:textFill>
            <w14:solidFill>
              <w14:schemeClr w14:val="tx1"/>
            </w14:solidFill>
          </w14:textFill>
        </w:rPr>
        <w:t>该项目属于经常性项目，由本单位自行组织实施。实施过程都是按照制定的管理制度来执行。</w:t>
      </w:r>
      <w:bookmarkEnd w:id="74"/>
      <w:bookmarkEnd w:id="75"/>
    </w:p>
    <w:p>
      <w:pPr>
        <w:numPr>
          <w:ilvl w:val="0"/>
          <w:numId w:val="8"/>
        </w:numPr>
        <w:spacing w:line="570" w:lineRule="exact"/>
        <w:ind w:left="0" w:leftChars="0" w:firstLine="720" w:firstLineChars="0"/>
        <w:outlineLvl w:val="0"/>
        <w:rPr>
          <w:rFonts w:hint="eastAsia" w:ascii="楷体_GB2312" w:hAnsi="宋体" w:eastAsia="楷体_GB2312"/>
          <w:b/>
          <w:sz w:val="32"/>
          <w:szCs w:val="32"/>
          <w:lang w:val="zh-CN"/>
        </w:rPr>
      </w:pPr>
      <w:bookmarkStart w:id="76" w:name="_Toc14956"/>
      <w:r>
        <w:rPr>
          <w:rFonts w:hint="eastAsia" w:ascii="楷体_GB2312" w:hAnsi="宋体" w:eastAsia="楷体_GB2312"/>
          <w:b/>
          <w:sz w:val="32"/>
          <w:szCs w:val="32"/>
          <w:lang w:val="zh-CN"/>
        </w:rPr>
        <w:t>项目管理情况。</w:t>
      </w:r>
      <w:bookmarkEnd w:id="76"/>
      <w:bookmarkStart w:id="77" w:name="_Toc83802834"/>
    </w:p>
    <w:p>
      <w:pPr>
        <w:numPr>
          <w:ilvl w:val="0"/>
          <w:numId w:val="0"/>
        </w:numPr>
        <w:spacing w:line="570" w:lineRule="exact"/>
        <w:ind w:left="720" w:leftChars="0"/>
        <w:outlineLvl w:val="0"/>
        <w:rPr>
          <w:rFonts w:ascii="仿宋_GB2312" w:hAnsi="宋体" w:eastAsia="仿宋_GB2312"/>
          <w:color w:val="000000" w:themeColor="text1"/>
          <w:sz w:val="32"/>
          <w:szCs w:val="32"/>
          <w:lang w:val="zh-CN"/>
          <w14:textFill>
            <w14:solidFill>
              <w14:schemeClr w14:val="tx1"/>
            </w14:solidFill>
          </w14:textFill>
        </w:rPr>
      </w:pPr>
      <w:bookmarkStart w:id="78" w:name="_Toc6617"/>
      <w:r>
        <w:rPr>
          <w:rFonts w:hint="eastAsia" w:ascii="仿宋_GB2312" w:hAnsi="宋体" w:eastAsia="仿宋_GB2312"/>
          <w:color w:val="000000" w:themeColor="text1"/>
          <w:sz w:val="32"/>
          <w:szCs w:val="32"/>
          <w:lang w:val="zh-CN"/>
          <w14:textFill>
            <w14:solidFill>
              <w14:schemeClr w14:val="tx1"/>
            </w14:solidFill>
          </w14:textFill>
        </w:rPr>
        <w:t>项目目标设定依据充分、明确、合理，项目开展符合我单位工作实际。项目开展过程中，以深入调查为依据，通过研究，再根据实际情况予以实施。</w:t>
      </w:r>
      <w:bookmarkEnd w:id="77"/>
      <w:bookmarkEnd w:id="78"/>
    </w:p>
    <w:p>
      <w:pPr>
        <w:numPr>
          <w:ilvl w:val="0"/>
          <w:numId w:val="8"/>
        </w:numPr>
        <w:spacing w:line="570" w:lineRule="exact"/>
        <w:ind w:left="0" w:leftChars="0" w:firstLine="720" w:firstLineChars="0"/>
        <w:rPr>
          <w:rFonts w:hint="eastAsia" w:ascii="楷体_GB2312" w:hAnsi="宋体" w:eastAsia="楷体_GB2312"/>
          <w:b/>
          <w:sz w:val="32"/>
          <w:szCs w:val="32"/>
          <w:lang w:val="zh-CN"/>
        </w:rPr>
      </w:pPr>
      <w:r>
        <w:rPr>
          <w:rFonts w:hint="eastAsia" w:ascii="楷体_GB2312" w:hAnsi="宋体" w:eastAsia="楷体_GB2312"/>
          <w:b/>
          <w:sz w:val="32"/>
          <w:szCs w:val="32"/>
          <w:lang w:val="zh-CN"/>
        </w:rPr>
        <w:t>项目监管情况。</w:t>
      </w:r>
    </w:p>
    <w:p>
      <w:pPr>
        <w:numPr>
          <w:ilvl w:val="0"/>
          <w:numId w:val="0"/>
        </w:numPr>
        <w:spacing w:line="570" w:lineRule="exact"/>
        <w:ind w:left="720" w:leftChars="0" w:firstLine="640" w:firstLineChars="20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该项目所有资金实行专款专用。项目支出均有相关的审批流程，资金拨付严格审批程序，使用规范。没有截留、挤占和挪用项目资金情况。</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数量指标：完成结案数量185件，完成法律咨询人次2000人</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质量指标：根据有法定理由须援助的对象进行法律援助。</w:t>
      </w:r>
    </w:p>
    <w:p>
      <w:pPr>
        <w:pStyle w:val="2"/>
        <w:ind w:left="0" w:leftChars="0" w:firstLine="640" w:firstLineChars="200"/>
        <w:rPr>
          <w:rFonts w:hint="eastAsia"/>
          <w:lang w:val="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时效指标：针对受理案件，对案件整个进度执行情况进行法律援助资金支付</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1、社会效益指标：贯彻执行了国家司法行政工作的方针、政策和法律法规，维护社会和谐稳定发展。</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2、可持续影响指标：减轻受害人的痛苦，解决弱势群体对权益保护的需求</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ascii="楷体_GB2312" w:hAnsi="宋体" w:eastAsia="楷体_GB2312"/>
          <w:sz w:val="32"/>
          <w:szCs w:val="32"/>
          <w:lang w:val="zh-CN"/>
        </w:rPr>
      </w:pPr>
      <w:r>
        <w:rPr>
          <w:rFonts w:ascii="仿宋_GB2312" w:hAnsi="宋体" w:eastAsia="仿宋_GB2312"/>
          <w:sz w:val="32"/>
          <w:szCs w:val="32"/>
          <w:lang w:val="zh-CN"/>
        </w:rPr>
        <w:t>切实做好司法过程中对</w:t>
      </w:r>
      <w:r>
        <w:rPr>
          <w:rFonts w:hint="eastAsia" w:ascii="仿宋_GB2312" w:hAnsi="宋体" w:eastAsia="仿宋_GB2312"/>
          <w:sz w:val="32"/>
          <w:szCs w:val="32"/>
          <w:lang w:val="zh-CN"/>
        </w:rPr>
        <w:t>弱势群体的法律援助工作</w:t>
      </w:r>
      <w:r>
        <w:rPr>
          <w:rFonts w:ascii="仿宋_GB2312" w:hAnsi="宋体" w:eastAsia="仿宋_GB2312"/>
          <w:sz w:val="32"/>
          <w:szCs w:val="32"/>
          <w:lang w:val="zh-CN"/>
        </w:rPr>
        <w:t>，保障社会公平正义，促进社会和谐稳定</w:t>
      </w:r>
      <w:r>
        <w:rPr>
          <w:rFonts w:hint="eastAsia" w:ascii="仿宋_GB2312" w:hAnsi="宋体" w:eastAsia="仿宋_GB2312"/>
          <w:sz w:val="32"/>
          <w:szCs w:val="32"/>
          <w:lang w:val="zh-CN"/>
        </w:rPr>
        <w:t>。</w:t>
      </w:r>
    </w:p>
    <w:p>
      <w:pPr>
        <w:numPr>
          <w:ilvl w:val="0"/>
          <w:numId w:val="7"/>
        </w:numPr>
        <w:adjustRightInd w:val="0"/>
        <w:snapToGrid w:val="0"/>
        <w:spacing w:line="600" w:lineRule="exact"/>
        <w:ind w:left="0" w:leftChars="0" w:firstLine="642" w:firstLineChars="200"/>
        <w:rPr>
          <w:rFonts w:hint="eastAsia" w:ascii="楷体_GB2312" w:hAnsi="宋体" w:eastAsia="楷体_GB2312"/>
          <w:b/>
          <w:sz w:val="32"/>
          <w:szCs w:val="32"/>
          <w:lang w:val="zh-CN"/>
        </w:rPr>
      </w:pPr>
      <w:r>
        <w:rPr>
          <w:rFonts w:hint="eastAsia" w:ascii="楷体_GB2312" w:hAnsi="宋体" w:eastAsia="楷体_GB2312"/>
          <w:b/>
          <w:sz w:val="32"/>
          <w:szCs w:val="32"/>
          <w:lang w:val="zh-CN"/>
        </w:rPr>
        <w:t>存在的问题。</w:t>
      </w:r>
    </w:p>
    <w:p>
      <w:pPr>
        <w:numPr>
          <w:ilvl w:val="0"/>
          <w:numId w:val="0"/>
        </w:numPr>
        <w:adjustRightInd w:val="0"/>
        <w:snapToGrid w:val="0"/>
        <w:spacing w:line="600" w:lineRule="exact"/>
        <w:ind w:leftChars="20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是有限的法律援助资源与大量的法律援助需求之间的矛盾较突出</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是法律援助队伍人员编制不足、专职律师缺乏。</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numPr>
          <w:ilvl w:val="0"/>
          <w:numId w:val="0"/>
        </w:numPr>
        <w:adjustRightInd w:val="0"/>
        <w:snapToGrid w:val="0"/>
        <w:spacing w:line="600" w:lineRule="exact"/>
        <w:ind w:leftChars="20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下一步改进措施一要进一步加大宣传力度，切实提高法律援助工作的社会知晓率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二要进一步落实政府责任，完善保障机制。要扩大援助范围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三要进一步加强队伍建设，提升服务能力</w:t>
      </w:r>
      <w:r>
        <w:rPr>
          <w:rFonts w:hint="eastAsia" w:ascii="仿宋_GB2312" w:hAnsi="仿宋_GB2312" w:eastAsia="仿宋_GB2312" w:cs="仿宋_GB2312"/>
          <w:sz w:val="32"/>
          <w:szCs w:val="32"/>
          <w:lang w:eastAsia="zh-CN"/>
        </w:rPr>
        <w:t>。</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6"/>
          <w:rFonts w:ascii="黑体" w:hAnsi="黑体" w:eastAsia="黑体"/>
          <w:b w:val="0"/>
        </w:rPr>
      </w:pPr>
    </w:p>
    <w:p>
      <w:pPr>
        <w:pStyle w:val="2"/>
        <w:rPr>
          <w:rStyle w:val="26"/>
          <w:rFonts w:ascii="黑体" w:hAnsi="黑体" w:eastAsia="黑体"/>
          <w:b w:val="0"/>
        </w:rPr>
      </w:pPr>
    </w:p>
    <w:p>
      <w:pPr>
        <w:pStyle w:val="2"/>
        <w:rPr>
          <w:rStyle w:val="26"/>
          <w:rFonts w:ascii="黑体" w:hAnsi="黑体" w:eastAsia="黑体"/>
          <w:b w:val="0"/>
        </w:rPr>
      </w:pPr>
    </w:p>
    <w:p>
      <w:pPr>
        <w:pStyle w:val="2"/>
        <w:rPr>
          <w:rStyle w:val="26"/>
          <w:rFonts w:ascii="黑体" w:hAnsi="黑体" w:eastAsia="黑体"/>
          <w:b w:val="0"/>
        </w:rPr>
      </w:pPr>
    </w:p>
    <w:p>
      <w:pPr>
        <w:pStyle w:val="2"/>
        <w:rPr>
          <w:rStyle w:val="26"/>
          <w:rFonts w:ascii="黑体" w:hAnsi="黑体" w:eastAsia="黑体"/>
          <w:b w:val="0"/>
        </w:rPr>
      </w:pPr>
    </w:p>
    <w:p>
      <w:pPr>
        <w:pStyle w:val="2"/>
        <w:rPr>
          <w:rStyle w:val="26"/>
          <w:rFonts w:ascii="黑体" w:hAnsi="黑体" w:eastAsia="黑体"/>
          <w:b w:val="0"/>
        </w:rPr>
      </w:pPr>
    </w:p>
    <w:p>
      <w:pPr>
        <w:pStyle w:val="2"/>
        <w:rPr>
          <w:rStyle w:val="26"/>
          <w:rFonts w:ascii="黑体" w:hAnsi="黑体" w:eastAsia="黑体"/>
          <w:b w:val="0"/>
        </w:rPr>
      </w:pPr>
    </w:p>
    <w:p>
      <w:pPr>
        <w:pStyle w:val="2"/>
        <w:rPr>
          <w:rStyle w:val="26"/>
          <w:rFonts w:ascii="黑体" w:hAnsi="黑体" w:eastAsia="黑体"/>
          <w:b w:val="0"/>
        </w:rPr>
      </w:pPr>
    </w:p>
    <w:p>
      <w:pPr>
        <w:pStyle w:val="2"/>
        <w:rPr>
          <w:rStyle w:val="26"/>
          <w:rFonts w:ascii="黑体" w:hAnsi="黑体" w:eastAsia="黑体"/>
          <w:b w:val="0"/>
        </w:rPr>
      </w:pPr>
    </w:p>
    <w:p>
      <w:pPr>
        <w:pStyle w:val="2"/>
        <w:rPr>
          <w:rStyle w:val="26"/>
          <w:rFonts w:ascii="黑体" w:hAnsi="黑体" w:eastAsia="黑体"/>
          <w:b w:val="0"/>
        </w:rPr>
      </w:pPr>
    </w:p>
    <w:p>
      <w:pPr>
        <w:pStyle w:val="2"/>
        <w:rPr>
          <w:rStyle w:val="26"/>
          <w:rFonts w:ascii="黑体" w:hAnsi="黑体" w:eastAsia="黑体"/>
          <w:b w:val="0"/>
        </w:rPr>
      </w:pPr>
    </w:p>
    <w:p>
      <w:pPr>
        <w:pStyle w:val="2"/>
        <w:rPr>
          <w:rStyle w:val="26"/>
          <w:rFonts w:ascii="黑体" w:hAnsi="黑体" w:eastAsia="黑体"/>
          <w:b w:val="0"/>
        </w:rPr>
      </w:pPr>
    </w:p>
    <w:p>
      <w:pPr>
        <w:pStyle w:val="2"/>
        <w:rPr>
          <w:rStyle w:val="26"/>
          <w:rFonts w:ascii="黑体" w:hAnsi="黑体" w:eastAsia="黑体"/>
          <w:b w:val="0"/>
        </w:rPr>
      </w:pPr>
    </w:p>
    <w:p>
      <w:pPr>
        <w:pStyle w:val="2"/>
        <w:rPr>
          <w:rStyle w:val="26"/>
          <w:rFonts w:ascii="黑体" w:hAnsi="黑体" w:eastAsia="黑体"/>
          <w:b w:val="0"/>
        </w:rPr>
      </w:pPr>
    </w:p>
    <w:p>
      <w:pPr>
        <w:pStyle w:val="2"/>
        <w:rPr>
          <w:rStyle w:val="26"/>
          <w:rFonts w:ascii="黑体" w:hAnsi="黑体" w:eastAsia="黑体"/>
          <w:b w:val="0"/>
        </w:rPr>
      </w:pPr>
    </w:p>
    <w:p>
      <w:pPr>
        <w:pStyle w:val="2"/>
        <w:rPr>
          <w:rStyle w:val="26"/>
          <w:rFonts w:ascii="黑体" w:hAnsi="黑体" w:eastAsia="黑体"/>
          <w:b w:val="0"/>
        </w:rPr>
      </w:pPr>
    </w:p>
    <w:p>
      <w:pPr>
        <w:pStyle w:val="2"/>
        <w:rPr>
          <w:rStyle w:val="26"/>
          <w:rFonts w:ascii="黑体" w:hAnsi="黑体" w:eastAsia="黑体"/>
          <w:b w:val="0"/>
        </w:rPr>
      </w:pPr>
    </w:p>
    <w:p>
      <w:pPr>
        <w:pStyle w:val="2"/>
        <w:rPr>
          <w:rStyle w:val="26"/>
          <w:rFonts w:ascii="黑体" w:hAnsi="黑体" w:eastAsia="黑体"/>
          <w:b w:val="0"/>
        </w:rPr>
      </w:pPr>
    </w:p>
    <w:p>
      <w:pPr>
        <w:spacing w:line="600" w:lineRule="exact"/>
        <w:jc w:val="center"/>
        <w:outlineLvl w:val="9"/>
        <w:rPr>
          <w:rStyle w:val="26"/>
          <w:rFonts w:ascii="黑体" w:hAnsi="黑体" w:eastAsia="黑体"/>
          <w:b w:val="0"/>
        </w:rPr>
      </w:pPr>
    </w:p>
    <w:p>
      <w:pPr>
        <w:spacing w:line="600" w:lineRule="exact"/>
        <w:jc w:val="center"/>
        <w:outlineLvl w:val="0"/>
        <w:rPr>
          <w:rStyle w:val="26"/>
          <w:rFonts w:ascii="黑体" w:hAnsi="黑体" w:eastAsia="黑体"/>
          <w:b w:val="0"/>
        </w:rPr>
      </w:pPr>
      <w:bookmarkStart w:id="79" w:name="_Toc6704"/>
      <w:bookmarkStart w:id="80" w:name="_Toc15396618"/>
      <w:r>
        <w:rPr>
          <w:rFonts w:hint="eastAsia" w:ascii="黑体" w:hAnsi="黑体" w:eastAsia="黑体"/>
          <w:color w:val="000000"/>
          <w:sz w:val="44"/>
          <w:szCs w:val="44"/>
        </w:rPr>
        <w:t>第</w:t>
      </w:r>
      <w:r>
        <w:rPr>
          <w:rStyle w:val="26"/>
          <w:rFonts w:hint="eastAsia" w:ascii="黑体" w:hAnsi="黑体" w:eastAsia="黑体"/>
          <w:b w:val="0"/>
        </w:rPr>
        <w:t>五部分</w:t>
      </w:r>
      <w:r>
        <w:rPr>
          <w:rStyle w:val="26"/>
          <w:rFonts w:ascii="黑体" w:hAnsi="黑体" w:eastAsia="黑体"/>
          <w:b w:val="0"/>
        </w:rPr>
        <w:t xml:space="preserve"> </w:t>
      </w:r>
      <w:r>
        <w:rPr>
          <w:rStyle w:val="26"/>
          <w:rFonts w:hint="eastAsia" w:ascii="黑体" w:hAnsi="黑体" w:eastAsia="黑体"/>
          <w:b w:val="0"/>
        </w:rPr>
        <w:t>附表</w:t>
      </w:r>
      <w:bookmarkEnd w:id="68"/>
      <w:bookmarkEnd w:id="79"/>
      <w:bookmarkEnd w:id="80"/>
    </w:p>
    <w:p>
      <w:pPr>
        <w:spacing w:line="600" w:lineRule="exact"/>
        <w:jc w:val="center"/>
        <w:outlineLvl w:val="9"/>
        <w:rPr>
          <w:rFonts w:ascii="仿宋" w:hAnsi="仿宋" w:eastAsia="仿宋"/>
          <w:b/>
          <w:color w:val="000000"/>
          <w:sz w:val="44"/>
          <w:szCs w:val="44"/>
        </w:rPr>
      </w:pPr>
    </w:p>
    <w:p>
      <w:pPr>
        <w:pStyle w:val="5"/>
        <w:rPr>
          <w:rFonts w:ascii="仿宋" w:hAnsi="仿宋" w:eastAsia="仿宋"/>
          <w:color w:val="000000"/>
        </w:rPr>
      </w:pPr>
      <w:bookmarkStart w:id="81"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81"/>
    </w:p>
    <w:p>
      <w:pPr>
        <w:pStyle w:val="5"/>
        <w:rPr>
          <w:rFonts w:ascii="仿宋" w:hAnsi="仿宋" w:eastAsia="仿宋"/>
          <w:color w:val="000000"/>
        </w:rPr>
      </w:pPr>
      <w:bookmarkStart w:id="82" w:name="_Toc15396620"/>
      <w:r>
        <w:rPr>
          <w:rFonts w:hint="eastAsia" w:ascii="仿宋" w:hAnsi="仿宋" w:eastAsia="仿宋"/>
          <w:b w:val="0"/>
          <w:color w:val="000000"/>
        </w:rPr>
        <w:t>二、收</w:t>
      </w:r>
      <w:r>
        <w:rPr>
          <w:rStyle w:val="27"/>
          <w:rFonts w:hint="eastAsia" w:ascii="仿宋" w:hAnsi="仿宋" w:eastAsia="仿宋"/>
          <w:b w:val="0"/>
          <w:bCs w:val="0"/>
        </w:rPr>
        <w:t>入决算表</w:t>
      </w:r>
      <w:bookmarkEnd w:id="82"/>
    </w:p>
    <w:p>
      <w:pPr>
        <w:pStyle w:val="5"/>
        <w:rPr>
          <w:rFonts w:ascii="仿宋" w:hAnsi="仿宋" w:eastAsia="仿宋"/>
          <w:color w:val="000000"/>
        </w:rPr>
      </w:pPr>
      <w:bookmarkStart w:id="83"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83"/>
    </w:p>
    <w:p>
      <w:pPr>
        <w:pStyle w:val="5"/>
        <w:rPr>
          <w:rFonts w:ascii="仿宋" w:hAnsi="仿宋" w:eastAsia="仿宋"/>
          <w:b w:val="0"/>
          <w:color w:val="000000"/>
        </w:rPr>
      </w:pPr>
      <w:bookmarkStart w:id="84"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84"/>
    </w:p>
    <w:p>
      <w:pPr>
        <w:pStyle w:val="5"/>
        <w:rPr>
          <w:rStyle w:val="27"/>
          <w:rFonts w:ascii="仿宋" w:hAnsi="仿宋" w:eastAsia="仿宋"/>
          <w:b w:val="0"/>
          <w:bCs w:val="0"/>
        </w:rPr>
      </w:pPr>
      <w:bookmarkStart w:id="85"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85"/>
      <w:bookmarkStart w:id="86" w:name="_Toc15396624"/>
    </w:p>
    <w:p>
      <w:pPr>
        <w:pStyle w:val="5"/>
        <w:rPr>
          <w:rFonts w:ascii="仿宋" w:hAnsi="仿宋" w:eastAsia="仿宋"/>
          <w:color w:val="000000"/>
        </w:rPr>
      </w:pPr>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86"/>
    </w:p>
    <w:p>
      <w:pPr>
        <w:pStyle w:val="5"/>
        <w:rPr>
          <w:rFonts w:ascii="仿宋" w:hAnsi="仿宋" w:eastAsia="仿宋"/>
          <w:color w:val="000000"/>
        </w:rPr>
      </w:pPr>
      <w:bookmarkStart w:id="87"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87"/>
    </w:p>
    <w:p>
      <w:pPr>
        <w:pStyle w:val="5"/>
        <w:rPr>
          <w:rFonts w:ascii="仿宋" w:hAnsi="仿宋" w:eastAsia="仿宋"/>
          <w:color w:val="000000"/>
        </w:rPr>
      </w:pPr>
      <w:bookmarkStart w:id="88"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88"/>
    </w:p>
    <w:p>
      <w:pPr>
        <w:pStyle w:val="5"/>
        <w:rPr>
          <w:rFonts w:ascii="仿宋" w:hAnsi="仿宋" w:eastAsia="仿宋"/>
          <w:color w:val="000000"/>
        </w:rPr>
      </w:pPr>
      <w:bookmarkStart w:id="89"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89"/>
    </w:p>
    <w:p>
      <w:pPr>
        <w:pStyle w:val="5"/>
        <w:rPr>
          <w:rFonts w:ascii="仿宋" w:hAnsi="仿宋" w:eastAsia="仿宋"/>
          <w:color w:val="000000"/>
        </w:rPr>
      </w:pPr>
      <w:bookmarkStart w:id="90"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90"/>
    </w:p>
    <w:p>
      <w:pPr>
        <w:pStyle w:val="5"/>
        <w:rPr>
          <w:rFonts w:ascii="仿宋" w:hAnsi="仿宋" w:eastAsia="仿宋"/>
          <w:color w:val="000000"/>
        </w:rPr>
      </w:pPr>
      <w:bookmarkStart w:id="91"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91"/>
    </w:p>
    <w:p>
      <w:pPr>
        <w:pStyle w:val="5"/>
        <w:rPr>
          <w:rFonts w:ascii="仿宋" w:hAnsi="仿宋" w:eastAsia="仿宋"/>
          <w:color w:val="000000"/>
        </w:rPr>
      </w:pPr>
      <w:bookmarkStart w:id="92"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92"/>
    </w:p>
    <w:p>
      <w:pPr>
        <w:pStyle w:val="5"/>
        <w:rPr>
          <w:rFonts w:ascii="仿宋" w:hAnsi="仿宋" w:eastAsia="仿宋"/>
          <w:color w:val="000000"/>
        </w:rPr>
      </w:pPr>
      <w:bookmarkStart w:id="93"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有资本经营预算财政拨款支出决算表</w:t>
      </w:r>
      <w:bookmarkEnd w:id="93"/>
    </w:p>
    <w:sectPr>
      <w:pgSz w:w="11906" w:h="16838"/>
      <w:pgMar w:top="1440" w:right="180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Lucida Sans">
    <w:panose1 w:val="020B0602030504020204"/>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3</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fldChar w:fldCharType="begin"/>
                          </w:r>
                          <w:r>
                            <w:instrText xml:space="preserve">PAGE   \* MERGEFORMAT</w:instrText>
                          </w:r>
                          <w:r>
                            <w:fldChar w:fldCharType="separate"/>
                          </w:r>
                          <w:r>
                            <w:rPr>
                              <w:lang w:val="zh-CN"/>
                            </w:rP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3</w:t>
                    </w:r>
                    <w:r>
                      <w:fldChar w:fldCharType="end"/>
                    </w: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406564"/>
    <w:multiLevelType w:val="singleLevel"/>
    <w:tmpl w:val="C3406564"/>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0F470F4E"/>
    <w:multiLevelType w:val="singleLevel"/>
    <w:tmpl w:val="0F470F4E"/>
    <w:lvl w:ilvl="0" w:tentative="0">
      <w:start w:val="1"/>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5">
    <w:nsid w:val="564FA229"/>
    <w:multiLevelType w:val="singleLevel"/>
    <w:tmpl w:val="564FA229"/>
    <w:lvl w:ilvl="0" w:tentative="0">
      <w:start w:val="1"/>
      <w:numFmt w:val="decimal"/>
      <w:lvlText w:val="%1."/>
      <w:lvlJc w:val="left"/>
      <w:pPr>
        <w:tabs>
          <w:tab w:val="left" w:pos="312"/>
        </w:tabs>
      </w:pPr>
    </w:lvl>
  </w:abstractNum>
  <w:abstractNum w:abstractNumId="6">
    <w:nsid w:val="5EC34B49"/>
    <w:multiLevelType w:val="singleLevel"/>
    <w:tmpl w:val="5EC34B49"/>
    <w:lvl w:ilvl="0" w:tentative="0">
      <w:start w:val="1"/>
      <w:numFmt w:val="chineseCounting"/>
      <w:suff w:val="nothing"/>
      <w:lvlText w:val="（%1）"/>
      <w:lvlJc w:val="left"/>
      <w:rPr>
        <w:rFonts w:hint="eastAsia"/>
      </w:rPr>
    </w:lvl>
  </w:abstractNum>
  <w:abstractNum w:abstractNumId="7">
    <w:nsid w:val="62621CDC"/>
    <w:multiLevelType w:val="multilevel"/>
    <w:tmpl w:val="62621CDC"/>
    <w:lvl w:ilvl="0" w:tentative="0">
      <w:start w:val="1"/>
      <w:numFmt w:val="decimal"/>
      <w:lvlText w:val="%1."/>
      <w:lvlJc w:val="left"/>
      <w:pPr>
        <w:ind w:left="1320" w:hanging="480"/>
      </w:pPr>
      <w:rPr>
        <w:rFonts w:hint="default" w:cs="Times New Roman"/>
      </w:rPr>
    </w:lvl>
    <w:lvl w:ilvl="1" w:tentative="0">
      <w:start w:val="1"/>
      <w:numFmt w:val="lowerLetter"/>
      <w:lvlText w:val="%2)"/>
      <w:lvlJc w:val="left"/>
      <w:pPr>
        <w:ind w:left="1512" w:hanging="420"/>
      </w:pPr>
      <w:rPr>
        <w:rFonts w:cs="Times New Roman"/>
      </w:rPr>
    </w:lvl>
    <w:lvl w:ilvl="2" w:tentative="0">
      <w:start w:val="1"/>
      <w:numFmt w:val="lowerRoman"/>
      <w:lvlText w:val="%3."/>
      <w:lvlJc w:val="right"/>
      <w:pPr>
        <w:ind w:left="1932" w:hanging="420"/>
      </w:pPr>
      <w:rPr>
        <w:rFonts w:cs="Times New Roman"/>
      </w:rPr>
    </w:lvl>
    <w:lvl w:ilvl="3" w:tentative="0">
      <w:start w:val="1"/>
      <w:numFmt w:val="decimal"/>
      <w:lvlText w:val="%4."/>
      <w:lvlJc w:val="left"/>
      <w:pPr>
        <w:ind w:left="2352" w:hanging="420"/>
      </w:pPr>
      <w:rPr>
        <w:rFonts w:cs="Times New Roman"/>
      </w:rPr>
    </w:lvl>
    <w:lvl w:ilvl="4" w:tentative="0">
      <w:start w:val="1"/>
      <w:numFmt w:val="lowerLetter"/>
      <w:lvlText w:val="%5)"/>
      <w:lvlJc w:val="left"/>
      <w:pPr>
        <w:ind w:left="2772" w:hanging="420"/>
      </w:pPr>
      <w:rPr>
        <w:rFonts w:cs="Times New Roman"/>
      </w:rPr>
    </w:lvl>
    <w:lvl w:ilvl="5" w:tentative="0">
      <w:start w:val="1"/>
      <w:numFmt w:val="lowerRoman"/>
      <w:lvlText w:val="%6."/>
      <w:lvlJc w:val="right"/>
      <w:pPr>
        <w:ind w:left="3192" w:hanging="420"/>
      </w:pPr>
      <w:rPr>
        <w:rFonts w:cs="Times New Roman"/>
      </w:rPr>
    </w:lvl>
    <w:lvl w:ilvl="6" w:tentative="0">
      <w:start w:val="1"/>
      <w:numFmt w:val="decimal"/>
      <w:lvlText w:val="%7."/>
      <w:lvlJc w:val="left"/>
      <w:pPr>
        <w:ind w:left="3612" w:hanging="420"/>
      </w:pPr>
      <w:rPr>
        <w:rFonts w:cs="Times New Roman"/>
      </w:rPr>
    </w:lvl>
    <w:lvl w:ilvl="7" w:tentative="0">
      <w:start w:val="1"/>
      <w:numFmt w:val="lowerLetter"/>
      <w:lvlText w:val="%8)"/>
      <w:lvlJc w:val="left"/>
      <w:pPr>
        <w:ind w:left="4032" w:hanging="420"/>
      </w:pPr>
      <w:rPr>
        <w:rFonts w:cs="Times New Roman"/>
      </w:rPr>
    </w:lvl>
    <w:lvl w:ilvl="8" w:tentative="0">
      <w:start w:val="1"/>
      <w:numFmt w:val="lowerRoman"/>
      <w:lvlText w:val="%9."/>
      <w:lvlJc w:val="right"/>
      <w:pPr>
        <w:ind w:left="4452" w:hanging="420"/>
      </w:pPr>
      <w:rPr>
        <w:rFonts w:cs="Times New Roman"/>
      </w:rPr>
    </w:lvl>
  </w:abstractNum>
  <w:num w:numId="1">
    <w:abstractNumId w:val="7"/>
  </w:num>
  <w:num w:numId="2">
    <w:abstractNumId w:val="4"/>
  </w:num>
  <w:num w:numId="3">
    <w:abstractNumId w:val="5"/>
  </w:num>
  <w:num w:numId="4">
    <w:abstractNumId w:val="1"/>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15301"/>
    <w:rsid w:val="001319E1"/>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626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69D7"/>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D8"/>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0E4E"/>
    <w:rsid w:val="00B944D6"/>
    <w:rsid w:val="00B965DC"/>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2CAD"/>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60EF"/>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B6759C"/>
    <w:rsid w:val="030F32FB"/>
    <w:rsid w:val="05543C99"/>
    <w:rsid w:val="06140370"/>
    <w:rsid w:val="0A2032A3"/>
    <w:rsid w:val="0F8531ED"/>
    <w:rsid w:val="10C055FF"/>
    <w:rsid w:val="118107EC"/>
    <w:rsid w:val="13EA25AB"/>
    <w:rsid w:val="1580333C"/>
    <w:rsid w:val="16BB723D"/>
    <w:rsid w:val="1D155CEE"/>
    <w:rsid w:val="23085DA8"/>
    <w:rsid w:val="23C977C5"/>
    <w:rsid w:val="240371BF"/>
    <w:rsid w:val="261610DB"/>
    <w:rsid w:val="26440AD4"/>
    <w:rsid w:val="27300598"/>
    <w:rsid w:val="299B3376"/>
    <w:rsid w:val="29FD04D3"/>
    <w:rsid w:val="2ABE26EE"/>
    <w:rsid w:val="2B302DE3"/>
    <w:rsid w:val="2C473B4A"/>
    <w:rsid w:val="2EB2134A"/>
    <w:rsid w:val="319F7F4E"/>
    <w:rsid w:val="32F24425"/>
    <w:rsid w:val="3C834280"/>
    <w:rsid w:val="4D4557CE"/>
    <w:rsid w:val="4ECE2238"/>
    <w:rsid w:val="4EE53301"/>
    <w:rsid w:val="501D21C6"/>
    <w:rsid w:val="50BE139E"/>
    <w:rsid w:val="602F0C55"/>
    <w:rsid w:val="6385666C"/>
    <w:rsid w:val="638D3A4D"/>
    <w:rsid w:val="67142BF5"/>
    <w:rsid w:val="6C4A05C8"/>
    <w:rsid w:val="714546FB"/>
    <w:rsid w:val="72734D90"/>
    <w:rsid w:val="774F27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7"/>
    <w:unhideWhenUsed/>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left="420" w:leftChars="200"/>
    </w:pPr>
  </w:style>
  <w:style w:type="paragraph" w:styleId="7">
    <w:name w:val="Body Text"/>
    <w:basedOn w:val="1"/>
    <w:link w:val="23"/>
    <w:qFormat/>
    <w:uiPriority w:val="99"/>
    <w:pPr>
      <w:spacing w:beforeLines="30"/>
    </w:pPr>
    <w:rPr>
      <w:rFonts w:ascii="仿宋_GB2312" w:eastAsia="仿宋_GB2312"/>
      <w:kern w:val="0"/>
      <w:sz w:val="24"/>
      <w:szCs w:val="2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0"/>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20"/>
    </w:rPr>
  </w:style>
  <w:style w:type="paragraph" w:styleId="11">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Autospacing="1" w:afterAutospacing="1"/>
      <w:jc w:val="left"/>
    </w:pPr>
    <w:rPr>
      <w:rFonts w:cs="Times New Roman"/>
      <w:kern w:val="0"/>
      <w:sz w:val="24"/>
    </w:rPr>
  </w:style>
  <w:style w:type="character" w:styleId="17">
    <w:name w:val="Strong"/>
    <w:basedOn w:val="16"/>
    <w:qFormat/>
    <w:uiPriority w:val="99"/>
    <w:rPr>
      <w:rFonts w:cs="Times New Roman"/>
      <w:b/>
    </w:rPr>
  </w:style>
  <w:style w:type="character" w:styleId="18">
    <w:name w:val="FollowedHyperlink"/>
    <w:basedOn w:val="16"/>
    <w:semiHidden/>
    <w:unhideWhenUsed/>
    <w:qFormat/>
    <w:uiPriority w:val="99"/>
    <w:rPr>
      <w:color w:val="800080"/>
      <w:u w:val="none"/>
    </w:rPr>
  </w:style>
  <w:style w:type="character" w:styleId="19">
    <w:name w:val="Hyperlink"/>
    <w:basedOn w:val="16"/>
    <w:unhideWhenUsed/>
    <w:qFormat/>
    <w:uiPriority w:val="99"/>
    <w:rPr>
      <w:rFonts w:cs="Times New Roman"/>
      <w:color w:val="0000FF"/>
      <w:u w:val="single"/>
    </w:rPr>
  </w:style>
  <w:style w:type="character" w:customStyle="1" w:styleId="20">
    <w:name w:val=" Char Char2"/>
    <w:basedOn w:val="16"/>
    <w:link w:val="9"/>
    <w:semiHidden/>
    <w:qFormat/>
    <w:locked/>
    <w:uiPriority w:val="99"/>
    <w:rPr>
      <w:rFonts w:ascii="Times New Roman" w:hAnsi="Times New Roman" w:cs="Times New Roman"/>
      <w:kern w:val="2"/>
      <w:sz w:val="18"/>
      <w:szCs w:val="18"/>
    </w:rPr>
  </w:style>
  <w:style w:type="character" w:customStyle="1" w:styleId="21">
    <w:name w:val="Header Char"/>
    <w:basedOn w:val="16"/>
    <w:semiHidden/>
    <w:qFormat/>
    <w:uiPriority w:val="99"/>
    <w:rPr>
      <w:rFonts w:ascii="Times New Roman" w:hAnsi="Times New Roman" w:cs="Times New Roman"/>
      <w:sz w:val="18"/>
      <w:szCs w:val="18"/>
    </w:rPr>
  </w:style>
  <w:style w:type="character" w:customStyle="1" w:styleId="22">
    <w:name w:val=" Char Char1"/>
    <w:link w:val="10"/>
    <w:qFormat/>
    <w:locked/>
    <w:uiPriority w:val="99"/>
    <w:rPr>
      <w:sz w:val="18"/>
    </w:rPr>
  </w:style>
  <w:style w:type="character" w:customStyle="1" w:styleId="23">
    <w:name w:val=" Char Char3"/>
    <w:link w:val="7"/>
    <w:qFormat/>
    <w:locked/>
    <w:uiPriority w:val="99"/>
    <w:rPr>
      <w:rFonts w:ascii="仿宋_GB2312" w:hAnsi="Times New Roman" w:eastAsia="仿宋_GB2312"/>
      <w:sz w:val="24"/>
    </w:rPr>
  </w:style>
  <w:style w:type="character" w:customStyle="1" w:styleId="24">
    <w:name w:val=" Char Char"/>
    <w:link w:val="11"/>
    <w:semiHidden/>
    <w:qFormat/>
    <w:locked/>
    <w:uiPriority w:val="99"/>
    <w:rPr>
      <w:sz w:val="18"/>
    </w:rPr>
  </w:style>
  <w:style w:type="character" w:customStyle="1" w:styleId="25">
    <w:name w:val="Body Text Char"/>
    <w:basedOn w:val="16"/>
    <w:semiHidden/>
    <w:qFormat/>
    <w:uiPriority w:val="99"/>
    <w:rPr>
      <w:rFonts w:ascii="Times New Roman" w:hAnsi="Times New Roman" w:cs="Times New Roman"/>
      <w:sz w:val="24"/>
      <w:szCs w:val="24"/>
    </w:rPr>
  </w:style>
  <w:style w:type="character" w:customStyle="1" w:styleId="26">
    <w:name w:val=" Char Char6"/>
    <w:basedOn w:val="16"/>
    <w:link w:val="4"/>
    <w:qFormat/>
    <w:locked/>
    <w:uiPriority w:val="9"/>
    <w:rPr>
      <w:rFonts w:ascii="Times New Roman" w:hAnsi="Times New Roman" w:cs="Times New Roman"/>
      <w:b/>
      <w:bCs/>
      <w:kern w:val="44"/>
      <w:sz w:val="44"/>
      <w:szCs w:val="44"/>
    </w:rPr>
  </w:style>
  <w:style w:type="character" w:customStyle="1" w:styleId="27">
    <w:name w:val=" Char Char5"/>
    <w:basedOn w:val="16"/>
    <w:link w:val="5"/>
    <w:qFormat/>
    <w:locked/>
    <w:uiPriority w:val="9"/>
    <w:rPr>
      <w:rFonts w:ascii="Cambria" w:hAnsi="Cambria" w:eastAsia="宋体" w:cs="Times New Roman"/>
      <w:b/>
      <w:bCs/>
      <w:kern w:val="2"/>
      <w:sz w:val="32"/>
      <w:szCs w:val="32"/>
    </w:rPr>
  </w:style>
  <w:style w:type="character" w:customStyle="1" w:styleId="28">
    <w:name w:val=" Char Char4"/>
    <w:basedOn w:val="16"/>
    <w:link w:val="6"/>
    <w:qFormat/>
    <w:locked/>
    <w:uiPriority w:val="9"/>
    <w:rPr>
      <w:rFonts w:ascii="Times New Roman" w:hAnsi="Times New Roman" w:cs="Times New Roman"/>
      <w:b/>
      <w:bCs/>
      <w:kern w:val="2"/>
      <w:sz w:val="32"/>
      <w:szCs w:val="32"/>
    </w:rPr>
  </w:style>
  <w:style w:type="character" w:customStyle="1" w:styleId="29">
    <w:name w:val="Footer Char"/>
    <w:basedOn w:val="16"/>
    <w:semiHidden/>
    <w:qFormat/>
    <w:uiPriority w:val="99"/>
    <w:rPr>
      <w:rFonts w:ascii="Times New Roman" w:hAnsi="Times New Roman" w:cs="Times New Roman"/>
      <w:sz w:val="18"/>
      <w:szCs w:val="18"/>
    </w:rPr>
  </w:style>
  <w:style w:type="paragraph" w:customStyle="1" w:styleId="30">
    <w:name w:val="List Paragraph"/>
    <w:basedOn w:val="1"/>
    <w:qFormat/>
    <w:uiPriority w:val="34"/>
    <w:pPr>
      <w:ind w:firstLine="420" w:firstLineChars="200"/>
    </w:pPr>
  </w:style>
  <w:style w:type="paragraph" w:customStyle="1" w:styleId="31">
    <w:name w:val="TOC 标题1"/>
    <w:basedOn w:val="4"/>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2">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33">
    <w:name w:val="TOC Heading1"/>
    <w:basedOn w:val="4"/>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Users\Administrator\Desktop\&#20915;&#31639;&#20844;&#24320;&#22270;&#26631;&#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Users\Administrator\Desktop\&#20915;&#31639;&#20844;&#24320;&#22270;&#26631;&#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Users\Administrator\Desktop\&#20915;&#31639;&#20844;&#24320;&#22270;&#26631;&#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D:\Users\Administrator\Desktop\&#20915;&#31639;&#20844;&#24320;&#22270;&#26631;&#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Users\Administrator\Desktop\&#20915;&#31639;&#20844;&#24320;&#22270;&#26631;&#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Users\Administrator\Desktop\&#20915;&#31639;&#20844;&#24320;&#22270;&#26631;&#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Users\Administrator\Desktop\&#20915;&#31639;&#20844;&#24320;&#22270;&#26631;&#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534858255262197"/>
          <c:y val="0.18551724137931"/>
          <c:w val="0.780070568195644"/>
          <c:h val="0.713655172413793"/>
        </c:manualLayout>
      </c:layout>
      <c:barChart>
        <c:barDir val="col"/>
        <c:grouping val="clustered"/>
        <c:varyColors val="false"/>
        <c:ser>
          <c:idx val="0"/>
          <c:order val="0"/>
          <c:tx>
            <c:strRef>
              <c:f>[决算公开图标表.xlsx]Sheet1!$A$9</c:f>
              <c:strCache>
                <c:ptCount val="1"/>
                <c:pt idx="0">
                  <c:v>收入</c:v>
                </c:pt>
              </c:strCache>
            </c:strRef>
          </c:tx>
          <c:spPr>
            <a:solidFill>
              <a:srgbClr val="4F81BD"/>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errBars>
            <c:errBarType val="both"/>
            <c:errValType val="stdErr"/>
            <c:noEndCap val="false"/>
            <c:spPr>
              <a:noFill/>
              <a:ln w="9525" cap="flat" cmpd="sng" algn="ctr">
                <a:solidFill>
                  <a:srgbClr val="595959">
                    <a:lumMod val="65000"/>
                    <a:lumOff val="35000"/>
                  </a:srgbClr>
                </a:solidFill>
                <a:round/>
              </a:ln>
              <a:effectLst/>
            </c:spPr>
          </c:errBars>
          <c:val>
            <c:numRef>
              <c:f>[决算公开图标表.xlsx]Sheet1!$B$9:$C$9</c:f>
              <c:numCache>
                <c:formatCode>General</c:formatCode>
                <c:ptCount val="2"/>
                <c:pt idx="0">
                  <c:v>1690.22</c:v>
                </c:pt>
                <c:pt idx="1">
                  <c:v>1471.64</c:v>
                </c:pt>
              </c:numCache>
            </c:numRef>
          </c:val>
        </c:ser>
        <c:ser>
          <c:idx val="1"/>
          <c:order val="1"/>
          <c:tx>
            <c:strRef>
              <c:f>[决算公开图标表.xlsx]Sheet1!$A$10</c:f>
              <c:strCache>
                <c:ptCount val="1"/>
                <c:pt idx="0">
                  <c:v>支出</c:v>
                </c:pt>
              </c:strCache>
            </c:strRef>
          </c:tx>
          <c:spPr>
            <a:solidFill>
              <a:srgbClr val="C0504D"/>
            </a:solidFill>
            <a:ln>
              <a:solidFill>
                <a:srgbClr val="4F81BD"/>
              </a:solid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errBars>
            <c:errBarType val="both"/>
            <c:errValType val="stdErr"/>
            <c:noEndCap val="false"/>
            <c:spPr>
              <a:noFill/>
              <a:ln w="9525" cap="flat" cmpd="sng" algn="ctr">
                <a:solidFill>
                  <a:srgbClr val="595959">
                    <a:lumMod val="65000"/>
                    <a:lumOff val="35000"/>
                  </a:srgbClr>
                </a:solidFill>
                <a:round/>
              </a:ln>
              <a:effectLst/>
            </c:spPr>
          </c:errBars>
          <c:val>
            <c:numRef>
              <c:f>[决算公开图标表.xlsx]Sheet1!$B$10:$C$10</c:f>
              <c:numCache>
                <c:formatCode>General</c:formatCode>
                <c:ptCount val="2"/>
                <c:pt idx="0">
                  <c:v>1342.29</c:v>
                </c:pt>
                <c:pt idx="1">
                  <c:v>1424.86</c:v>
                </c:pt>
              </c:numCache>
            </c:numRef>
          </c:val>
        </c:ser>
        <c:dLbls>
          <c:showLegendKey val="false"/>
          <c:showVal val="true"/>
          <c:showCatName val="false"/>
          <c:showSerName val="false"/>
          <c:showPercent val="false"/>
          <c:showBubbleSize val="false"/>
        </c:dLbls>
        <c:gapWidth val="219"/>
        <c:overlap val="-27"/>
        <c:axId val="883418025"/>
        <c:axId val="144222093"/>
      </c:barChart>
      <c:catAx>
        <c:axId val="883418025"/>
        <c:scaling>
          <c:orientation val="minMax"/>
        </c:scaling>
        <c:delete val="false"/>
        <c:axPos val="b"/>
        <c:majorTickMark val="out"/>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crossAx val="144222093"/>
        <c:crosses val="autoZero"/>
        <c:auto val="true"/>
        <c:lblAlgn val="ctr"/>
        <c:lblOffset val="100"/>
        <c:noMultiLvlLbl val="false"/>
      </c:catAx>
      <c:valAx>
        <c:axId val="144222093"/>
        <c:scaling>
          <c:orientation val="minMax"/>
        </c:scaling>
        <c:delete val="false"/>
        <c:axPos val="l"/>
        <c:majorGridlines>
          <c:spPr>
            <a:ln w="9525" cap="flat" cmpd="sng" algn="ctr">
              <a:solidFill>
                <a:srgbClr val="D9D9D9">
                  <a:lumMod val="15000"/>
                  <a:lumOff val="85000"/>
                </a:srgb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crossAx val="883418025"/>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
    <c:plotVisOnly val="true"/>
    <c:dispBlanksAs val="gap"/>
    <c:showDLblsOverMax val="false"/>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c:explosion val="0"/>
          <c:dPt>
            <c:idx val="0"/>
            <c:bubble3D val="false"/>
            <c:spPr>
              <a:solidFill>
                <a:srgbClr val="4F81BD"/>
              </a:solidFill>
              <a:ln w="19050">
                <a:solidFill>
                  <a:srgbClr val="FFFFFF"/>
                </a:solidFill>
              </a:ln>
              <a:effectLst/>
            </c:spPr>
          </c:dPt>
          <c:dPt>
            <c:idx val="1"/>
            <c:bubble3D val="false"/>
            <c:spPr>
              <a:solidFill>
                <a:srgbClr val="C0504D"/>
              </a:solidFill>
              <a:ln w="19050">
                <a:solidFill>
                  <a:srgbClr val="FFFFFF"/>
                </a:solidFill>
              </a:ln>
              <a:effectLst/>
            </c:spPr>
          </c:dPt>
          <c:dPt>
            <c:idx val="2"/>
            <c:bubble3D val="false"/>
            <c:spPr>
              <a:solidFill>
                <a:srgbClr val="9BBB59"/>
              </a:solidFill>
              <a:ln w="19050">
                <a:solidFill>
                  <a:srgbClr val="FFFFFF"/>
                </a:solidFill>
              </a:ln>
              <a:effectLst/>
            </c:spPr>
          </c:dPt>
          <c:dPt>
            <c:idx val="3"/>
            <c:bubble3D val="false"/>
            <c:spPr>
              <a:solidFill>
                <a:srgbClr val="8064A2"/>
              </a:solidFill>
              <a:ln w="19050">
                <a:solidFill>
                  <a:srgbClr val="FFFFFF"/>
                </a:solidFill>
              </a:ln>
              <a:effectLst/>
            </c:spPr>
          </c:dPt>
          <c:dPt>
            <c:idx val="4"/>
            <c:bubble3D val="false"/>
            <c:spPr>
              <a:solidFill>
                <a:srgbClr val="4BACC6"/>
              </a:solidFill>
              <a:ln w="19050">
                <a:solidFill>
                  <a:srgbClr val="FFFFFF"/>
                </a:solidFill>
              </a:ln>
              <a:effectLst/>
            </c:spPr>
          </c:dPt>
          <c:dPt>
            <c:idx val="5"/>
            <c:bubble3D val="false"/>
            <c:spPr>
              <a:solidFill>
                <a:srgbClr val="F79646"/>
              </a:solidFill>
              <a:ln w="19050">
                <a:solidFill>
                  <a:srgbClr val="FFFFFF"/>
                </a:solidFill>
              </a:ln>
              <a:effectLst/>
            </c:spPr>
          </c:dPt>
          <c:dPt>
            <c:idx val="6"/>
            <c:bubble3D val="false"/>
            <c:spPr>
              <a:solidFill>
                <a:srgbClr val="2C4D75">
                  <a:lumMod val="60000"/>
                </a:srgbClr>
              </a:solidFill>
              <a:ln w="19050">
                <a:solidFill>
                  <a:srgbClr val="FFFFFF"/>
                </a:solid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rgbClr val="404040">
                            <a:lumMod val="75000"/>
                            <a:lumOff val="25000"/>
                          </a:srgbClr>
                        </a:solidFill>
                        <a:latin typeface="+mn-lt"/>
                        <a:ea typeface="+mn-ea"/>
                        <a:cs typeface="+mn-cs"/>
                      </a:defRPr>
                    </a:pPr>
                    <a:r>
                      <a:t>1471.64,</a:t>
                    </a:r>
                  </a:p>
                  <a:p>
                    <a:pPr defTabSz="914400">
                      <a:defRPr lang="zh-CN" sz="900" b="0" i="0" u="none" strike="noStrike" kern="1200" baseline="0">
                        <a:solidFill>
                          <a:srgbClr val="404040">
                            <a:lumMod val="75000"/>
                            <a:lumOff val="25000"/>
                          </a:srgbClr>
                        </a:solidFill>
                        <a:latin typeface="+mn-lt"/>
                        <a:ea typeface="+mn-ea"/>
                        <a:cs typeface="+mn-cs"/>
                      </a:defRPr>
                    </a:pPr>
                    <a:r>
                      <a:t> 100%</a:t>
                    </a:r>
                  </a:p>
                </c:rich>
              </c:tx>
              <c:dLblPos val="bestFit"/>
              <c:showLegendKey val="false"/>
              <c:showVal val="tru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cat>
            <c:strRef>
              <c:f>[决算公开图标表.xlsx]Sheet1!$A$15:$A$21</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[决算公开图标表.xlsx]Sheet1!$B$15:$B$21</c:f>
              <c:numCache>
                <c:formatCode>General</c:formatCode>
                <c:ptCount val="7"/>
                <c:pt idx="0">
                  <c:v>1471.64</c:v>
                </c:pt>
                <c:pt idx="1">
                  <c:v>0</c:v>
                </c:pt>
                <c:pt idx="2">
                  <c:v>0</c:v>
                </c:pt>
                <c:pt idx="3">
                  <c:v>0</c:v>
                </c:pt>
                <c:pt idx="4">
                  <c:v>0</c:v>
                </c:pt>
                <c:pt idx="5">
                  <c:v>0</c:v>
                </c:pt>
                <c:pt idx="6">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
    <c:plotVisOnly val="true"/>
    <c:dispBlanksAs val="gap"/>
    <c:showDLblsOverMax val="false"/>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c:explosion val="0"/>
          <c:dPt>
            <c:idx val="0"/>
            <c:bubble3D val="false"/>
            <c:spPr>
              <a:solidFill>
                <a:srgbClr val="4F81BD"/>
              </a:solidFill>
              <a:ln w="19050">
                <a:solidFill>
                  <a:srgbClr val="FFFFFF"/>
                </a:solidFill>
              </a:ln>
              <a:effectLst/>
            </c:spPr>
          </c:dPt>
          <c:dPt>
            <c:idx val="1"/>
            <c:bubble3D val="false"/>
            <c:spPr>
              <a:solidFill>
                <a:srgbClr val="C0504D"/>
              </a:solidFill>
              <a:ln w="19050">
                <a:solidFill>
                  <a:srgbClr val="FFFFFF"/>
                </a:solid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rgbClr val="404040">
                            <a:lumMod val="75000"/>
                            <a:lumOff val="25000"/>
                          </a:srgbClr>
                        </a:solidFill>
                        <a:latin typeface="+mn-lt"/>
                        <a:ea typeface="+mn-ea"/>
                        <a:cs typeface="+mn-cs"/>
                      </a:defRPr>
                    </a:pPr>
                    <a:r>
                      <a:t>884.76, </a:t>
                    </a:r>
                  </a:p>
                  <a:p>
                    <a:pPr defTabSz="914400">
                      <a:defRPr lang="zh-CN" sz="900" b="0" i="0" u="none" strike="noStrike" kern="1200" baseline="0">
                        <a:solidFill>
                          <a:srgbClr val="404040">
                            <a:lumMod val="75000"/>
                            <a:lumOff val="25000"/>
                          </a:srgbClr>
                        </a:solidFill>
                        <a:latin typeface="+mn-lt"/>
                        <a:ea typeface="+mn-ea"/>
                        <a:cs typeface="+mn-cs"/>
                      </a:defRPr>
                    </a:pPr>
                    <a:r>
                      <a:t>6</a:t>
                    </a:r>
                    <a:r>
                      <a:rPr lang="en-US" altLang="zh-CN"/>
                      <a:t>5.91</a:t>
                    </a:r>
                    <a:r>
                      <a:t>%</a:t>
                    </a:r>
                  </a:p>
                </c:rich>
              </c:tx>
              <c:dLblPos val="bestFit"/>
              <c:showLegendKey val="false"/>
              <c:showVal val="true"/>
              <c:showCatName val="false"/>
              <c:showSerName val="false"/>
              <c:showPercent val="tru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rgbClr val="404040">
                            <a:lumMod val="75000"/>
                            <a:lumOff val="25000"/>
                          </a:srgbClr>
                        </a:solidFill>
                        <a:latin typeface="+mn-lt"/>
                        <a:ea typeface="+mn-ea"/>
                        <a:cs typeface="+mn-cs"/>
                      </a:defRPr>
                    </a:pPr>
                    <a:r>
                      <a:t>457.53,</a:t>
                    </a:r>
                  </a:p>
                  <a:p>
                    <a:pPr defTabSz="914400">
                      <a:defRPr lang="zh-CN" sz="900" b="0" i="0" u="none" strike="noStrike" kern="1200" baseline="0">
                        <a:solidFill>
                          <a:srgbClr val="404040">
                            <a:lumMod val="75000"/>
                            <a:lumOff val="25000"/>
                          </a:srgbClr>
                        </a:solidFill>
                        <a:latin typeface="+mn-lt"/>
                        <a:ea typeface="+mn-ea"/>
                        <a:cs typeface="+mn-cs"/>
                      </a:defRPr>
                    </a:pPr>
                    <a:r>
                      <a:t>34</a:t>
                    </a:r>
                    <a:r>
                      <a:rPr lang="en-US" altLang="zh-CN"/>
                      <a:t>.09</a:t>
                    </a:r>
                    <a:r>
                      <a:t>%</a:t>
                    </a:r>
                  </a:p>
                </c:rich>
              </c:tx>
              <c:dLblPos val="bestFit"/>
              <c:showLegendKey val="false"/>
              <c:showVal val="tru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cat>
            <c:strRef>
              <c:f>[决算公开图标表.xlsx]Sheet1!$A$25:$A$26</c:f>
              <c:strCache>
                <c:ptCount val="2"/>
                <c:pt idx="0">
                  <c:v>基本支出</c:v>
                </c:pt>
                <c:pt idx="1">
                  <c:v>项目支出</c:v>
                </c:pt>
              </c:strCache>
            </c:strRef>
          </c:cat>
          <c:val>
            <c:numRef>
              <c:f>[决算公开图标表.xlsx]Sheet1!$B$25:$B$26</c:f>
              <c:numCache>
                <c:formatCode>General</c:formatCode>
                <c:ptCount val="2"/>
                <c:pt idx="0">
                  <c:v>884.76</c:v>
                </c:pt>
                <c:pt idx="1">
                  <c:v>457.53</c:v>
                </c:pt>
              </c:numCache>
            </c:numRef>
          </c:val>
        </c:ser>
        <c:dLbls>
          <c:showLegendKey val="false"/>
          <c:showVal val="tru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
    <c:plotVisOnly val="true"/>
    <c:dispBlanksAs val="gap"/>
    <c:showDLblsOverMax val="false"/>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534858255262197"/>
          <c:y val="0.18551724137931"/>
          <c:w val="0.780070568195644"/>
          <c:h val="0.713655172413793"/>
        </c:manualLayout>
      </c:layout>
      <c:barChart>
        <c:barDir val="col"/>
        <c:grouping val="clustered"/>
        <c:varyColors val="false"/>
        <c:ser>
          <c:idx val="0"/>
          <c:order val="0"/>
          <c:tx>
            <c:strRef>
              <c:f>[决算公开图标表.xlsx]Sheet1!$A$9</c:f>
              <c:strCache>
                <c:ptCount val="1"/>
                <c:pt idx="0">
                  <c:v>收入</c:v>
                </c:pt>
              </c:strCache>
            </c:strRef>
          </c:tx>
          <c:spPr>
            <a:solidFill>
              <a:srgbClr val="4F81BD"/>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errBars>
            <c:errBarType val="both"/>
            <c:errValType val="stdErr"/>
            <c:noEndCap val="false"/>
            <c:spPr>
              <a:noFill/>
              <a:ln w="9525" cap="flat" cmpd="sng" algn="ctr">
                <a:solidFill>
                  <a:srgbClr val="595959">
                    <a:lumMod val="65000"/>
                    <a:lumOff val="35000"/>
                  </a:srgbClr>
                </a:solidFill>
                <a:round/>
              </a:ln>
              <a:effectLst/>
            </c:spPr>
          </c:errBars>
          <c:val>
            <c:numRef>
              <c:f>[决算公开图标表.xlsx]Sheet1!$B$9:$C$9</c:f>
              <c:numCache>
                <c:formatCode>General</c:formatCode>
                <c:ptCount val="2"/>
                <c:pt idx="0">
                  <c:v>1690.22</c:v>
                </c:pt>
                <c:pt idx="1">
                  <c:v>1471.64</c:v>
                </c:pt>
              </c:numCache>
            </c:numRef>
          </c:val>
        </c:ser>
        <c:ser>
          <c:idx val="1"/>
          <c:order val="1"/>
          <c:tx>
            <c:strRef>
              <c:f>[决算公开图标表.xlsx]Sheet1!$A$10</c:f>
              <c:strCache>
                <c:ptCount val="1"/>
                <c:pt idx="0">
                  <c:v>支出</c:v>
                </c:pt>
              </c:strCache>
            </c:strRef>
          </c:tx>
          <c:spPr>
            <a:solidFill>
              <a:srgbClr val="C0504D"/>
            </a:solidFill>
            <a:ln>
              <a:solidFill>
                <a:srgbClr val="4F81BD"/>
              </a:solid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errBars>
            <c:errBarType val="both"/>
            <c:errValType val="stdErr"/>
            <c:noEndCap val="false"/>
            <c:spPr>
              <a:noFill/>
              <a:ln w="9525" cap="flat" cmpd="sng" algn="ctr">
                <a:solidFill>
                  <a:srgbClr val="595959">
                    <a:lumMod val="65000"/>
                    <a:lumOff val="35000"/>
                  </a:srgbClr>
                </a:solidFill>
                <a:round/>
              </a:ln>
              <a:effectLst/>
            </c:spPr>
          </c:errBars>
          <c:val>
            <c:numRef>
              <c:f>[决算公开图标表.xlsx]Sheet1!$B$10:$C$10</c:f>
              <c:numCache>
                <c:formatCode>General</c:formatCode>
                <c:ptCount val="2"/>
                <c:pt idx="0">
                  <c:v>1342.29</c:v>
                </c:pt>
                <c:pt idx="1">
                  <c:v>1424.86</c:v>
                </c:pt>
              </c:numCache>
            </c:numRef>
          </c:val>
        </c:ser>
        <c:dLbls>
          <c:showLegendKey val="false"/>
          <c:showVal val="true"/>
          <c:showCatName val="false"/>
          <c:showSerName val="false"/>
          <c:showPercent val="false"/>
          <c:showBubbleSize val="false"/>
        </c:dLbls>
        <c:gapWidth val="219"/>
        <c:overlap val="-27"/>
        <c:axId val="883418025"/>
        <c:axId val="144222093"/>
      </c:barChart>
      <c:catAx>
        <c:axId val="883418025"/>
        <c:scaling>
          <c:orientation val="minMax"/>
        </c:scaling>
        <c:delete val="false"/>
        <c:axPos val="b"/>
        <c:majorTickMark val="out"/>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crossAx val="144222093"/>
        <c:crosses val="autoZero"/>
        <c:auto val="true"/>
        <c:lblAlgn val="ctr"/>
        <c:lblOffset val="100"/>
        <c:noMultiLvlLbl val="false"/>
      </c:catAx>
      <c:valAx>
        <c:axId val="144222093"/>
        <c:scaling>
          <c:orientation val="minMax"/>
        </c:scaling>
        <c:delete val="false"/>
        <c:axPos val="l"/>
        <c:majorGridlines>
          <c:spPr>
            <a:ln w="9525" cap="flat" cmpd="sng" algn="ctr">
              <a:solidFill>
                <a:srgbClr val="D9D9D9">
                  <a:lumMod val="15000"/>
                  <a:lumOff val="85000"/>
                </a:srgb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crossAx val="883418025"/>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
    <c:plotVisOnly val="true"/>
    <c:dispBlanksAs val="gap"/>
    <c:showDLblsOverMax val="false"/>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spPr>
            <a:solidFill>
              <a:srgbClr val="4F81BD"/>
            </a:solidFill>
            <a:ln>
              <a:noFill/>
            </a:ln>
            <a:effectLst/>
          </c:spPr>
          <c:invertIfNegative val="false"/>
          <c:dLbls>
            <c:dLbl>
              <c:idx val="0"/>
              <c:layout/>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cat>
            <c:strRef>
              <c:f>[决算公开图标表.xlsx]Sheet1!$B$59:$B$60</c:f>
              <c:strCache>
                <c:ptCount val="2"/>
                <c:pt idx="0">
                  <c:v>2019年</c:v>
                </c:pt>
                <c:pt idx="1">
                  <c:v>2020年</c:v>
                </c:pt>
              </c:strCache>
            </c:strRef>
          </c:cat>
          <c:val>
            <c:numRef>
              <c:f>[决算公开图标表.xlsx]Sheet1!$C$59:$C$60</c:f>
              <c:numCache>
                <c:formatCode>General</c:formatCode>
                <c:ptCount val="2"/>
                <c:pt idx="0">
                  <c:v>1424.86</c:v>
                </c:pt>
                <c:pt idx="1">
                  <c:v>1342.29</c:v>
                </c:pt>
              </c:numCache>
            </c:numRef>
          </c:val>
        </c:ser>
        <c:dLbls>
          <c:showLegendKey val="false"/>
          <c:showVal val="false"/>
          <c:showCatName val="false"/>
          <c:showSerName val="false"/>
          <c:showPercent val="false"/>
          <c:showBubbleSize val="false"/>
        </c:dLbls>
        <c:gapWidth val="219"/>
        <c:overlap val="-27"/>
        <c:axId val="916636344"/>
        <c:axId val="681385461"/>
      </c:barChart>
      <c:catAx>
        <c:axId val="916636344"/>
        <c:scaling>
          <c:orientation val="minMax"/>
        </c:scaling>
        <c:delete val="false"/>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crossAx val="681385461"/>
        <c:crosses val="autoZero"/>
        <c:auto val="true"/>
        <c:lblAlgn val="ctr"/>
        <c:lblOffset val="100"/>
        <c:noMultiLvlLbl val="false"/>
      </c:catAx>
      <c:valAx>
        <c:axId val="681385461"/>
        <c:scaling>
          <c:orientation val="minMax"/>
        </c:scaling>
        <c:delete val="false"/>
        <c:axPos val="l"/>
        <c:majorGridlines>
          <c:spPr>
            <a:ln w="9525" cap="flat" cmpd="sng" algn="ctr">
              <a:solidFill>
                <a:srgbClr val="D9D9D9">
                  <a:lumMod val="15000"/>
                  <a:lumOff val="85000"/>
                </a:srgb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crossAx val="916636344"/>
        <c:crosses val="autoZero"/>
        <c:crossBetween val="between"/>
      </c:valAx>
      <c:spPr>
        <a:noFill/>
        <a:ln>
          <a:noFill/>
        </a:ln>
        <a:effectLst/>
      </c:spPr>
    </c:plotArea>
    <c:plotVisOnly val="true"/>
    <c:dispBlanksAs val="gap"/>
    <c:showDLblsOverMax val="false"/>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342583333333333"/>
          <c:y val="0.209166666666667"/>
          <c:w val="0.319"/>
          <c:h val="0.531666666666667"/>
        </c:manualLayout>
      </c:layout>
      <c:pieChart>
        <c:varyColors val="true"/>
        <c:ser>
          <c:idx val="0"/>
          <c:order val="0"/>
          <c:spPr/>
          <c:explosion val="0"/>
          <c:dPt>
            <c:idx val="0"/>
            <c:bubble3D val="false"/>
            <c:explosion val="0"/>
            <c:spPr>
              <a:solidFill>
                <a:srgbClr val="4F81BD"/>
              </a:solidFill>
              <a:ln w="19050">
                <a:solidFill>
                  <a:srgbClr val="FFFFFF"/>
                </a:solidFill>
              </a:ln>
              <a:effectLst/>
            </c:spPr>
          </c:dPt>
          <c:dPt>
            <c:idx val="1"/>
            <c:bubble3D val="false"/>
            <c:spPr>
              <a:solidFill>
                <a:srgbClr val="C0504D"/>
              </a:solidFill>
              <a:ln w="19050">
                <a:solidFill>
                  <a:srgbClr val="FFFFFF"/>
                </a:solidFill>
              </a:ln>
              <a:effectLst/>
            </c:spPr>
          </c:dPt>
          <c:dPt>
            <c:idx val="2"/>
            <c:bubble3D val="false"/>
            <c:spPr>
              <a:solidFill>
                <a:srgbClr val="9BBB59"/>
              </a:solidFill>
              <a:ln w="19050">
                <a:solidFill>
                  <a:srgbClr val="FFFFFF"/>
                </a:solidFill>
              </a:ln>
              <a:effectLst/>
            </c:spPr>
          </c:dPt>
          <c:dPt>
            <c:idx val="3"/>
            <c:bubble3D val="false"/>
            <c:spPr>
              <a:solidFill>
                <a:srgbClr val="8064A2"/>
              </a:solidFill>
              <a:ln w="19050">
                <a:solidFill>
                  <a:srgbClr val="FFFFFF"/>
                </a:solidFill>
              </a:ln>
              <a:effectLst/>
            </c:spPr>
          </c:dPt>
          <c:dPt>
            <c:idx val="4"/>
            <c:bubble3D val="false"/>
            <c:spPr>
              <a:solidFill>
                <a:srgbClr val="4BACC6"/>
              </a:solidFill>
              <a:ln w="19050">
                <a:solidFill>
                  <a:srgbClr val="FFFFFF"/>
                </a:solidFill>
              </a:ln>
              <a:effectLst/>
            </c:spPr>
          </c:dPt>
          <c:dLbls>
            <c:dLbl>
              <c:idx val="1"/>
              <c:layout>
                <c:manualLayout>
                  <c:x val="-0.06875"/>
                  <c:y val="-0.00694444444444444"/>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
                  <c:y val="-0.083333333333333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833333333333333"/>
                  <c:y val="-0.0451388888888889"/>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645833333333333"/>
                  <c:y val="0"/>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cat>
            <c:strRef>
              <c:f>[决算公开图标表.xlsx]Sheet1!$A$67:$A$71</c:f>
              <c:strCache>
                <c:ptCount val="5"/>
                <c:pt idx="0">
                  <c:v>一般公共服务（类）</c:v>
                </c:pt>
                <c:pt idx="1">
                  <c:v>社会保障和就业（类）</c:v>
                </c:pt>
                <c:pt idx="2">
                  <c:v>卫生健康支出</c:v>
                </c:pt>
                <c:pt idx="3">
                  <c:v>住房保障支出</c:v>
                </c:pt>
                <c:pt idx="4">
                  <c:v>农林水支出</c:v>
                </c:pt>
              </c:strCache>
            </c:strRef>
          </c:cat>
          <c:val>
            <c:numRef>
              <c:f>[决算公开图标表.xlsx]Sheet1!$B$67:$B$71</c:f>
              <c:numCache>
                <c:formatCode>General</c:formatCode>
                <c:ptCount val="5"/>
                <c:pt idx="0">
                  <c:v>1209.27</c:v>
                </c:pt>
                <c:pt idx="1">
                  <c:v>71.16</c:v>
                </c:pt>
                <c:pt idx="2">
                  <c:v>25.03</c:v>
                </c:pt>
                <c:pt idx="3">
                  <c:v>36.32</c:v>
                </c:pt>
                <c:pt idx="4">
                  <c:v>0.5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
    <c:plotVisOnly val="true"/>
    <c:dispBlanksAs val="gap"/>
    <c:showDLblsOverMax val="false"/>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c:explosion val="0"/>
          <c:dPt>
            <c:idx val="0"/>
            <c:bubble3D val="false"/>
            <c:spPr>
              <a:solidFill>
                <a:srgbClr val="4F81BD"/>
              </a:solidFill>
              <a:ln w="19050">
                <a:solidFill>
                  <a:srgbClr val="FFFFFF"/>
                </a:solidFill>
              </a:ln>
              <a:effectLst/>
            </c:spPr>
          </c:dPt>
          <c:dPt>
            <c:idx val="1"/>
            <c:bubble3D val="false"/>
            <c:spPr>
              <a:solidFill>
                <a:srgbClr val="C0504D"/>
              </a:solidFill>
              <a:ln w="19050">
                <a:solidFill>
                  <a:srgbClr val="FFFFFF"/>
                </a:solidFill>
              </a:ln>
              <a:effectLst/>
            </c:spPr>
          </c:dPt>
          <c:dLbls>
            <c:dLbl>
              <c:idx val="0"/>
              <c:layout>
                <c:manualLayout>
                  <c:x val="0.0297936752037274"/>
                  <c:y val="-0.0841091024984314"/>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rgbClr val="404040">
                            <a:lumMod val="75000"/>
                            <a:lumOff val="25000"/>
                          </a:srgbClr>
                        </a:solidFill>
                        <a:latin typeface="+mn-lt"/>
                        <a:ea typeface="+mn-ea"/>
                        <a:cs typeface="+mn-cs"/>
                      </a:defRPr>
                    </a:pPr>
                    <a:r>
                      <a:t>19.2</a:t>
                    </a:r>
                  </a:p>
                  <a:p>
                    <a:pPr defTabSz="914400">
                      <a:defRPr lang="zh-CN" sz="900" b="0" i="0" u="none" strike="noStrike" kern="1200" baseline="0">
                        <a:solidFill>
                          <a:srgbClr val="404040">
                            <a:lumMod val="75000"/>
                            <a:lumOff val="25000"/>
                          </a:srgbClr>
                        </a:solidFill>
                        <a:latin typeface="+mn-lt"/>
                        <a:ea typeface="+mn-ea"/>
                        <a:cs typeface="+mn-cs"/>
                      </a:defRPr>
                    </a:pPr>
                    <a:r>
                      <a:t>,89%</a:t>
                    </a:r>
                  </a:p>
                </c:rich>
              </c:tx>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1"/>
              <c:layout>
                <c:manualLayout>
                  <c:x val="-0.0179573563959558"/>
                  <c:y val="0.0224529753866328"/>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rgbClr val="404040">
                            <a:lumMod val="75000"/>
                            <a:lumOff val="25000"/>
                          </a:srgbClr>
                        </a:solidFill>
                        <a:latin typeface="+mn-lt"/>
                        <a:ea typeface="+mn-ea"/>
                        <a:cs typeface="+mn-cs"/>
                      </a:defRPr>
                    </a:pPr>
                    <a:r>
                      <a:t>2.27 </a:t>
                    </a:r>
                  </a:p>
                  <a:p>
                    <a:pPr defTabSz="914400">
                      <a:defRPr lang="zh-CN" sz="900" b="0" i="0" u="none" strike="noStrike" kern="1200" baseline="0">
                        <a:solidFill>
                          <a:srgbClr val="404040">
                            <a:lumMod val="75000"/>
                            <a:lumOff val="25000"/>
                          </a:srgbClr>
                        </a:solidFill>
                        <a:latin typeface="+mn-lt"/>
                        <a:ea typeface="+mn-ea"/>
                        <a:cs typeface="+mn-cs"/>
                      </a:defRPr>
                    </a:pPr>
                    <a:r>
                      <a:t>11%</a:t>
                    </a:r>
                  </a:p>
                </c:rich>
              </c:tx>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cat>
            <c:strRef>
              <c:f>[决算公开图标表.xlsx]Sheet1!$A$80:$A$81</c:f>
              <c:strCache>
                <c:ptCount val="2"/>
                <c:pt idx="0">
                  <c:v>公务用车购置及运行维护费</c:v>
                </c:pt>
                <c:pt idx="1">
                  <c:v>公务接待费</c:v>
                </c:pt>
              </c:strCache>
            </c:strRef>
          </c:cat>
          <c:val>
            <c:numRef>
              <c:f>[决算公开图标表.xlsx]Sheet1!$B$80:$B$81</c:f>
              <c:numCache>
                <c:formatCode>General</c:formatCode>
                <c:ptCount val="2"/>
                <c:pt idx="0">
                  <c:v>19.2</c:v>
                </c:pt>
                <c:pt idx="1">
                  <c:v>2.27</c:v>
                </c:pt>
              </c:numCache>
            </c:numRef>
          </c:val>
        </c:ser>
        <c:dLbls>
          <c:showLegendKey val="false"/>
          <c:showVal val="tru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
    <c:plotVisOnly val="true"/>
    <c:dispBlanksAs val="gap"/>
    <c:showDLblsOverMax val="false"/>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Pages>
  <Words>1293</Words>
  <Characters>7375</Characters>
  <Lines>61</Lines>
  <Paragraphs>17</Paragraphs>
  <TotalTime>2</TotalTime>
  <ScaleCrop>false</ScaleCrop>
  <LinksUpToDate>false</LinksUpToDate>
  <CharactersWithSpaces>8651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user</cp:lastModifiedBy>
  <cp:lastPrinted>2021-07-29T11:56:00Z</cp:lastPrinted>
  <dcterms:modified xsi:type="dcterms:W3CDTF">2023-07-14T10:52:34Z</dcterms:modified>
  <dc:title>四川省***</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67A2161E8A354F9D9BB8EA9C79D047EB</vt:lpwstr>
  </property>
</Properties>
</file>