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bookmarkStart w:id="78" w:name="_GoBack"/>
      <w:bookmarkEnd w:id="78"/>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72"/>
          <w:szCs w:val="72"/>
        </w:rPr>
      </w:pPr>
      <w:bookmarkStart w:id="1" w:name="_Toc15377425"/>
      <w:bookmarkStart w:id="2" w:name="_Toc15377193"/>
      <w:bookmarkStart w:id="3" w:name="_Toc15378441"/>
      <w:bookmarkStart w:id="4" w:name="_Toc19089858"/>
      <w:bookmarkStart w:id="5" w:name="_Toc15396597"/>
      <w:bookmarkStart w:id="6" w:name="_Toc15396475"/>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72"/>
          <w:szCs w:val="72"/>
        </w:rPr>
      </w:pPr>
      <w:bookmarkStart w:id="7" w:name="_Toc19089860"/>
      <w:bookmarkStart w:id="8" w:name="_Toc15396476"/>
      <w:bookmarkStart w:id="9" w:name="_Toc15377194"/>
      <w:bookmarkStart w:id="10" w:name="_Toc15377426"/>
      <w:bookmarkStart w:id="11" w:name="_Toc15306268"/>
      <w:bookmarkStart w:id="12" w:name="_Toc15396598"/>
      <w:bookmarkStart w:id="13" w:name="_Toc15378442"/>
      <w:r>
        <w:rPr>
          <w:rFonts w:hint="eastAsia" w:ascii="方正小标宋简体" w:hAnsi="宋体" w:eastAsia="方正小标宋简体"/>
          <w:sz w:val="72"/>
          <w:szCs w:val="72"/>
        </w:rPr>
        <w:t>四川省广元市上西中学</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部门决算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48"/>
          <w:szCs w:val="48"/>
        </w:rPr>
      </w:pPr>
    </w:p>
    <w:p>
      <w:pPr>
        <w:widowControl/>
        <w:jc w:val="right"/>
        <w:rPr>
          <w:rFonts w:ascii="仿宋" w:hAnsi="仿宋" w:eastAsia="仿宋"/>
          <w:sz w:val="32"/>
          <w:szCs w:val="32"/>
        </w:rPr>
      </w:pPr>
      <w:r>
        <w:rPr>
          <w:rFonts w:hint="eastAsia" w:ascii="黑体" w:hAnsi="黑体" w:eastAsia="黑体"/>
          <w:sz w:val="32"/>
          <w:szCs w:val="32"/>
        </w:rPr>
        <w:t>第一部分 部门概况</w:t>
      </w:r>
      <w:r>
        <w:rPr>
          <w:rFonts w:hint="eastAsia" w:ascii="仿宋" w:hAnsi="仿宋" w:eastAsia="仿宋"/>
          <w:sz w:val="32"/>
          <w:szCs w:val="32"/>
        </w:rPr>
        <w:t>································3</w:t>
      </w:r>
    </w:p>
    <w:p>
      <w:pPr>
        <w:widowControl/>
        <w:ind w:firstLine="640" w:firstLineChars="200"/>
        <w:rPr>
          <w:rFonts w:ascii="仿宋" w:hAnsi="仿宋" w:eastAsia="仿宋"/>
          <w:sz w:val="32"/>
          <w:szCs w:val="32"/>
        </w:rPr>
      </w:pPr>
      <w:r>
        <w:rPr>
          <w:rFonts w:hint="eastAsia" w:ascii="仿宋" w:hAnsi="仿宋" w:eastAsia="仿宋"/>
          <w:sz w:val="32"/>
          <w:szCs w:val="32"/>
        </w:rPr>
        <w:t>一、基本职能及主要工作························3</w:t>
      </w:r>
    </w:p>
    <w:p>
      <w:pPr>
        <w:widowControl/>
        <w:ind w:right="160" w:firstLine="640" w:firstLineChars="200"/>
        <w:jc w:val="right"/>
        <w:rPr>
          <w:rFonts w:ascii="仿宋" w:hAnsi="仿宋" w:eastAsia="仿宋"/>
          <w:sz w:val="32"/>
          <w:szCs w:val="32"/>
        </w:rPr>
      </w:pPr>
      <w:r>
        <w:rPr>
          <w:rFonts w:hint="eastAsia" w:ascii="仿宋" w:hAnsi="仿宋" w:eastAsia="仿宋"/>
          <w:sz w:val="32"/>
          <w:szCs w:val="32"/>
        </w:rPr>
        <w:t>二、机构设置·································7</w:t>
      </w:r>
    </w:p>
    <w:p>
      <w:pPr>
        <w:widowControl/>
        <w:jc w:val="left"/>
        <w:rPr>
          <w:rFonts w:ascii="仿宋" w:hAnsi="仿宋" w:eastAsia="仿宋"/>
          <w:sz w:val="32"/>
          <w:szCs w:val="32"/>
        </w:rPr>
      </w:pPr>
      <w:r>
        <w:rPr>
          <w:rFonts w:hint="eastAsia" w:ascii="黑体" w:hAnsi="黑体" w:eastAsia="黑体"/>
          <w:sz w:val="32"/>
          <w:szCs w:val="32"/>
        </w:rPr>
        <w:t>第二部分 2020年度部门决算情况说明</w:t>
      </w:r>
      <w:r>
        <w:rPr>
          <w:rFonts w:hint="eastAsia" w:ascii="仿宋" w:hAnsi="仿宋" w:eastAsia="仿宋"/>
          <w:sz w:val="32"/>
          <w:szCs w:val="32"/>
        </w:rPr>
        <w:t>···············</w:t>
      </w:r>
      <w:r>
        <w:rPr>
          <w:rFonts w:hint="eastAsia" w:ascii="仿宋" w:hAnsi="仿宋" w:eastAsia="仿宋"/>
          <w:sz w:val="32"/>
          <w:szCs w:val="32"/>
        </w:rPr>
        <w:tab/>
      </w:r>
      <w:r>
        <w:rPr>
          <w:rFonts w:hint="eastAsia" w:ascii="仿宋" w:hAnsi="仿宋" w:eastAsia="仿宋"/>
          <w:sz w:val="32"/>
          <w:szCs w:val="32"/>
        </w:rPr>
        <w:t>8</w:t>
      </w:r>
    </w:p>
    <w:p>
      <w:pPr>
        <w:widowControl/>
        <w:ind w:firstLine="640" w:firstLineChars="200"/>
        <w:jc w:val="left"/>
        <w:rPr>
          <w:rFonts w:ascii="仿宋" w:hAnsi="仿宋" w:eastAsia="仿宋"/>
          <w:sz w:val="32"/>
          <w:szCs w:val="32"/>
        </w:rPr>
      </w:pPr>
      <w:r>
        <w:rPr>
          <w:rFonts w:hint="eastAsia" w:ascii="仿宋" w:hAnsi="仿宋" w:eastAsia="仿宋"/>
          <w:sz w:val="32"/>
          <w:szCs w:val="32"/>
        </w:rPr>
        <w:t>一、收入支出决算总体情况说明·················8</w:t>
      </w:r>
    </w:p>
    <w:p>
      <w:pPr>
        <w:widowControl/>
        <w:ind w:firstLine="640" w:firstLineChars="200"/>
        <w:jc w:val="left"/>
        <w:rPr>
          <w:rFonts w:ascii="仿宋" w:hAnsi="仿宋" w:eastAsia="仿宋"/>
          <w:sz w:val="32"/>
          <w:szCs w:val="32"/>
        </w:rPr>
      </w:pPr>
      <w:r>
        <w:rPr>
          <w:rFonts w:hint="eastAsia" w:ascii="仿宋" w:hAnsi="仿宋" w:eastAsia="仿宋"/>
          <w:sz w:val="32"/>
          <w:szCs w:val="32"/>
        </w:rPr>
        <w:t>二、收入决算情况说明·························8</w:t>
      </w:r>
    </w:p>
    <w:p>
      <w:pPr>
        <w:widowControl/>
        <w:ind w:firstLine="640" w:firstLineChars="200"/>
        <w:jc w:val="left"/>
        <w:rPr>
          <w:rFonts w:ascii="仿宋" w:hAnsi="仿宋" w:eastAsia="仿宋"/>
          <w:sz w:val="32"/>
          <w:szCs w:val="32"/>
        </w:rPr>
      </w:pPr>
      <w:r>
        <w:rPr>
          <w:rFonts w:hint="eastAsia" w:ascii="仿宋" w:hAnsi="仿宋" w:eastAsia="仿宋"/>
          <w:sz w:val="32"/>
          <w:szCs w:val="32"/>
        </w:rPr>
        <w:t>三、支出决算情况说明·························9</w:t>
      </w:r>
    </w:p>
    <w:p>
      <w:pPr>
        <w:widowControl/>
        <w:ind w:firstLine="640" w:firstLineChars="200"/>
        <w:jc w:val="left"/>
        <w:rPr>
          <w:rFonts w:ascii="仿宋" w:hAnsi="仿宋" w:eastAsia="仿宋"/>
          <w:sz w:val="32"/>
          <w:szCs w:val="32"/>
        </w:rPr>
      </w:pPr>
      <w:r>
        <w:rPr>
          <w:rFonts w:hint="eastAsia" w:ascii="仿宋" w:hAnsi="仿宋" w:eastAsia="仿宋"/>
          <w:sz w:val="32"/>
          <w:szCs w:val="32"/>
        </w:rPr>
        <w:t>四、财政拨款收入支出决算总体情况说明·········10</w:t>
      </w:r>
    </w:p>
    <w:p>
      <w:pPr>
        <w:widowControl/>
        <w:ind w:firstLine="640" w:firstLineChars="200"/>
        <w:jc w:val="left"/>
        <w:rPr>
          <w:rFonts w:ascii="仿宋" w:hAnsi="仿宋" w:eastAsia="仿宋"/>
          <w:sz w:val="32"/>
          <w:szCs w:val="32"/>
        </w:rPr>
      </w:pPr>
      <w:r>
        <w:rPr>
          <w:rFonts w:hint="eastAsia" w:ascii="仿宋" w:hAnsi="仿宋" w:eastAsia="仿宋"/>
          <w:sz w:val="32"/>
          <w:szCs w:val="32"/>
        </w:rPr>
        <w:t>五、一般公共预算财政拨款支出决算情况说明····</w:t>
      </w:r>
      <w:r>
        <w:rPr>
          <w:rFonts w:hint="eastAsia" w:ascii="仿宋" w:hAnsi="仿宋" w:eastAsia="仿宋"/>
          <w:sz w:val="32"/>
          <w:szCs w:val="32"/>
        </w:rPr>
        <w:tab/>
      </w:r>
      <w:r>
        <w:rPr>
          <w:rFonts w:hint="eastAsia" w:ascii="仿宋" w:hAnsi="仿宋" w:eastAsia="仿宋"/>
          <w:sz w:val="32"/>
          <w:szCs w:val="32"/>
        </w:rPr>
        <w:t>11</w:t>
      </w:r>
    </w:p>
    <w:p>
      <w:pPr>
        <w:widowControl/>
        <w:ind w:firstLine="640" w:firstLineChars="200"/>
        <w:jc w:val="left"/>
        <w:rPr>
          <w:rFonts w:ascii="仿宋" w:hAnsi="仿宋" w:eastAsia="仿宋"/>
          <w:sz w:val="32"/>
          <w:szCs w:val="32"/>
        </w:rPr>
      </w:pPr>
      <w:r>
        <w:rPr>
          <w:rFonts w:hint="eastAsia" w:ascii="仿宋" w:hAnsi="仿宋" w:eastAsia="仿宋"/>
          <w:sz w:val="32"/>
          <w:szCs w:val="32"/>
        </w:rPr>
        <w:t>六、一般公共预算财政拨款基本支出决算情况说明·15</w:t>
      </w:r>
    </w:p>
    <w:p>
      <w:pPr>
        <w:widowControl/>
        <w:ind w:firstLine="640" w:firstLineChars="200"/>
        <w:jc w:val="left"/>
        <w:rPr>
          <w:rFonts w:ascii="仿宋" w:hAnsi="仿宋" w:eastAsia="仿宋"/>
          <w:sz w:val="32"/>
          <w:szCs w:val="32"/>
        </w:rPr>
      </w:pPr>
      <w:r>
        <w:rPr>
          <w:rFonts w:hint="eastAsia" w:ascii="仿宋" w:hAnsi="仿宋" w:eastAsia="仿宋"/>
          <w:sz w:val="32"/>
          <w:szCs w:val="32"/>
        </w:rPr>
        <w:t>七、“三公”经费财政拨款支出决算情况说明······16</w:t>
      </w:r>
    </w:p>
    <w:p>
      <w:pPr>
        <w:widowControl/>
        <w:ind w:firstLine="640" w:firstLineChars="200"/>
        <w:jc w:val="left"/>
        <w:rPr>
          <w:rFonts w:ascii="仿宋" w:hAnsi="仿宋" w:eastAsia="仿宋"/>
          <w:sz w:val="32"/>
          <w:szCs w:val="32"/>
        </w:rPr>
      </w:pPr>
      <w:r>
        <w:rPr>
          <w:rFonts w:hint="eastAsia" w:ascii="仿宋" w:hAnsi="仿宋" w:eastAsia="仿宋"/>
          <w:sz w:val="32"/>
          <w:szCs w:val="32"/>
        </w:rPr>
        <w:t>八、政府性基金预算支出决算情况说明···········17</w:t>
      </w:r>
    </w:p>
    <w:p>
      <w:pPr>
        <w:widowControl/>
        <w:ind w:firstLine="640" w:firstLineChars="200"/>
        <w:jc w:val="left"/>
        <w:rPr>
          <w:rFonts w:ascii="仿宋" w:hAnsi="仿宋" w:eastAsia="仿宋"/>
          <w:sz w:val="32"/>
          <w:szCs w:val="32"/>
        </w:rPr>
      </w:pPr>
      <w:r>
        <w:rPr>
          <w:rFonts w:hint="eastAsia" w:ascii="仿宋" w:hAnsi="仿宋" w:eastAsia="仿宋"/>
          <w:sz w:val="32"/>
          <w:szCs w:val="32"/>
        </w:rPr>
        <w:t>九、 国有资本经营预算支出决算情况说明········17</w:t>
      </w:r>
    </w:p>
    <w:p>
      <w:pPr>
        <w:widowControl/>
        <w:ind w:firstLine="640" w:firstLineChars="200"/>
        <w:jc w:val="left"/>
        <w:rPr>
          <w:rFonts w:ascii="仿宋" w:hAnsi="仿宋" w:eastAsia="仿宋"/>
          <w:sz w:val="32"/>
          <w:szCs w:val="32"/>
        </w:rPr>
      </w:pPr>
      <w:r>
        <w:rPr>
          <w:rFonts w:hint="eastAsia" w:ascii="仿宋" w:hAnsi="仿宋" w:eastAsia="仿宋"/>
          <w:sz w:val="32"/>
          <w:szCs w:val="32"/>
        </w:rPr>
        <w:t>十、预算绩效情况说明·························17</w:t>
      </w:r>
    </w:p>
    <w:p>
      <w:pPr>
        <w:widowControl/>
        <w:ind w:firstLine="640" w:firstLineChars="200"/>
        <w:jc w:val="left"/>
        <w:rPr>
          <w:rFonts w:ascii="仿宋" w:hAnsi="仿宋" w:eastAsia="仿宋"/>
          <w:sz w:val="32"/>
          <w:szCs w:val="32"/>
        </w:rPr>
      </w:pPr>
      <w:r>
        <w:rPr>
          <w:rFonts w:hint="eastAsia" w:ascii="仿宋" w:hAnsi="仿宋" w:eastAsia="仿宋"/>
          <w:sz w:val="32"/>
          <w:szCs w:val="32"/>
        </w:rPr>
        <w:t>十一、其他重要事项的情况说明·················21</w:t>
      </w:r>
    </w:p>
    <w:p>
      <w:pPr>
        <w:widowControl/>
        <w:jc w:val="left"/>
        <w:rPr>
          <w:rFonts w:ascii="仿宋" w:hAnsi="仿宋" w:eastAsia="仿宋"/>
          <w:sz w:val="32"/>
          <w:szCs w:val="32"/>
        </w:rPr>
      </w:pPr>
      <w:r>
        <w:rPr>
          <w:rFonts w:hint="eastAsia" w:ascii="黑体" w:hAnsi="黑体" w:eastAsia="黑体"/>
          <w:sz w:val="32"/>
          <w:szCs w:val="32"/>
        </w:rPr>
        <w:t>第三部分 名词解释·</w:t>
      </w:r>
      <w:r>
        <w:rPr>
          <w:rFonts w:hint="eastAsia" w:ascii="仿宋" w:hAnsi="仿宋" w:eastAsia="仿宋"/>
          <w:sz w:val="32"/>
          <w:szCs w:val="32"/>
        </w:rPr>
        <w:t>·······························2</w:t>
      </w:r>
      <w:r>
        <w:rPr>
          <w:rFonts w:ascii="仿宋" w:hAnsi="仿宋" w:eastAsia="仿宋"/>
          <w:sz w:val="32"/>
          <w:szCs w:val="32"/>
        </w:rPr>
        <w:t>2</w:t>
      </w:r>
    </w:p>
    <w:p>
      <w:pPr>
        <w:widowControl/>
        <w:jc w:val="left"/>
        <w:rPr>
          <w:rFonts w:ascii="仿宋" w:hAnsi="仿宋" w:eastAsia="仿宋"/>
          <w:sz w:val="32"/>
          <w:szCs w:val="32"/>
        </w:rPr>
      </w:pPr>
      <w:r>
        <w:rPr>
          <w:rFonts w:hint="eastAsia" w:ascii="黑体" w:hAnsi="黑体" w:eastAsia="黑体"/>
          <w:sz w:val="32"/>
          <w:szCs w:val="32"/>
        </w:rPr>
        <w:t>第四部分 附件</w:t>
      </w:r>
      <w:r>
        <w:rPr>
          <w:rFonts w:hint="eastAsia" w:ascii="黑体" w:hAnsi="黑体" w:eastAsia="黑体"/>
          <w:sz w:val="32"/>
          <w:szCs w:val="32"/>
        </w:rPr>
        <w:tab/>
      </w:r>
      <w:r>
        <w:rPr>
          <w:rFonts w:hint="eastAsia" w:ascii="仿宋" w:hAnsi="仿宋" w:eastAsia="仿宋"/>
          <w:sz w:val="32"/>
          <w:szCs w:val="32"/>
        </w:rPr>
        <w:t>····································2</w:t>
      </w:r>
      <w:r>
        <w:rPr>
          <w:rFonts w:ascii="仿宋" w:hAnsi="仿宋" w:eastAsia="仿宋"/>
          <w:sz w:val="32"/>
          <w:szCs w:val="32"/>
        </w:rPr>
        <w:t>7</w:t>
      </w:r>
    </w:p>
    <w:p>
      <w:pPr>
        <w:widowControl/>
        <w:ind w:firstLine="640" w:firstLineChars="200"/>
        <w:jc w:val="left"/>
        <w:rPr>
          <w:rFonts w:ascii="仿宋" w:hAnsi="仿宋" w:eastAsia="仿宋"/>
          <w:sz w:val="32"/>
          <w:szCs w:val="32"/>
        </w:rPr>
      </w:pPr>
      <w:r>
        <w:rPr>
          <w:rFonts w:hint="eastAsia" w:ascii="仿宋" w:hAnsi="仿宋" w:eastAsia="仿宋"/>
          <w:sz w:val="32"/>
          <w:szCs w:val="32"/>
        </w:rPr>
        <w:t>附件1 2020年部门整体支出绩效评价报告········2</w:t>
      </w:r>
      <w:r>
        <w:rPr>
          <w:rFonts w:ascii="仿宋" w:hAnsi="仿宋" w:eastAsia="仿宋"/>
          <w:sz w:val="32"/>
          <w:szCs w:val="32"/>
        </w:rPr>
        <w:t>7</w:t>
      </w:r>
    </w:p>
    <w:p>
      <w:pPr>
        <w:widowControl/>
        <w:jc w:val="left"/>
        <w:rPr>
          <w:rFonts w:ascii="黑体" w:hAnsi="黑体" w:eastAsia="黑体"/>
          <w:sz w:val="48"/>
          <w:szCs w:val="48"/>
        </w:rPr>
      </w:pPr>
      <w:r>
        <w:rPr>
          <w:rFonts w:hint="eastAsia" w:ascii="黑体" w:hAnsi="黑体" w:eastAsia="黑体"/>
          <w:sz w:val="32"/>
          <w:szCs w:val="32"/>
        </w:rPr>
        <w:t xml:space="preserve">第五部分 附表 </w:t>
      </w:r>
      <w:r>
        <w:rPr>
          <w:rFonts w:hint="eastAsia" w:ascii="仿宋" w:hAnsi="仿宋" w:eastAsia="仿宋"/>
          <w:sz w:val="32"/>
          <w:szCs w:val="32"/>
        </w:rPr>
        <w:t>···································</w:t>
      </w:r>
      <w:r>
        <w:rPr>
          <w:rFonts w:ascii="仿宋" w:hAnsi="仿宋" w:eastAsia="仿宋"/>
          <w:sz w:val="32"/>
          <w:szCs w:val="32"/>
        </w:rPr>
        <w:t>30</w:t>
      </w:r>
    </w:p>
    <w:p>
      <w:pPr>
        <w:widowControl/>
        <w:jc w:val="left"/>
        <w:rPr>
          <w:rFonts w:ascii="黑体" w:hAnsi="黑体" w:eastAsia="黑体"/>
          <w:sz w:val="48"/>
          <w:szCs w:val="48"/>
        </w:rPr>
      </w:pPr>
      <w:r>
        <w:rPr>
          <w:rFonts w:ascii="黑体" w:hAnsi="黑体" w:eastAsia="黑体"/>
          <w:sz w:val="48"/>
          <w:szCs w:val="48"/>
        </w:rPr>
        <w:br w:type="page"/>
      </w:r>
    </w:p>
    <w:p>
      <w:pPr>
        <w:widowControl/>
        <w:jc w:val="center"/>
        <w:rPr>
          <w:rFonts w:ascii="黑体" w:hAnsi="黑体" w:eastAsia="黑体"/>
          <w:sz w:val="48"/>
          <w:szCs w:val="48"/>
        </w:rPr>
      </w:pPr>
    </w:p>
    <w:p>
      <w:pPr>
        <w:pStyle w:val="2"/>
        <w:jc w:val="center"/>
        <w:rPr>
          <w:rFonts w:ascii="黑体" w:hAnsi="黑体" w:eastAsia="黑体"/>
          <w:bCs w:val="0"/>
        </w:rPr>
      </w:pPr>
      <w:bookmarkStart w:id="14" w:name="_Toc19089861"/>
      <w:bookmarkStart w:id="15" w:name="_Toc15377196"/>
      <w:r>
        <w:rPr>
          <w:rFonts w:hint="eastAsia" w:ascii="黑体" w:hAnsi="黑体" w:eastAsia="黑体"/>
          <w:b w:val="0"/>
        </w:rPr>
        <w:t xml:space="preserve">第一部分 </w:t>
      </w:r>
      <w:r>
        <w:rPr>
          <w:rStyle w:val="24"/>
          <w:rFonts w:hint="eastAsia" w:ascii="黑体" w:hAnsi="黑体" w:eastAsia="黑体"/>
          <w:b w:val="0"/>
          <w:bCs w:val="0"/>
        </w:rPr>
        <w:t>部门概况</w:t>
      </w:r>
      <w:bookmarkEnd w:id="14"/>
      <w:bookmarkEnd w:id="15"/>
    </w:p>
    <w:p>
      <w:pPr>
        <w:pStyle w:val="3"/>
        <w:rPr>
          <w:rStyle w:val="25"/>
          <w:rFonts w:ascii="仿宋" w:hAnsi="仿宋" w:eastAsia="仿宋"/>
          <w:b w:val="0"/>
          <w:bCs w:val="0"/>
        </w:rPr>
      </w:pPr>
      <w:bookmarkStart w:id="16" w:name="_Toc19089862"/>
      <w:bookmarkStart w:id="17" w:name="_Toc15377197"/>
      <w:r>
        <w:rPr>
          <w:rFonts w:hint="eastAsia" w:ascii="黑体" w:hAnsi="黑体" w:eastAsia="黑体"/>
          <w:b w:val="0"/>
        </w:rPr>
        <w:t>一、基</w:t>
      </w:r>
      <w:r>
        <w:rPr>
          <w:rStyle w:val="25"/>
          <w:rFonts w:hint="eastAsia" w:ascii="黑体" w:hAnsi="黑体" w:eastAsia="黑体"/>
          <w:b w:val="0"/>
          <w:bCs w:val="0"/>
        </w:rPr>
        <w:t>本职能及主要工作</w:t>
      </w:r>
      <w:bookmarkEnd w:id="16"/>
      <w:bookmarkEnd w:id="17"/>
    </w:p>
    <w:p>
      <w:pPr>
        <w:spacing w:line="600" w:lineRule="exact"/>
        <w:ind w:firstLine="640" w:firstLineChars="200"/>
        <w:rPr>
          <w:bCs/>
          <w:sz w:val="32"/>
          <w:szCs w:val="32"/>
        </w:rPr>
      </w:pPr>
      <w:bookmarkStart w:id="18" w:name="_Toc15378445"/>
      <w:bookmarkStart w:id="19" w:name="_Toc15377198"/>
      <w:bookmarkStart w:id="20" w:name="_Toc15377204"/>
      <w:r>
        <w:rPr>
          <w:rFonts w:hint="eastAsia" w:ascii="仿宋" w:hAnsi="仿宋" w:eastAsia="仿宋"/>
          <w:bCs/>
          <w:sz w:val="32"/>
          <w:szCs w:val="32"/>
        </w:rPr>
        <w:t>（一）主要职能</w:t>
      </w:r>
      <w:bookmarkEnd w:id="18"/>
      <w:bookmarkEnd w:id="19"/>
      <w:bookmarkStart w:id="21" w:name="_Toc15378446"/>
      <w:bookmarkStart w:id="22" w:name="_Toc15377199"/>
    </w:p>
    <w:p>
      <w:pPr>
        <w:pStyle w:val="5"/>
        <w:adjustRightInd w:val="0"/>
        <w:snapToGrid w:val="0"/>
        <w:spacing w:beforeLines="0"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实施初中、高中学历教育，促进基础教育发展。初中、高中学历教育。</w:t>
      </w:r>
    </w:p>
    <w:p>
      <w:pPr>
        <w:pStyle w:val="5"/>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20年重点工作完成情况</w:t>
      </w:r>
      <w:bookmarkEnd w:id="21"/>
      <w:bookmarkEnd w:id="22"/>
    </w:p>
    <w:p>
      <w:pPr>
        <w:pStyle w:val="5"/>
        <w:adjustRightInd w:val="0"/>
        <w:snapToGrid w:val="0"/>
        <w:spacing w:before="93" w:line="600" w:lineRule="exact"/>
        <w:ind w:firstLine="630" w:firstLineChars="210"/>
        <w:outlineLvl w:val="2"/>
        <w:rPr>
          <w:rFonts w:ascii="仿宋" w:hAnsi="仿宋" w:eastAsia="仿宋"/>
          <w:bCs/>
          <w:color w:val="000000"/>
          <w:sz w:val="32"/>
          <w:szCs w:val="32"/>
        </w:rPr>
      </w:pPr>
      <w:bookmarkStart w:id="23" w:name="_Toc15377200"/>
      <w:bookmarkStart w:id="24" w:name="_Toc19089863"/>
      <w:r>
        <w:t>1.加强班子建设。班子是学校的灵魂，班子的思想品质、工作作风、言行举止在学校工作中起着导航引路的作用。在区教育局的领导下，对干部进行了补充和调整，在班子中充分发扬民主，有重大事情集体商量决策，不搞“一言堂”，让每一个干部都感觉受到自己的责任所在，积极投入到学校的管理中去。  　　</w:t>
      </w:r>
      <w:r>
        <w:br w:type="textWrapping"/>
      </w:r>
      <w:r>
        <w:t>2.强化党建工作。巩固 “不忘初心、牢记使命”主题教育成果，严格落实 “红色星期五”主题党日制度，按时组织党员学习，通过“三会一课”、“主题党日”等活动统一思想，牢固树立“四个意识”、做到“两个维护”。　 </w:t>
      </w:r>
      <w:r>
        <w:br w:type="textWrapping"/>
      </w:r>
      <w:r>
        <w:t>3.重视德育工作。坚持德育工作经常化、制度化，一是本年度开展了“书香利州·一木环保”公益活动；二是积极参与禁毒示范城市、第六届全国文明城市的创建工作；三是通过国旗下讲话、校会、主题班会等形式，对学生进行“习惯”“教养”“孝顺”三大主题教育活动；四是邀请法治副校长进行法制讲座，开展禁毒教育，强化学生的法纪意识，规范学生的言行；五是举办绿书签活动、抵制宗教进课堂活动，弘扬社会主义核心价值观；六是组织学生参加社会实践活动，培养学生的劳动习惯；七是创建无声食堂，学生从排队到就餐时段不许喧闹或者讲话，强化学生文明就餐、科学用餐习惯的养成。通过活动让学生受到了良好的教育，规范了自己的言行，形成了良好的学风、校风。</w:t>
      </w:r>
      <w:r>
        <w:br w:type="textWrapping"/>
      </w:r>
      <w:r>
        <w:t>4. 抓好安全教育工作和疫情防控工作。学校始终将安全教育工作放在重中之重的位置。一是完善了安全工作各项管理制度，明确责任，加强巡查；二是开展安全技能演练，如安全自救、紧急疏散、消防逃生等；三是利用多种形式对学生开展防食品中毒、防交通事故、防火、防溺水、防地震等安全教育知识培训；四是全面推行校方责任险，着力创建平安校园；五是做好疫情防控工作，按照中央、省、市、区防疫指挥部文件精神和市、区教育局的要求，落实“五案九制度”，在2020年春季开学前做好线上教学工作，开学后按照要求做好师生疫情防控工作，定时对环境进行消毒，要求师生返校、放假时段佩戴口罩，做好防护措施，落实“日报告”、“零报告”制度；六是加强食品安全管理，严格执行食品安全法、卫生法等规定，严把食材采购关，接受市场监管局和区教育局后产股的管理和指导，学校按程序规范管理、工作人员规范操作，确保饭菜安全。</w:t>
      </w:r>
      <w:r>
        <w:br w:type="textWrapping"/>
      </w:r>
      <w:r>
        <w:t>5. 坚持教师的发展。学校要发展，教师的可持续性发展是必不可少的，要提高教师的战斗力、增强凝聚力，强化内驱力和提升教育力。搬回还建后的校园理清工作思路，坚持走内涵发展，倡导团队合作，发扬奉献精神，敢于担当责任，我校招收的学生中大多数基础差，但我们“对每一位学生都要精雕细做，让每个学生都能和谐发展”的教育教学管理目标，通过上中三年的培养，学生低进中出、中进高出、高进优出，提炼“正己、敬业、爱生、奉献”的师德内涵，引导教师把师德理念转化为以德育人的具体行动，构建好“以人为本”的师德理念，提高我校教师的师德认知水平，努力营造促使我校教师成功的教育生态，焕发教学激情。</w:t>
      </w:r>
      <w:r>
        <w:br w:type="textWrapping"/>
      </w:r>
      <w:r>
        <w:t>6.加强教研教改工作。扎实推进生本教育和高效课堂教学，有效实施素质教育。推行集体备课，制定了《上西中学集体备课实施方案》，将集体备课落到了实处；多次对全体教师进行电子白板使用培训活动和示范课活动，组织全体教师观摩学习，熟练使用电子白板上课；支持教师参加市、区级教学大比武活动，在本校开展数学、英语、文综学科教师校级课堂教学大比武活动，并邀请区教研室部分成员现场评课；加强校际教研交流，与大石中学联合开展了“同课异构、生本课堂”教学研讨活动；组建了课题研究小组，申报的市级课题《基于电子白板的初中融创课堂构建研究》成功立项；在学生中开展优秀作业展评活动；加强早晚自习和平时课堂</w:t>
      </w:r>
      <w:r>
        <w:rPr>
          <w:rFonts w:hint="eastAsia"/>
          <w:lang w:eastAsia="zh-CN"/>
        </w:rPr>
        <w:t>的</w:t>
      </w:r>
      <w:r>
        <w:t>检查和巡查，确保课堂无空堂现象；采取定期检查与随机抽查相结合的形式，对任课教师作业批改情况进行检查，定期开展教学常规检查；继续实施“青蓝工程”， 通过“师傅带徒弟”促进青年教师迅速成长。</w:t>
      </w:r>
      <w:r>
        <w:br w:type="textWrapping"/>
      </w:r>
      <w:r>
        <w:t>7.注重工会工作。一是关心退休教职工生活，利用教师节、重阳节召开座谈会，关心他们的身体、生活情况，请他们为学校工作提建议，为学校发展献计献策；二是为在职教职工购买互助保险，解决教职工存在的困难；三是开展教职工趣味运动会，丰富教职工生活、鼓励教职工参加体育锻炼、增强凝聚力；四是对全体教职工进行核酸检测，对自愿报名接种新冠疫苗的教职工进行接种，对全体教职工进行体检工作。</w:t>
      </w:r>
      <w:r>
        <w:br w:type="textWrapping"/>
      </w:r>
      <w:r>
        <w:t>8.发挥共青团引领作用。一是通过开展纪念“五·四”、“一二·九”等活动，重温入团誓词、追寻革命先烈足迹、开启团员旺苍木门、红军城红色之旅；二是举办十四岁集体生日，让学生告别金色童年，畅想青春梦想；三是进一步巩固“文明就餐、光盘行动”活动，使学生养成勤俭、节约的好习惯；四是对学生进行爱国主义、集体主义、中华民族传统美德教育，增强青年学生的凝聚力、向心力。</w:t>
      </w:r>
      <w:r>
        <w:br w:type="textWrapping"/>
      </w:r>
      <w:r>
        <w:t>9.还扩建工程全面竣工，将不断完善功能用房及实验室的配备，进行技术装备的采购和安装。由于学校运动场地生均面积不达标，需一块田径场，正积极与中国铁路西安局集团有限公司和安康建筑段会商，将生活小区紧邻学校闲置国有土地用来建设上西足球运动场，既可以满足学校教学使用，同时节假日对社会开放。还扩建工程完成后，将成为满足国家现行规范的一所标准的初级中学。</w:t>
      </w:r>
      <w:r>
        <w:br w:type="textWrapping"/>
      </w:r>
      <w:r>
        <w:t>10.整合艺体资源，拓展育人空间。落实每天锻炼一小时，丰富学生课余生活。实施阳光体育锻炼、开展大小课间活动和课外活动，学生大小课间都要坚持跑操，让学生得到充分的锻炼。在课后服务中，开设篮球、足球、排球、羽毛球、舞蹈、古筝、合唱、美术等特长班。开展秋季球类运动会；开展《回望来时路，翘首新征程》歌咏比赛；开展“尚美新春”为主题的优秀美术习作展。通过一系列的活动，进一步让学生得到充分的锻炼，接受艺术的熏陶，培养学生的一技之长，也丰富学生校园生活，为学生健康成长及素质教育发展得到有力推动和奠定良好的基础。</w:t>
      </w:r>
      <w:r>
        <w:br w:type="textWrapping"/>
      </w:r>
      <w:r>
        <w:t>11.落实国家“两免一补”和利州区“八免一补”政策，坚持做好扶贫工作。我校对住校生生活补贴严格按照程序进行申请、审核、确认、公示、上报，按时足额发放给受助学生。对在我校就读的“建档立卡”户籍子女进行登记，确保优先享受补助；落实利州区“八免一补”政策，确保建档立卡贫困户适龄儿童享受减免费用，确保贫困家庭学生感受到学校如家庭般的温暖，安心读书，幸福生活。</w:t>
      </w:r>
    </w:p>
    <w:p>
      <w:pPr>
        <w:pStyle w:val="3"/>
        <w:rPr>
          <w:rStyle w:val="25"/>
          <w:b w:val="0"/>
          <w:bCs w:val="0"/>
        </w:rPr>
      </w:pPr>
      <w:r>
        <w:rPr>
          <w:rFonts w:hint="eastAsia" w:ascii="黑体" w:eastAsia="黑体"/>
          <w:b w:val="0"/>
        </w:rPr>
        <w:t>二、</w:t>
      </w:r>
      <w:r>
        <w:rPr>
          <w:rFonts w:hint="eastAsia" w:ascii="黑体" w:hAnsi="黑体" w:eastAsia="黑体"/>
          <w:b w:val="0"/>
        </w:rPr>
        <w:t>机</w:t>
      </w:r>
      <w:r>
        <w:rPr>
          <w:rStyle w:val="25"/>
          <w:rFonts w:hint="eastAsia" w:ascii="黑体" w:hAnsi="黑体" w:eastAsia="黑体"/>
          <w:b w:val="0"/>
          <w:bCs w:val="0"/>
        </w:rPr>
        <w:t>构设置</w:t>
      </w:r>
      <w:bookmarkEnd w:id="23"/>
      <w:bookmarkEnd w:id="24"/>
    </w:p>
    <w:p>
      <w:pPr>
        <w:pStyle w:val="5"/>
        <w:adjustRightInd w:val="0"/>
        <w:snapToGrid w:val="0"/>
        <w:spacing w:before="93" w:line="600" w:lineRule="exact"/>
        <w:ind w:firstLine="630" w:firstLineChars="210"/>
        <w:outlineLvl w:val="2"/>
      </w:pPr>
      <w:r>
        <w:rPr>
          <w:rFonts w:hint="eastAsia"/>
        </w:rPr>
        <w:t>广元市上西中学下设各处室 10 个，分别是行政班公室、教务处、政教处、总务处、安全办、教科室、计装室、团委办、财务室、医务室。</w:t>
      </w:r>
    </w:p>
    <w:p>
      <w:pPr>
        <w:pStyle w:val="5"/>
        <w:adjustRightInd w:val="0"/>
        <w:snapToGrid w:val="0"/>
        <w:spacing w:before="93" w:line="600" w:lineRule="exact"/>
        <w:ind w:firstLine="630" w:firstLineChars="210"/>
        <w:outlineLvl w:val="2"/>
      </w:pPr>
      <w:r>
        <w:br w:type="page"/>
      </w:r>
    </w:p>
    <w:p>
      <w:pPr>
        <w:pStyle w:val="2"/>
        <w:ind w:right="440"/>
        <w:jc w:val="right"/>
        <w:rPr>
          <w:rFonts w:ascii="黑体" w:hAnsi="黑体" w:eastAsia="黑体"/>
          <w:b w:val="0"/>
          <w:bCs w:val="0"/>
        </w:rPr>
      </w:pPr>
      <w:bookmarkStart w:id="25" w:name="_Toc19089864"/>
      <w:r>
        <w:rPr>
          <w:rFonts w:hint="eastAsia" w:ascii="黑体" w:hAnsi="黑体" w:eastAsia="黑体"/>
          <w:b w:val="0"/>
        </w:rPr>
        <w:t>第二部分</w:t>
      </w:r>
      <w:r>
        <w:rPr>
          <w:rFonts w:hint="eastAsia" w:ascii="黑体" w:hAnsi="黑体" w:eastAsia="黑体"/>
        </w:rPr>
        <w:t xml:space="preserve"> </w:t>
      </w:r>
      <w:r>
        <w:rPr>
          <w:rStyle w:val="24"/>
          <w:rFonts w:hint="eastAsia" w:ascii="黑体" w:hAnsi="黑体" w:eastAsia="黑体"/>
          <w:b w:val="0"/>
          <w:bCs w:val="0"/>
        </w:rPr>
        <w:t>2020年度部门决算情况说明</w:t>
      </w:r>
      <w:bookmarkEnd w:id="20"/>
      <w:bookmarkEnd w:id="25"/>
    </w:p>
    <w:p>
      <w:pPr>
        <w:pStyle w:val="23"/>
        <w:numPr>
          <w:ilvl w:val="0"/>
          <w:numId w:val="1"/>
        </w:numPr>
        <w:spacing w:line="600" w:lineRule="exact"/>
        <w:ind w:firstLineChars="0"/>
        <w:outlineLvl w:val="1"/>
        <w:rPr>
          <w:rStyle w:val="25"/>
          <w:rFonts w:ascii="黑体" w:hAnsi="黑体" w:eastAsia="黑体"/>
          <w:b w:val="0"/>
        </w:rPr>
      </w:pPr>
      <w:bookmarkStart w:id="26" w:name="_Toc15377205"/>
      <w:bookmarkStart w:id="27" w:name="_Toc19089865"/>
      <w:r>
        <w:rPr>
          <w:rFonts w:hint="eastAsia" w:ascii="黑体" w:hAnsi="黑体" w:eastAsia="黑体"/>
          <w:sz w:val="32"/>
          <w:szCs w:val="32"/>
        </w:rPr>
        <w:t>收</w:t>
      </w:r>
      <w:r>
        <w:rPr>
          <w:rStyle w:val="25"/>
          <w:rFonts w:hint="eastAsia" w:ascii="黑体" w:hAnsi="黑体" w:eastAsia="黑体"/>
          <w:b w:val="0"/>
        </w:rPr>
        <w:t>入支出决算总体情况说明</w:t>
      </w:r>
      <w:bookmarkEnd w:id="26"/>
      <w:bookmarkEnd w:id="27"/>
    </w:p>
    <w:p>
      <w:pPr>
        <w:snapToGrid w:val="0"/>
        <w:spacing w:line="560" w:lineRule="exact"/>
        <w:ind w:left="640" w:leftChars="305" w:firstLine="640" w:firstLineChars="200"/>
        <w:rPr>
          <w:rFonts w:ascii="仿宋" w:hAnsi="仿宋" w:eastAsia="仿宋" w:cs="仿宋"/>
          <w:color w:val="000000"/>
          <w:sz w:val="28"/>
          <w:szCs w:val="28"/>
        </w:rPr>
      </w:pPr>
      <w:r>
        <w:rPr>
          <w:rFonts w:hint="eastAsia" w:ascii="仿宋" w:hAnsi="仿宋" w:eastAsia="仿宋"/>
          <w:color w:val="000000" w:themeColor="text1"/>
          <w:sz w:val="32"/>
          <w:szCs w:val="32"/>
          <w14:textFill>
            <w14:solidFill>
              <w14:schemeClr w14:val="tx1"/>
            </w14:solidFill>
          </w14:textFill>
        </w:rPr>
        <w:t>2020年度</w:t>
      </w:r>
      <w:r>
        <w:rPr>
          <w:rFonts w:hint="eastAsia" w:ascii="仿宋" w:hAnsi="仿宋" w:eastAsia="仿宋" w:cs="仿宋"/>
          <w:color w:val="000000"/>
          <w:sz w:val="28"/>
          <w:szCs w:val="28"/>
        </w:rPr>
        <w:t>上西中学</w:t>
      </w:r>
      <w:r>
        <w:rPr>
          <w:rFonts w:hint="eastAsia" w:ascii="仿宋" w:hAnsi="仿宋" w:eastAsia="仿宋"/>
          <w:color w:val="000000" w:themeColor="text1"/>
          <w:sz w:val="32"/>
          <w:szCs w:val="32"/>
          <w14:textFill>
            <w14:solidFill>
              <w14:schemeClr w14:val="tx1"/>
            </w14:solidFill>
          </w14:textFill>
        </w:rPr>
        <w:t>收入总计</w:t>
      </w:r>
      <w:r>
        <w:rPr>
          <w:rFonts w:hint="eastAsia" w:ascii="仿宋" w:hAnsi="仿宋" w:eastAsia="仿宋"/>
          <w:color w:val="0000FF"/>
          <w:sz w:val="32"/>
          <w:szCs w:val="32"/>
        </w:rPr>
        <w:t>1260.92</w:t>
      </w:r>
      <w:r>
        <w:rPr>
          <w:rFonts w:hint="eastAsia" w:ascii="仿宋" w:hAnsi="仿宋" w:eastAsia="仿宋"/>
          <w:color w:val="000000" w:themeColor="text1"/>
          <w:sz w:val="32"/>
          <w:szCs w:val="32"/>
          <w14:textFill>
            <w14:solidFill>
              <w14:schemeClr w14:val="tx1"/>
            </w14:solidFill>
          </w14:textFill>
        </w:rPr>
        <w:t>万元，与2019年相比（</w:t>
      </w:r>
      <w:r>
        <w:rPr>
          <w:rFonts w:hint="eastAsia" w:ascii="仿宋" w:hAnsi="仿宋" w:eastAsia="仿宋"/>
          <w:color w:val="0000FF"/>
          <w:sz w:val="32"/>
          <w:szCs w:val="32"/>
        </w:rPr>
        <w:t>1552.02</w:t>
      </w:r>
      <w:r>
        <w:rPr>
          <w:rFonts w:hint="eastAsia" w:ascii="仿宋" w:hAnsi="仿宋" w:eastAsia="仿宋"/>
          <w:color w:val="000000" w:themeColor="text1"/>
          <w:sz w:val="32"/>
          <w:szCs w:val="32"/>
          <w14:textFill>
            <w14:solidFill>
              <w14:schemeClr w14:val="tx1"/>
            </w14:solidFill>
          </w14:textFill>
        </w:rPr>
        <w:t>万元），收入总计减少</w:t>
      </w:r>
      <w:r>
        <w:rPr>
          <w:rFonts w:hint="eastAsia" w:ascii="仿宋" w:hAnsi="仿宋" w:eastAsia="仿宋"/>
          <w:color w:val="0000FF"/>
          <w:sz w:val="32"/>
          <w:szCs w:val="32"/>
        </w:rPr>
        <w:t>291.10</w:t>
      </w:r>
      <w:r>
        <w:rPr>
          <w:rFonts w:hint="eastAsia" w:ascii="仿宋" w:hAnsi="仿宋" w:eastAsia="仿宋"/>
          <w:color w:val="000000" w:themeColor="text1"/>
          <w:sz w:val="32"/>
          <w:szCs w:val="32"/>
          <w14:textFill>
            <w14:solidFill>
              <w14:schemeClr w14:val="tx1"/>
            </w14:solidFill>
          </w14:textFill>
        </w:rPr>
        <w:t>万元，减少</w:t>
      </w:r>
      <w:r>
        <w:rPr>
          <w:rFonts w:hint="eastAsia" w:ascii="仿宋" w:hAnsi="仿宋" w:eastAsia="仿宋"/>
          <w:color w:val="0000FF"/>
          <w:sz w:val="32"/>
          <w:szCs w:val="32"/>
        </w:rPr>
        <w:t>18.76%</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sz w:val="28"/>
          <w:szCs w:val="28"/>
        </w:rPr>
        <w:t>收入主要变动原因是2020年区财政安排中央预算内专项资金减少。</w:t>
      </w:r>
    </w:p>
    <w:p>
      <w:pPr>
        <w:snapToGrid w:val="0"/>
        <w:spacing w:line="560" w:lineRule="exact"/>
        <w:ind w:left="479" w:leftChars="228" w:firstLine="640" w:firstLineChars="200"/>
        <w:rPr>
          <w:rFonts w:ascii="仿宋" w:hAnsi="仿宋" w:eastAsia="仿宋" w:cs="仿宋"/>
          <w:color w:val="000000"/>
          <w:kern w:val="0"/>
          <w:sz w:val="28"/>
          <w:szCs w:val="28"/>
        </w:rPr>
      </w:pPr>
      <w:r>
        <w:rPr>
          <w:rFonts w:hint="eastAsia" w:ascii="仿宋" w:hAnsi="仿宋" w:eastAsia="仿宋"/>
          <w:color w:val="000000" w:themeColor="text1"/>
          <w:sz w:val="32"/>
          <w:szCs w:val="32"/>
          <w14:textFill>
            <w14:solidFill>
              <w14:schemeClr w14:val="tx1"/>
            </w14:solidFill>
          </w14:textFill>
        </w:rPr>
        <w:t>2020年度支出合计</w:t>
      </w:r>
      <w:r>
        <w:rPr>
          <w:rFonts w:hint="eastAsia" w:ascii="仿宋" w:hAnsi="仿宋" w:eastAsia="仿宋"/>
          <w:color w:val="0000FF"/>
          <w:sz w:val="32"/>
          <w:szCs w:val="32"/>
        </w:rPr>
        <w:t>1630.68</w:t>
      </w:r>
      <w:r>
        <w:rPr>
          <w:rFonts w:hint="eastAsia" w:ascii="仿宋" w:hAnsi="仿宋" w:eastAsia="仿宋"/>
          <w:color w:val="000000" w:themeColor="text1"/>
          <w:sz w:val="32"/>
          <w:szCs w:val="32"/>
          <w14:textFill>
            <w14:solidFill>
              <w14:schemeClr w14:val="tx1"/>
            </w14:solidFill>
          </w14:textFill>
        </w:rPr>
        <w:t>万元，与2019年相比（</w:t>
      </w:r>
      <w:r>
        <w:rPr>
          <w:rFonts w:hint="eastAsia" w:ascii="仿宋" w:hAnsi="仿宋" w:eastAsia="仿宋"/>
          <w:color w:val="0000FF"/>
          <w:sz w:val="32"/>
          <w:szCs w:val="32"/>
        </w:rPr>
        <w:t>1681.00</w:t>
      </w:r>
      <w:r>
        <w:rPr>
          <w:rFonts w:hint="eastAsia" w:ascii="仿宋" w:hAnsi="仿宋" w:eastAsia="仿宋"/>
          <w:color w:val="000000" w:themeColor="text1"/>
          <w:sz w:val="32"/>
          <w:szCs w:val="32"/>
          <w14:textFill>
            <w14:solidFill>
              <w14:schemeClr w14:val="tx1"/>
            </w14:solidFill>
          </w14:textFill>
        </w:rPr>
        <w:t>万元），支出减少</w:t>
      </w:r>
      <w:r>
        <w:rPr>
          <w:rFonts w:hint="eastAsia" w:ascii="仿宋" w:hAnsi="仿宋" w:eastAsia="仿宋"/>
          <w:color w:val="0000FF"/>
          <w:sz w:val="32"/>
          <w:szCs w:val="32"/>
        </w:rPr>
        <w:t>50.32</w:t>
      </w:r>
      <w:r>
        <w:rPr>
          <w:rFonts w:hint="eastAsia" w:ascii="仿宋" w:hAnsi="仿宋" w:eastAsia="仿宋"/>
          <w:color w:val="000000" w:themeColor="text1"/>
          <w:sz w:val="32"/>
          <w:szCs w:val="32"/>
          <w14:textFill>
            <w14:solidFill>
              <w14:schemeClr w14:val="tx1"/>
            </w14:solidFill>
          </w14:textFill>
        </w:rPr>
        <w:t>万元，降低</w:t>
      </w:r>
      <w:r>
        <w:rPr>
          <w:rFonts w:hint="eastAsia" w:ascii="仿宋" w:hAnsi="仿宋" w:eastAsia="仿宋"/>
          <w:color w:val="0000FF"/>
          <w:sz w:val="32"/>
          <w:szCs w:val="32"/>
        </w:rPr>
        <w:t>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sz w:val="28"/>
          <w:szCs w:val="28"/>
        </w:rPr>
        <w:t>支出主要变动原因是上西中学项目支出减少。</w:t>
      </w:r>
    </w:p>
    <w:p>
      <w:pPr>
        <w:spacing w:line="600" w:lineRule="exact"/>
        <w:ind w:firstLine="640" w:firstLineChars="200"/>
        <w:rPr>
          <w:rFonts w:ascii="仿宋" w:hAnsi="仿宋" w:eastAsia="仿宋"/>
          <w:sz w:val="32"/>
          <w:szCs w:val="32"/>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142240</wp:posOffset>
            </wp:positionH>
            <wp:positionV relativeFrom="paragraph">
              <wp:posOffset>501015</wp:posOffset>
            </wp:positionV>
            <wp:extent cx="5038725" cy="2447925"/>
            <wp:effectExtent l="0" t="0" r="9525" b="9525"/>
            <wp:wrapTight wrapText="bothSides">
              <wp:wrapPolygon>
                <wp:start x="0" y="0"/>
                <wp:lineTo x="0" y="21516"/>
                <wp:lineTo x="21559" y="21516"/>
                <wp:lineTo x="21559"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Style w:val="25"/>
          <w:rFonts w:ascii="黑体" w:hAnsi="黑体" w:eastAsia="黑体"/>
          <w:b w:val="0"/>
        </w:rPr>
      </w:pPr>
      <w:bookmarkStart w:id="28" w:name="_Toc15377206"/>
      <w:r>
        <w:rPr>
          <w:rFonts w:hint="eastAsia" w:ascii="黑体" w:hAnsi="黑体" w:eastAsia="黑体"/>
          <w:sz w:val="32"/>
          <w:szCs w:val="32"/>
        </w:rPr>
        <w:t>二、收</w:t>
      </w:r>
      <w:r>
        <w:rPr>
          <w:rStyle w:val="25"/>
          <w:rFonts w:hint="eastAsia" w:ascii="黑体" w:hAnsi="黑体" w:eastAsia="黑体"/>
          <w:b w:val="0"/>
        </w:rPr>
        <w:t>入决算情况说明</w:t>
      </w:r>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s="仿宋"/>
          <w:color w:val="000000"/>
          <w:sz w:val="28"/>
          <w:szCs w:val="28"/>
        </w:rPr>
        <w:t>1260.92</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1199.73</w:t>
      </w:r>
      <w:r>
        <w:rPr>
          <w:rFonts w:hint="eastAsia" w:ascii="仿宋" w:hAnsi="仿宋" w:eastAsia="仿宋"/>
          <w:color w:val="000000"/>
          <w:sz w:val="32"/>
          <w:szCs w:val="32"/>
        </w:rPr>
        <w:t>万元，占95.15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；事业收入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；经营收入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；其他收入61.19万元，占4.85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Style w:val="25"/>
          <w:rFonts w:ascii="黑体" w:hAnsi="黑体" w:eastAsia="黑体"/>
          <w:b w:val="0"/>
        </w:rPr>
      </w:pPr>
      <w:bookmarkStart w:id="29" w:name="_Toc15377207"/>
      <w:bookmarkStart w:id="30" w:name="_Toc19089867"/>
      <w:r>
        <w:rPr>
          <w:rFonts w:hint="eastAsia" w:ascii="黑体" w:hAnsi="黑体" w:eastAsia="黑体"/>
          <w:sz w:val="32"/>
          <w:szCs w:val="32"/>
        </w:rPr>
        <w:t>三、支</w:t>
      </w:r>
      <w:r>
        <w:rPr>
          <w:rStyle w:val="25"/>
          <w:rFonts w:hint="eastAsia" w:ascii="黑体" w:hAnsi="黑体" w:eastAsia="黑体"/>
          <w:b w:val="0"/>
        </w:rPr>
        <w:t>出决算情况说明</w:t>
      </w:r>
      <w:bookmarkEnd w:id="29"/>
      <w:bookmarkEnd w:id="30"/>
    </w:p>
    <w:p>
      <w:pPr>
        <w:spacing w:line="600" w:lineRule="exact"/>
        <w:ind w:firstLine="640"/>
        <w:rPr>
          <w:rFonts w:ascii="仿宋" w:hAnsi="仿宋" w:eastAsia="仿宋"/>
          <w:sz w:val="32"/>
          <w:szCs w:val="32"/>
          <w:shd w:val="pct10" w:color="auto" w:fill="FFFFFF"/>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s="仿宋"/>
          <w:color w:val="000000"/>
          <w:sz w:val="28"/>
          <w:szCs w:val="28"/>
        </w:rPr>
        <w:t>1630.68</w:t>
      </w:r>
      <w:r>
        <w:rPr>
          <w:rFonts w:hint="eastAsia" w:ascii="仿宋" w:hAnsi="仿宋" w:eastAsia="仿宋"/>
          <w:color w:val="000000"/>
          <w:sz w:val="32"/>
          <w:szCs w:val="32"/>
        </w:rPr>
        <w:t>万元，其中：基本支出</w:t>
      </w:r>
      <w:r>
        <w:rPr>
          <w:rFonts w:ascii="仿宋" w:hAnsi="仿宋" w:eastAsia="仿宋"/>
          <w:color w:val="000000"/>
          <w:sz w:val="32"/>
          <w:szCs w:val="32"/>
        </w:rPr>
        <w:t>1186.24</w:t>
      </w:r>
      <w:r>
        <w:rPr>
          <w:rFonts w:hint="eastAsia" w:ascii="仿宋" w:hAnsi="仿宋" w:eastAsia="仿宋"/>
          <w:color w:val="000000"/>
          <w:sz w:val="32"/>
          <w:szCs w:val="32"/>
        </w:rPr>
        <w:t>万元，占72.75</w:t>
      </w:r>
      <w:r>
        <w:rPr>
          <w:rFonts w:ascii="仿宋" w:hAnsi="仿宋" w:eastAsia="仿宋"/>
          <w:color w:val="000000"/>
          <w:sz w:val="32"/>
          <w:szCs w:val="32"/>
        </w:rPr>
        <w:t>%</w:t>
      </w:r>
      <w:r>
        <w:rPr>
          <w:rFonts w:hint="eastAsia" w:ascii="仿宋" w:hAnsi="仿宋" w:eastAsia="仿宋"/>
          <w:color w:val="000000"/>
          <w:sz w:val="32"/>
          <w:szCs w:val="32"/>
        </w:rPr>
        <w:t>；项目支出</w:t>
      </w:r>
      <w:r>
        <w:rPr>
          <w:rFonts w:ascii="仿宋" w:hAnsi="仿宋" w:eastAsia="仿宋"/>
          <w:color w:val="000000"/>
          <w:sz w:val="32"/>
          <w:szCs w:val="32"/>
        </w:rPr>
        <w:t>444.44</w:t>
      </w:r>
      <w:r>
        <w:rPr>
          <w:rFonts w:hint="eastAsia" w:ascii="仿宋" w:hAnsi="仿宋" w:eastAsia="仿宋"/>
          <w:color w:val="000000"/>
          <w:sz w:val="32"/>
          <w:szCs w:val="32"/>
        </w:rPr>
        <w:t>万元，占27.25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sz w:val="32"/>
          <w:szCs w:val="32"/>
        </w:rPr>
        <w:t>上缴上级支出0.00万元，占0.00</w:t>
      </w:r>
      <w:r>
        <w:rPr>
          <w:rFonts w:ascii="仿宋" w:hAnsi="仿宋" w:eastAsia="仿宋"/>
          <w:sz w:val="32"/>
          <w:szCs w:val="32"/>
        </w:rPr>
        <w:t>%</w:t>
      </w:r>
      <w:r>
        <w:rPr>
          <w:rFonts w:hint="eastAsia" w:ascii="仿宋" w:hAnsi="仿宋" w:eastAsia="仿宋"/>
          <w:sz w:val="32"/>
          <w:szCs w:val="32"/>
        </w:rPr>
        <w:t>；经营支出0.00万元，占0.00</w:t>
      </w:r>
      <w:r>
        <w:rPr>
          <w:rFonts w:ascii="仿宋" w:hAnsi="仿宋" w:eastAsia="仿宋"/>
          <w:sz w:val="32"/>
          <w:szCs w:val="32"/>
        </w:rPr>
        <w:t>%</w:t>
      </w:r>
      <w:r>
        <w:rPr>
          <w:rFonts w:hint="eastAsia" w:ascii="仿宋" w:hAnsi="仿宋" w:eastAsia="仿宋"/>
          <w:sz w:val="32"/>
          <w:szCs w:val="32"/>
        </w:rPr>
        <w:t>；对附属单位补助支出0.00万元，占0.00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25400</wp:posOffset>
            </wp:positionH>
            <wp:positionV relativeFrom="paragraph">
              <wp:posOffset>31750</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1" w:name="_Toc15377208"/>
      <w:bookmarkStart w:id="32" w:name="_Toc1908986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1"/>
      <w:bookmarkEnd w:id="32"/>
    </w:p>
    <w:p>
      <w:pPr>
        <w:snapToGri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2020年财政拨款收入总计</w:t>
      </w:r>
      <w:r>
        <w:rPr>
          <w:rFonts w:ascii="仿宋" w:hAnsi="仿宋" w:eastAsia="仿宋" w:cs="仿宋"/>
          <w:color w:val="000000"/>
          <w:sz w:val="28"/>
          <w:szCs w:val="28"/>
        </w:rPr>
        <w:t>1199.73</w:t>
      </w:r>
      <w:r>
        <w:rPr>
          <w:rFonts w:hint="eastAsia" w:ascii="仿宋" w:hAnsi="仿宋" w:eastAsia="仿宋" w:cs="仿宋"/>
          <w:color w:val="000000"/>
          <w:sz w:val="28"/>
          <w:szCs w:val="28"/>
        </w:rPr>
        <w:t>万元。与2019年相比（1495.4万元），财政拨款收入总计减少295.67万元，减少19.77%。</w:t>
      </w:r>
      <w:r>
        <w:rPr>
          <w:rFonts w:hint="eastAsia" w:ascii="仿宋" w:hAnsi="仿宋" w:eastAsia="仿宋" w:cs="仿宋"/>
          <w:color w:val="000000"/>
          <w:kern w:val="0"/>
          <w:sz w:val="28"/>
          <w:szCs w:val="28"/>
        </w:rPr>
        <w:t>主要变动原因</w:t>
      </w:r>
      <w:r>
        <w:rPr>
          <w:rFonts w:hint="eastAsia" w:ascii="仿宋" w:hAnsi="仿宋" w:eastAsia="仿宋" w:cs="仿宋"/>
          <w:color w:val="000000"/>
          <w:sz w:val="28"/>
          <w:szCs w:val="28"/>
        </w:rPr>
        <w:t>是2020年区财政安排中央预算内专项资金减少。</w:t>
      </w:r>
    </w:p>
    <w:p>
      <w:pPr>
        <w:spacing w:line="600" w:lineRule="exact"/>
        <w:ind w:firstLine="642" w:firstLineChars="200"/>
        <w:rPr>
          <w:rFonts w:ascii="仿宋" w:hAnsi="仿宋" w:eastAsia="仿宋"/>
          <w:sz w:val="32"/>
          <w:szCs w:val="32"/>
        </w:rPr>
      </w:pPr>
      <w:r>
        <w:rPr>
          <w:rFonts w:hint="eastAsia" w:ascii="仿宋" w:hAnsi="仿宋" w:eastAsia="仿宋"/>
          <w:b/>
          <w:sz w:val="32"/>
          <w:szCs w:val="32"/>
        </w:rPr>
        <w:drawing>
          <wp:anchor distT="0" distB="0" distL="114300" distR="114300" simplePos="0" relativeHeight="251662336" behindDoc="0" locked="0" layoutInCell="1" allowOverlap="1">
            <wp:simplePos x="0" y="0"/>
            <wp:positionH relativeFrom="column">
              <wp:posOffset>247650</wp:posOffset>
            </wp:positionH>
            <wp:positionV relativeFrom="paragraph">
              <wp:posOffset>1568450</wp:posOffset>
            </wp:positionV>
            <wp:extent cx="5210175" cy="2924175"/>
            <wp:effectExtent l="0" t="0" r="9525"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color w:val="000000"/>
          <w:sz w:val="28"/>
          <w:szCs w:val="28"/>
        </w:rPr>
        <w:t>2020年财政拨款支出总计</w:t>
      </w:r>
      <w:r>
        <w:rPr>
          <w:rFonts w:ascii="仿宋" w:hAnsi="仿宋" w:eastAsia="仿宋" w:cs="仿宋"/>
          <w:color w:val="000000"/>
          <w:sz w:val="28"/>
          <w:szCs w:val="28"/>
        </w:rPr>
        <w:t>1569.49</w:t>
      </w:r>
      <w:r>
        <w:rPr>
          <w:rFonts w:hint="eastAsia" w:ascii="仿宋" w:hAnsi="仿宋" w:eastAsia="仿宋" w:cs="仿宋"/>
          <w:color w:val="000000"/>
          <w:sz w:val="28"/>
          <w:szCs w:val="28"/>
        </w:rPr>
        <w:t>万元。与2019年相比（1624.39万元），财政拨款支出总计减少54.9万元，减少3.38%。</w:t>
      </w:r>
      <w:r>
        <w:rPr>
          <w:rFonts w:hint="eastAsia" w:ascii="仿宋" w:hAnsi="仿宋" w:eastAsia="仿宋" w:cs="仿宋"/>
          <w:color w:val="000000"/>
          <w:kern w:val="0"/>
          <w:sz w:val="28"/>
          <w:szCs w:val="28"/>
        </w:rPr>
        <w:t>主要变动原因</w:t>
      </w:r>
      <w:r>
        <w:rPr>
          <w:rFonts w:hint="eastAsia" w:ascii="仿宋" w:hAnsi="仿宋" w:eastAsia="仿宋" w:cs="仿宋"/>
          <w:color w:val="000000"/>
          <w:sz w:val="28"/>
          <w:szCs w:val="28"/>
        </w:rPr>
        <w:t>是上西中学项目支出减少。</w:t>
      </w: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r>
        <w:rPr>
          <w:rFonts w:hint="eastAsia" w:ascii="仿宋" w:hAnsi="仿宋" w:eastAsia="仿宋"/>
          <w:b/>
          <w:sz w:val="32"/>
          <w:szCs w:val="32"/>
        </w:rPr>
        <w:t>（除国有资本经营预算外，数据来源于财决</w:t>
      </w:r>
      <w:r>
        <w:rPr>
          <w:rFonts w:ascii="仿宋" w:hAnsi="仿宋" w:eastAsia="仿宋"/>
          <w:b/>
          <w:sz w:val="32"/>
          <w:szCs w:val="32"/>
        </w:rPr>
        <w:t>Z01-1</w:t>
      </w:r>
      <w:r>
        <w:rPr>
          <w:rFonts w:hint="eastAsia" w:ascii="仿宋" w:hAnsi="仿宋" w:eastAsia="仿宋"/>
          <w:b/>
          <w:sz w:val="32"/>
          <w:szCs w:val="32"/>
        </w:rPr>
        <w:t>表，口径为“总计”数+国有资本经营预算）</w:t>
      </w:r>
    </w:p>
    <w:p>
      <w:pPr>
        <w:spacing w:line="600" w:lineRule="exact"/>
        <w:ind w:firstLine="640" w:firstLineChars="200"/>
        <w:outlineLvl w:val="1"/>
        <w:rPr>
          <w:rStyle w:val="25"/>
          <w:rFonts w:ascii="黑体" w:hAnsi="黑体" w:eastAsia="黑体"/>
          <w:b w:val="0"/>
        </w:rPr>
      </w:pPr>
      <w:bookmarkStart w:id="33" w:name="_Toc19089869"/>
      <w:bookmarkStart w:id="34"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3"/>
      <w:bookmarkEnd w:id="34"/>
    </w:p>
    <w:p>
      <w:pPr>
        <w:spacing w:line="600" w:lineRule="exact"/>
        <w:ind w:firstLine="642" w:firstLineChars="200"/>
        <w:outlineLvl w:val="2"/>
        <w:rPr>
          <w:rFonts w:ascii="仿宋" w:hAnsi="仿宋" w:eastAsia="仿宋"/>
          <w:b/>
          <w:sz w:val="32"/>
          <w:szCs w:val="32"/>
        </w:rPr>
      </w:pPr>
      <w:bookmarkStart w:id="35" w:name="_Toc15377210"/>
      <w:r>
        <w:rPr>
          <w:rFonts w:hint="eastAsia" w:ascii="仿宋" w:hAnsi="仿宋" w:eastAsia="仿宋"/>
          <w:b/>
          <w:sz w:val="32"/>
          <w:szCs w:val="32"/>
        </w:rPr>
        <w:t>（一）一般公共预算财政拨款支出决算总体情况</w:t>
      </w:r>
      <w:bookmarkEnd w:id="35"/>
    </w:p>
    <w:p>
      <w:pPr>
        <w:snapToGri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2020年一般公共预算财政拨款支出</w:t>
      </w:r>
      <w:r>
        <w:rPr>
          <w:rFonts w:ascii="仿宋" w:hAnsi="仿宋" w:eastAsia="仿宋" w:cs="仿宋"/>
          <w:color w:val="000000"/>
          <w:sz w:val="28"/>
          <w:szCs w:val="28"/>
        </w:rPr>
        <w:t>1569.49</w:t>
      </w:r>
      <w:r>
        <w:rPr>
          <w:rFonts w:hint="eastAsia" w:ascii="仿宋" w:hAnsi="仿宋" w:eastAsia="仿宋" w:cs="仿宋"/>
          <w:color w:val="000000"/>
          <w:sz w:val="28"/>
          <w:szCs w:val="28"/>
        </w:rPr>
        <w:t>万元，占本年支出合计（</w:t>
      </w:r>
      <w:r>
        <w:rPr>
          <w:rFonts w:ascii="仿宋" w:hAnsi="仿宋" w:eastAsia="仿宋" w:cs="仿宋"/>
          <w:color w:val="000000"/>
          <w:sz w:val="28"/>
          <w:szCs w:val="28"/>
        </w:rPr>
        <w:t>1630.68</w:t>
      </w:r>
      <w:r>
        <w:rPr>
          <w:rFonts w:hint="eastAsia" w:ascii="仿宋" w:hAnsi="仿宋" w:eastAsia="仿宋" w:cs="仿宋"/>
          <w:color w:val="000000"/>
          <w:sz w:val="28"/>
          <w:szCs w:val="28"/>
        </w:rPr>
        <w:t>万元）的96.25%。与2019年相比（1624.39万元），一般公共预算财政拨款支出减少54.9万元，减少3.38%。</w:t>
      </w:r>
      <w:r>
        <w:rPr>
          <w:rFonts w:hint="eastAsia" w:ascii="仿宋" w:hAnsi="仿宋" w:eastAsia="仿宋" w:cs="仿宋"/>
          <w:color w:val="000000"/>
          <w:kern w:val="0"/>
          <w:sz w:val="28"/>
          <w:szCs w:val="28"/>
        </w:rPr>
        <w:t>主要变动原因</w:t>
      </w:r>
      <w:r>
        <w:rPr>
          <w:rFonts w:hint="eastAsia" w:ascii="仿宋" w:hAnsi="仿宋" w:eastAsia="仿宋" w:cs="仿宋"/>
          <w:color w:val="000000"/>
          <w:sz w:val="28"/>
          <w:szCs w:val="28"/>
        </w:rPr>
        <w:t>是上西中学项目支出减少。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rPr>
          <w:rFonts w:ascii="仿宋" w:hAnsi="仿宋" w:eastAsia="仿宋"/>
          <w:sz w:val="32"/>
          <w:szCs w:val="32"/>
        </w:rPr>
      </w:pPr>
      <w:r>
        <w:rPr>
          <w:rFonts w:hint="eastAsia" w:ascii="仿宋" w:hAnsi="仿宋" w:eastAsia="仿宋"/>
          <w:b/>
          <w:sz w:val="32"/>
          <w:szCs w:val="32"/>
        </w:rPr>
        <w:drawing>
          <wp:anchor distT="0" distB="0" distL="114300" distR="114300" simplePos="0" relativeHeight="251663360" behindDoc="0" locked="0" layoutInCell="1" allowOverlap="1">
            <wp:simplePos x="0" y="0"/>
            <wp:positionH relativeFrom="column">
              <wp:posOffset>409575</wp:posOffset>
            </wp:positionH>
            <wp:positionV relativeFrom="paragraph">
              <wp:posOffset>117475</wp:posOffset>
            </wp:positionV>
            <wp:extent cx="4838700" cy="1466850"/>
            <wp:effectExtent l="0" t="0" r="19050" b="1905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6" w:name="_Toc15377211"/>
      <w:r>
        <w:rPr>
          <w:rFonts w:hint="eastAsia" w:ascii="仿宋" w:hAnsi="仿宋" w:eastAsia="仿宋"/>
          <w:b/>
          <w:sz w:val="32"/>
          <w:szCs w:val="32"/>
        </w:rPr>
        <w:t>（（二）一般公共预算财政拨款支出决算结构情况</w:t>
      </w:r>
      <w:bookmarkEnd w:id="36"/>
    </w:p>
    <w:p>
      <w:pPr>
        <w:snapToGrid w:val="0"/>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2020年一般公共预算财政拨款支出</w:t>
      </w:r>
      <w:r>
        <w:rPr>
          <w:rFonts w:ascii="仿宋" w:hAnsi="仿宋" w:eastAsia="仿宋" w:cs="仿宋"/>
          <w:color w:val="000000"/>
          <w:sz w:val="28"/>
          <w:szCs w:val="28"/>
        </w:rPr>
        <w:t>1569.49</w:t>
      </w:r>
      <w:r>
        <w:rPr>
          <w:rFonts w:hint="eastAsia" w:ascii="仿宋" w:hAnsi="仿宋" w:eastAsia="仿宋" w:cs="仿宋"/>
          <w:color w:val="000000"/>
          <w:sz w:val="28"/>
          <w:szCs w:val="28"/>
        </w:rPr>
        <w:t>万元，主要用于以下方面:一般公共服务（类）支出0.00万元，占0.00%；教育支出（类）</w:t>
      </w:r>
      <w:r>
        <w:rPr>
          <w:rFonts w:ascii="仿宋" w:hAnsi="仿宋" w:eastAsia="仿宋" w:cs="仿宋"/>
          <w:color w:val="000000"/>
          <w:sz w:val="28"/>
          <w:szCs w:val="28"/>
        </w:rPr>
        <w:t>1394.13</w:t>
      </w:r>
      <w:r>
        <w:rPr>
          <w:rFonts w:hint="eastAsia" w:ascii="仿宋" w:hAnsi="仿宋" w:eastAsia="仿宋" w:cs="仿宋"/>
          <w:color w:val="000000"/>
          <w:sz w:val="28"/>
          <w:szCs w:val="28"/>
        </w:rPr>
        <w:t>万元，占88.83%；科学技术（类）支出0.00万元，占0.00%；社会保障和就业（类）支出</w:t>
      </w:r>
      <w:r>
        <w:rPr>
          <w:rFonts w:ascii="仿宋" w:hAnsi="仿宋" w:eastAsia="仿宋" w:cs="仿宋"/>
          <w:color w:val="000000"/>
          <w:sz w:val="28"/>
          <w:szCs w:val="28"/>
        </w:rPr>
        <w:t>126.62</w:t>
      </w:r>
      <w:r>
        <w:rPr>
          <w:rFonts w:hint="eastAsia" w:ascii="仿宋" w:hAnsi="仿宋" w:eastAsia="仿宋" w:cs="仿宋"/>
          <w:color w:val="000000"/>
          <w:sz w:val="28"/>
          <w:szCs w:val="28"/>
        </w:rPr>
        <w:t>万元，占8.07%；卫生健康（类）支出</w:t>
      </w:r>
      <w:r>
        <w:rPr>
          <w:rFonts w:ascii="仿宋" w:hAnsi="仿宋" w:eastAsia="仿宋" w:cs="仿宋"/>
          <w:color w:val="000000"/>
          <w:sz w:val="28"/>
          <w:szCs w:val="28"/>
        </w:rPr>
        <w:t>48.74</w:t>
      </w:r>
      <w:r>
        <w:rPr>
          <w:rFonts w:hint="eastAsia" w:ascii="仿宋" w:hAnsi="仿宋" w:eastAsia="仿宋" w:cs="仿宋"/>
          <w:color w:val="000000"/>
          <w:sz w:val="28"/>
          <w:szCs w:val="28"/>
        </w:rPr>
        <w:t>万元，占3.1%；农林水（类）支出0.00万元，占0.00%；住房保障(类)支出0.00万元，占0.00%；其它支出（类）支出0.00万元，占0.00%。</w:t>
      </w:r>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556250" cy="3308350"/>
            <wp:effectExtent l="0" t="0" r="25400" b="2540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pPr>
        <w:spacing w:line="600" w:lineRule="exact"/>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7" w:name="_Toc15377212"/>
      <w:r>
        <w:rPr>
          <w:rFonts w:hint="eastAsia" w:ascii="仿宋" w:hAnsi="仿宋" w:eastAsia="仿宋"/>
          <w:b/>
          <w:sz w:val="32"/>
          <w:szCs w:val="32"/>
        </w:rPr>
        <w:t>（三）一般公共预算财政拨款支出决算具体情况</w:t>
      </w:r>
      <w:bookmarkEnd w:id="37"/>
    </w:p>
    <w:p>
      <w:pPr>
        <w:snapToGrid w:val="0"/>
        <w:spacing w:line="560" w:lineRule="exact"/>
        <w:ind w:firstLine="560" w:firstLineChars="200"/>
        <w:outlineLvl w:val="2"/>
        <w:rPr>
          <w:rFonts w:ascii="仿宋" w:hAnsi="仿宋" w:eastAsia="仿宋" w:cs="仿宋"/>
          <w:color w:val="000000"/>
          <w:sz w:val="28"/>
          <w:szCs w:val="28"/>
        </w:rPr>
      </w:pPr>
      <w:bookmarkStart w:id="38" w:name="_Toc15377444"/>
      <w:bookmarkStart w:id="39" w:name="_Toc15377213"/>
      <w:bookmarkStart w:id="40" w:name="_Toc15378460"/>
      <w:r>
        <w:rPr>
          <w:rFonts w:hint="eastAsia" w:ascii="仿宋" w:hAnsi="仿宋" w:eastAsia="仿宋" w:cs="仿宋"/>
          <w:color w:val="000000"/>
          <w:sz w:val="28"/>
          <w:szCs w:val="28"/>
        </w:rPr>
        <w:t>2020年一般公共预算支出决算数为</w:t>
      </w:r>
      <w:r>
        <w:rPr>
          <w:rFonts w:ascii="仿宋" w:hAnsi="仿宋" w:eastAsia="仿宋" w:cs="仿宋"/>
          <w:color w:val="000000"/>
          <w:sz w:val="28"/>
          <w:szCs w:val="28"/>
        </w:rPr>
        <w:t>1569.49</w:t>
      </w:r>
      <w:r>
        <w:rPr>
          <w:rFonts w:hint="eastAsia" w:ascii="仿宋" w:hAnsi="仿宋" w:eastAsia="仿宋" w:cs="仿宋"/>
          <w:color w:val="000000"/>
          <w:sz w:val="28"/>
          <w:szCs w:val="28"/>
        </w:rPr>
        <w:t>万元，</w:t>
      </w:r>
      <w:r>
        <w:rPr>
          <w:rStyle w:val="14"/>
          <w:rFonts w:hint="eastAsia" w:ascii="仿宋" w:hAnsi="仿宋" w:eastAsia="仿宋" w:cs="仿宋"/>
          <w:color w:val="000000"/>
          <w:sz w:val="28"/>
          <w:szCs w:val="28"/>
        </w:rPr>
        <w:t>完成预算93.07%。其中：</w:t>
      </w:r>
      <w:bookmarkEnd w:id="38"/>
      <w:bookmarkEnd w:id="39"/>
      <w:bookmarkEnd w:id="40"/>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1.</w:t>
      </w:r>
      <w:r>
        <w:rPr>
          <w:rFonts w:ascii="仿宋" w:hAnsi="仿宋" w:eastAsia="仿宋"/>
          <w:bCs/>
          <w:sz w:val="32"/>
          <w:szCs w:val="32"/>
        </w:rPr>
        <w:t xml:space="preserve"> </w:t>
      </w:r>
      <w:r>
        <w:rPr>
          <w:rStyle w:val="14"/>
          <w:rFonts w:ascii="仿宋" w:hAnsi="仿宋" w:eastAsia="仿宋"/>
          <w:bCs/>
          <w:sz w:val="32"/>
          <w:szCs w:val="32"/>
        </w:rPr>
        <w:t>教育支出</w:t>
      </w:r>
      <w:r>
        <w:rPr>
          <w:rStyle w:val="14"/>
          <w:rFonts w:hint="eastAsia" w:ascii="仿宋" w:hAnsi="仿宋" w:eastAsia="仿宋"/>
          <w:bCs/>
          <w:sz w:val="32"/>
          <w:szCs w:val="32"/>
        </w:rPr>
        <w:t>（类）教育管理事务（款）行政运行（项）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sz w:val="32"/>
          <w:szCs w:val="32"/>
        </w:rPr>
        <w:t>万元，完成预算0</w:t>
      </w:r>
      <w:r>
        <w:rPr>
          <w:rStyle w:val="14"/>
          <w:rFonts w:ascii="仿宋" w:hAnsi="仿宋" w:eastAsia="仿宋"/>
          <w:b w:val="0"/>
          <w:bCs/>
          <w:color w:val="0000FF"/>
          <w:sz w:val="32"/>
          <w:szCs w:val="32"/>
        </w:rPr>
        <w:t>%</w:t>
      </w:r>
      <w:r>
        <w:rPr>
          <w:rStyle w:val="14"/>
          <w:rFonts w:hint="eastAsia" w:ascii="仿宋" w:hAnsi="仿宋" w:eastAsia="仿宋"/>
          <w:b w:val="0"/>
          <w:bCs/>
          <w:sz w:val="32"/>
          <w:szCs w:val="32"/>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ascii="仿宋" w:hAnsi="仿宋" w:eastAsia="仿宋"/>
          <w:bCs/>
          <w:sz w:val="32"/>
          <w:szCs w:val="32"/>
        </w:rPr>
        <w:t>2.</w:t>
      </w:r>
      <w:r>
        <w:rPr>
          <w:rFonts w:ascii="仿宋" w:hAnsi="仿宋" w:eastAsia="仿宋"/>
          <w:bCs/>
          <w:sz w:val="32"/>
          <w:szCs w:val="32"/>
        </w:rPr>
        <w:t xml:space="preserve"> </w:t>
      </w:r>
      <w:r>
        <w:rPr>
          <w:rStyle w:val="14"/>
          <w:rFonts w:ascii="仿宋" w:hAnsi="仿宋" w:eastAsia="仿宋"/>
          <w:bCs/>
          <w:sz w:val="32"/>
          <w:szCs w:val="32"/>
        </w:rPr>
        <w:t>教育支出</w:t>
      </w:r>
      <w:r>
        <w:rPr>
          <w:rStyle w:val="14"/>
          <w:rFonts w:hint="eastAsia" w:ascii="仿宋" w:hAnsi="仿宋" w:eastAsia="仿宋"/>
          <w:bCs/>
          <w:sz w:val="32"/>
          <w:szCs w:val="32"/>
        </w:rPr>
        <w:t>（类）教育管理事务（款）一般行政管理事务（项）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sz w:val="32"/>
          <w:szCs w:val="32"/>
        </w:rPr>
        <w:t>万元，完成预算</w:t>
      </w:r>
      <w:r>
        <w:rPr>
          <w:rStyle w:val="14"/>
          <w:rFonts w:hint="eastAsia" w:ascii="仿宋" w:hAnsi="仿宋" w:eastAsia="仿宋"/>
          <w:b w:val="0"/>
          <w:bCs/>
          <w:color w:val="0000FF"/>
          <w:sz w:val="32"/>
          <w:szCs w:val="32"/>
        </w:rPr>
        <w:t>0</w:t>
      </w:r>
      <w:r>
        <w:rPr>
          <w:rStyle w:val="14"/>
          <w:rFonts w:ascii="仿宋" w:hAnsi="仿宋" w:eastAsia="仿宋"/>
          <w:b w:val="0"/>
          <w:bCs/>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ascii="仿宋" w:hAnsi="仿宋" w:eastAsia="仿宋"/>
          <w:bCs/>
          <w:sz w:val="32"/>
          <w:szCs w:val="32"/>
        </w:rPr>
        <w:t>3.</w:t>
      </w:r>
      <w:r>
        <w:rPr>
          <w:rFonts w:ascii="仿宋" w:hAnsi="仿宋" w:eastAsia="仿宋"/>
          <w:bCs/>
          <w:sz w:val="32"/>
          <w:szCs w:val="32"/>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（类）普通教育（款）学前教育（项）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tabs>
          <w:tab w:val="left" w:pos="840"/>
          <w:tab w:val="left" w:pos="1050"/>
        </w:tabs>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4</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hint="eastAsia" w:ascii="仿宋" w:hAnsi="仿宋" w:eastAsia="仿宋" w:cs="仿宋"/>
          <w:color w:val="000000"/>
          <w:sz w:val="28"/>
          <w:szCs w:val="28"/>
        </w:rPr>
        <w:t>教育支出（类）普通教育（款）初中教育（项）: 支出决算数为</w:t>
      </w:r>
      <w:r>
        <w:rPr>
          <w:rFonts w:ascii="仿宋" w:hAnsi="仿宋" w:eastAsia="仿宋" w:cs="仿宋"/>
          <w:color w:val="000000"/>
          <w:sz w:val="28"/>
          <w:szCs w:val="28"/>
        </w:rPr>
        <w:t>1394.13</w:t>
      </w:r>
      <w:r>
        <w:rPr>
          <w:rStyle w:val="14"/>
          <w:rFonts w:hint="eastAsia" w:ascii="仿宋" w:hAnsi="仿宋" w:eastAsia="仿宋" w:cs="仿宋"/>
          <w:color w:val="000000"/>
          <w:sz w:val="28"/>
          <w:szCs w:val="28"/>
        </w:rPr>
        <w:t>万元，完成预算93.07%，决算数小于预算数的主要原因是上西中学人员经费资金结转下年使用。</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5</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（类）普通教育（款）高中教育（项）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6</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（类）普通教育（款）高等教育（项）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支出决算为0万元，完成预算0%。</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 xml:space="preserve">7.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（类）普通教育（款）其它普通教育（项）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8</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（类）职业教育（款）中等职业教育（项）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FF"/>
          <w:sz w:val="32"/>
          <w:szCs w:val="32"/>
        </w:rPr>
      </w:pPr>
      <w:r>
        <w:rPr>
          <w:rStyle w:val="14"/>
          <w:rFonts w:hint="eastAsia" w:ascii="仿宋" w:hAnsi="仿宋" w:eastAsia="仿宋"/>
          <w:bCs/>
          <w:color w:val="000000" w:themeColor="text1"/>
          <w:sz w:val="32"/>
          <w:szCs w:val="32"/>
          <w14:textFill>
            <w14:solidFill>
              <w14:schemeClr w14:val="tx1"/>
            </w14:solidFill>
          </w14:textFill>
        </w:rPr>
        <w:t>9</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（类）职业教育（款）技校教育（项）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color w:val="000000" w:themeColor="text1"/>
          <w:sz w:val="32"/>
          <w:szCs w:val="32"/>
          <w14:textFill>
            <w14:solidFill>
              <w14:schemeClr w14:val="tx1"/>
            </w14:solidFill>
          </w14:textFill>
        </w:rPr>
        <w:t>万元，完成预算0%。</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10</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（类）职业教育（款）高等职业教育（项）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11.</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（类）教育附加费安排的支出（款）农村中小学教学设施（项）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0</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12.</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（类）教育附加费安排的支出（款）农村中小学教学设施（项）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13.</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（类）教育附加费安排的支出（款）其他教育附加安排的支出（项）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0万元</w:t>
      </w:r>
      <w:r>
        <w:rPr>
          <w:rStyle w:val="14"/>
          <w:rFonts w:hint="eastAsia" w:ascii="仿宋" w:hAnsi="仿宋" w:eastAsia="仿宋"/>
          <w:b w:val="0"/>
          <w:bCs/>
          <w:color w:val="000000" w:themeColor="text1"/>
          <w:sz w:val="32"/>
          <w:szCs w:val="32"/>
          <w14:textFill>
            <w14:solidFill>
              <w14:schemeClr w14:val="tx1"/>
            </w14:solidFill>
          </w14:textFill>
        </w:rPr>
        <w:t>，完成预算</w:t>
      </w:r>
      <w:r>
        <w:rPr>
          <w:rStyle w:val="14"/>
          <w:rFonts w:hint="eastAsia" w:ascii="仿宋" w:hAnsi="仿宋" w:eastAsia="仿宋"/>
          <w:b w:val="0"/>
          <w:bCs/>
          <w:color w:val="0000FF"/>
          <w:sz w:val="32"/>
          <w:szCs w:val="32"/>
        </w:rPr>
        <w:t>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14</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Style w:val="14"/>
          <w:rFonts w:ascii="仿宋" w:hAnsi="仿宋" w:eastAsia="仿宋"/>
          <w:bCs/>
          <w:color w:val="000000" w:themeColor="text1"/>
          <w:sz w:val="32"/>
          <w:szCs w:val="32"/>
          <w14:textFill>
            <w14:solidFill>
              <w14:schemeClr w14:val="tx1"/>
            </w14:solidFill>
          </w14:textFill>
        </w:rPr>
        <w:t>教育支出</w:t>
      </w:r>
      <w:r>
        <w:rPr>
          <w:rStyle w:val="14"/>
          <w:rFonts w:hint="eastAsia" w:ascii="仿宋" w:hAnsi="仿宋" w:eastAsia="仿宋"/>
          <w:bCs/>
          <w:color w:val="000000" w:themeColor="text1"/>
          <w:sz w:val="32"/>
          <w:szCs w:val="32"/>
          <w14:textFill>
            <w14:solidFill>
              <w14:schemeClr w14:val="tx1"/>
            </w14:solidFill>
          </w14:textFill>
        </w:rPr>
        <w:t>（类）其它教育支出（款）其他教育支出（项）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15</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（类）行政事业单位离退休（款）未归口管理的行政单位离退休（项）</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0</w:t>
      </w:r>
      <w:r>
        <w:rPr>
          <w:rStyle w:val="14"/>
          <w:rFonts w:ascii="仿宋" w:hAnsi="仿宋" w:eastAsia="仿宋"/>
          <w:b w:val="0"/>
          <w:bCs/>
          <w:color w:val="0000FF"/>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napToGrid w:val="0"/>
        <w:spacing w:line="560" w:lineRule="exact"/>
        <w:ind w:firstLine="642" w:firstLineChars="200"/>
        <w:rPr>
          <w:rStyle w:val="14"/>
          <w:rFonts w:ascii="仿宋" w:hAnsi="仿宋" w:eastAsia="仿宋" w:cs="仿宋"/>
          <w:b w:val="0"/>
          <w:color w:val="000000"/>
          <w:sz w:val="28"/>
          <w:szCs w:val="28"/>
        </w:rPr>
      </w:pPr>
      <w:r>
        <w:rPr>
          <w:rStyle w:val="14"/>
          <w:rFonts w:hint="eastAsia" w:ascii="仿宋" w:hAnsi="仿宋" w:eastAsia="仿宋"/>
          <w:bCs/>
          <w:color w:val="000000" w:themeColor="text1"/>
          <w:sz w:val="32"/>
          <w:szCs w:val="32"/>
          <w14:textFill>
            <w14:solidFill>
              <w14:schemeClr w14:val="tx1"/>
            </w14:solidFill>
          </w14:textFill>
        </w:rPr>
        <w:t>16</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cs="仿宋"/>
          <w:color w:val="000000"/>
          <w:sz w:val="28"/>
          <w:szCs w:val="28"/>
        </w:rPr>
        <w:t>社会保障和就业支出</w:t>
      </w:r>
      <w:r>
        <w:rPr>
          <w:rStyle w:val="14"/>
          <w:rFonts w:hint="eastAsia" w:ascii="仿宋" w:hAnsi="仿宋" w:eastAsia="仿宋" w:cs="仿宋"/>
          <w:color w:val="000000"/>
          <w:sz w:val="28"/>
          <w:szCs w:val="28"/>
        </w:rPr>
        <w:t>（类）行政事业单位离退休（款）机关事业单位基本养老保险缴费支出（项）: 支出决算为</w:t>
      </w:r>
      <w:r>
        <w:rPr>
          <w:rStyle w:val="14"/>
          <w:rFonts w:ascii="仿宋" w:hAnsi="仿宋" w:eastAsia="仿宋" w:cs="仿宋"/>
          <w:color w:val="000000"/>
          <w:sz w:val="28"/>
          <w:szCs w:val="28"/>
        </w:rPr>
        <w:t>93.26</w:t>
      </w:r>
      <w:r>
        <w:rPr>
          <w:rStyle w:val="14"/>
          <w:rFonts w:hint="eastAsia" w:ascii="仿宋" w:hAnsi="仿宋" w:eastAsia="仿宋" w:cs="仿宋"/>
          <w:color w:val="000000"/>
          <w:sz w:val="28"/>
          <w:szCs w:val="28"/>
        </w:rPr>
        <w:t>万元，完成预算100%</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17</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社会保障和就业支出</w:t>
      </w:r>
      <w:r>
        <w:rPr>
          <w:rStyle w:val="14"/>
          <w:rFonts w:hint="eastAsia" w:ascii="仿宋" w:hAnsi="仿宋" w:eastAsia="仿宋"/>
          <w:bCs/>
          <w:color w:val="000000" w:themeColor="text1"/>
          <w:sz w:val="32"/>
          <w:szCs w:val="32"/>
          <w14:textFill>
            <w14:solidFill>
              <w14:schemeClr w14:val="tx1"/>
            </w14:solidFill>
          </w14:textFill>
        </w:rPr>
        <w:t>（类）行政事业单位离退休（款）机关事业单位职业年金缴费支出（项）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FF"/>
          <w:sz w:val="32"/>
          <w:szCs w:val="32"/>
        </w:rPr>
        <w:t>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FF"/>
          <w:sz w:val="32"/>
          <w:szCs w:val="32"/>
        </w:rPr>
        <w:t>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napToGrid w:val="0"/>
        <w:spacing w:line="560" w:lineRule="exact"/>
        <w:ind w:firstLine="642" w:firstLineChars="200"/>
        <w:rPr>
          <w:rStyle w:val="14"/>
          <w:rFonts w:ascii="仿宋" w:hAnsi="仿宋" w:eastAsia="仿宋" w:cs="仿宋"/>
          <w:b w:val="0"/>
          <w:color w:val="000000"/>
          <w:sz w:val="28"/>
          <w:szCs w:val="28"/>
        </w:rPr>
      </w:pPr>
      <w:r>
        <w:rPr>
          <w:rStyle w:val="14"/>
          <w:rFonts w:hint="eastAsia" w:ascii="仿宋" w:hAnsi="仿宋" w:eastAsia="仿宋"/>
          <w:bCs/>
          <w:color w:val="000000" w:themeColor="text1"/>
          <w:sz w:val="32"/>
          <w:szCs w:val="32"/>
          <w14:textFill>
            <w14:solidFill>
              <w14:schemeClr w14:val="tx1"/>
            </w14:solidFill>
          </w14:textFill>
        </w:rPr>
        <w:t>18</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cs="仿宋"/>
          <w:color w:val="000000"/>
          <w:sz w:val="28"/>
          <w:szCs w:val="28"/>
        </w:rPr>
        <w:t>社会保障和就业支出</w:t>
      </w:r>
      <w:r>
        <w:rPr>
          <w:rStyle w:val="14"/>
          <w:rFonts w:hint="eastAsia" w:ascii="仿宋" w:hAnsi="仿宋" w:eastAsia="仿宋" w:cs="仿宋"/>
          <w:color w:val="000000"/>
          <w:sz w:val="28"/>
          <w:szCs w:val="28"/>
        </w:rPr>
        <w:t>（类）其它社会保障和就业支出（款）其它社会保障和就业支出（项）:支出决算为</w:t>
      </w:r>
      <w:r>
        <w:rPr>
          <w:rStyle w:val="14"/>
          <w:rFonts w:ascii="仿宋" w:hAnsi="仿宋" w:eastAsia="仿宋" w:cs="仿宋"/>
          <w:color w:val="000000"/>
          <w:sz w:val="28"/>
          <w:szCs w:val="28"/>
        </w:rPr>
        <w:t>17.79</w:t>
      </w:r>
      <w:r>
        <w:rPr>
          <w:rStyle w:val="14"/>
          <w:rFonts w:hint="eastAsia" w:ascii="仿宋" w:hAnsi="仿宋" w:eastAsia="仿宋" w:cs="仿宋"/>
          <w:color w:val="000000"/>
          <w:sz w:val="28"/>
          <w:szCs w:val="28"/>
        </w:rPr>
        <w:t>万元，完成预算100%</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19</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cs="仿宋"/>
          <w:color w:val="000000"/>
          <w:sz w:val="28"/>
          <w:szCs w:val="28"/>
        </w:rPr>
        <w:t>卫生健康支出</w:t>
      </w:r>
      <w:r>
        <w:rPr>
          <w:rStyle w:val="14"/>
          <w:rFonts w:hint="eastAsia" w:ascii="仿宋" w:hAnsi="仿宋" w:eastAsia="仿宋" w:cs="仿宋"/>
          <w:color w:val="000000"/>
          <w:sz w:val="28"/>
          <w:szCs w:val="28"/>
        </w:rPr>
        <w:t>（类）行政事业单位医疗（款）事业单位医疗（项）: 支出决算为</w:t>
      </w:r>
      <w:r>
        <w:rPr>
          <w:rStyle w:val="14"/>
          <w:rFonts w:ascii="仿宋" w:hAnsi="仿宋" w:eastAsia="仿宋" w:cs="仿宋"/>
          <w:color w:val="000000"/>
          <w:sz w:val="28"/>
          <w:szCs w:val="28"/>
        </w:rPr>
        <w:t>48.74</w:t>
      </w:r>
      <w:r>
        <w:rPr>
          <w:rStyle w:val="14"/>
          <w:rFonts w:hint="eastAsia" w:ascii="仿宋" w:hAnsi="仿宋" w:eastAsia="仿宋" w:cs="仿宋"/>
          <w:color w:val="000000"/>
          <w:sz w:val="28"/>
          <w:szCs w:val="28"/>
        </w:rPr>
        <w:t>万元，完成预算100%。</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20</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医疗卫生与计划生育</w:t>
      </w:r>
      <w:r>
        <w:rPr>
          <w:rStyle w:val="14"/>
          <w:rFonts w:hint="eastAsia" w:ascii="仿宋" w:hAnsi="仿宋" w:eastAsia="仿宋"/>
          <w:bCs/>
          <w:color w:val="000000" w:themeColor="text1"/>
          <w:sz w:val="32"/>
          <w:szCs w:val="32"/>
          <w14:textFill>
            <w14:solidFill>
              <w14:schemeClr w14:val="tx1"/>
            </w14:solidFill>
          </w14:textFill>
        </w:rPr>
        <w:t>（类）行政事业单位医疗（款）事业单位医疗（项）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支出决算为0万元，完成预算0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21</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农林水支出</w:t>
      </w:r>
      <w:r>
        <w:rPr>
          <w:rStyle w:val="14"/>
          <w:rFonts w:hint="eastAsia" w:ascii="仿宋" w:hAnsi="仿宋" w:eastAsia="仿宋"/>
          <w:bCs/>
          <w:color w:val="000000" w:themeColor="text1"/>
          <w:sz w:val="32"/>
          <w:szCs w:val="32"/>
          <w14:textFill>
            <w14:solidFill>
              <w14:schemeClr w14:val="tx1"/>
            </w14:solidFill>
          </w14:textFill>
        </w:rPr>
        <w:t>（类）扶贫（款）其它扶贫支出（项）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支出决算为0万元，完成预算0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20</w:t>
      </w:r>
      <w:r>
        <w:rPr>
          <w:rStyle w:val="14"/>
          <w:rFonts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 </w:t>
      </w:r>
      <w:r>
        <w:rPr>
          <w:rFonts w:ascii="仿宋" w:hAnsi="仿宋" w:eastAsia="仿宋"/>
          <w:b/>
          <w:bCs/>
          <w:color w:val="000000" w:themeColor="text1"/>
          <w:sz w:val="32"/>
          <w:szCs w:val="32"/>
          <w14:textFill>
            <w14:solidFill>
              <w14:schemeClr w14:val="tx1"/>
            </w14:solidFill>
          </w14:textFill>
        </w:rPr>
        <w:t>住房保障支出</w:t>
      </w:r>
      <w:r>
        <w:rPr>
          <w:rStyle w:val="14"/>
          <w:rFonts w:hint="eastAsia" w:ascii="仿宋" w:hAnsi="仿宋" w:eastAsia="仿宋"/>
          <w:bCs/>
          <w:color w:val="000000" w:themeColor="text1"/>
          <w:sz w:val="32"/>
          <w:szCs w:val="32"/>
          <w14:textFill>
            <w14:solidFill>
              <w14:schemeClr w14:val="tx1"/>
            </w14:solidFill>
          </w14:textFill>
        </w:rPr>
        <w:t>（类）住房改革支出（款）住房公积金（项）</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支出决算为0万元，完成预算0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08</w:t>
      </w:r>
      <w:r>
        <w:rPr>
          <w:rFonts w:hint="eastAsia" w:ascii="仿宋" w:hAnsi="仿宋" w:eastAsia="仿宋"/>
          <w:b/>
          <w:sz w:val="32"/>
          <w:szCs w:val="32"/>
        </w:rPr>
        <w:t>表，罗列全部功能分类科目至项级。上述“预算”口径为调整预算数。增减变动原因为决算数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sz w:val="32"/>
          <w:szCs w:val="32"/>
        </w:rPr>
      </w:pPr>
      <w:r>
        <w:rPr>
          <w:rFonts w:hint="eastAsia" w:ascii="仿宋" w:hAnsi="仿宋" w:eastAsia="仿宋"/>
          <w:sz w:val="32"/>
          <w:szCs w:val="32"/>
        </w:rPr>
        <w:t>（图7：一般公共预算财政拨款支出完成比例情况图）</w:t>
      </w:r>
    </w:p>
    <w:p>
      <w:pPr>
        <w:spacing w:line="600" w:lineRule="exact"/>
        <w:ind w:firstLine="640"/>
        <w:rPr>
          <w:rStyle w:val="25"/>
        </w:rPr>
      </w:pPr>
      <w:r>
        <w:rPr>
          <w:rFonts w:ascii="仿宋" w:hAnsi="仿宋" w:eastAsia="仿宋"/>
          <w:sz w:val="32"/>
          <w:szCs w:val="32"/>
        </w:rPr>
        <w:drawing>
          <wp:anchor distT="0" distB="0" distL="114300" distR="114300" simplePos="0" relativeHeight="251666432" behindDoc="0" locked="0" layoutInCell="1" allowOverlap="1">
            <wp:simplePos x="0" y="0"/>
            <wp:positionH relativeFrom="column">
              <wp:posOffset>-368300</wp:posOffset>
            </wp:positionH>
            <wp:positionV relativeFrom="paragraph">
              <wp:posOffset>127000</wp:posOffset>
            </wp:positionV>
            <wp:extent cx="6191250" cy="3689350"/>
            <wp:effectExtent l="0" t="0" r="19050" b="254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1"/>
      <w:r>
        <w:rPr>
          <w:rStyle w:val="25"/>
          <w:rFonts w:ascii="黑体" w:hAnsi="黑体" w:eastAsia="黑体"/>
          <w:b w:val="0"/>
        </w:rPr>
        <w:tab/>
      </w:r>
    </w:p>
    <w:p>
      <w:pPr>
        <w:snapToGrid w:val="0"/>
        <w:spacing w:line="560" w:lineRule="exact"/>
        <w:ind w:firstLine="645"/>
        <w:rPr>
          <w:rFonts w:ascii="仿宋" w:hAnsi="仿宋" w:eastAsia="仿宋" w:cs="仿宋"/>
          <w:color w:val="000000"/>
          <w:sz w:val="28"/>
          <w:szCs w:val="28"/>
        </w:rPr>
      </w:pPr>
      <w:r>
        <w:rPr>
          <w:rFonts w:hint="eastAsia" w:ascii="仿宋" w:hAnsi="仿宋" w:eastAsia="仿宋" w:cs="仿宋"/>
          <w:color w:val="000000"/>
          <w:sz w:val="28"/>
          <w:szCs w:val="28"/>
        </w:rPr>
        <w:t>2020年一般公共预算财政拨款基本支出</w:t>
      </w:r>
      <w:r>
        <w:rPr>
          <w:rFonts w:ascii="仿宋" w:hAnsi="仿宋" w:eastAsia="仿宋" w:cs="仿宋"/>
          <w:color w:val="000000"/>
          <w:sz w:val="28"/>
          <w:szCs w:val="28"/>
        </w:rPr>
        <w:t>1143.7</w:t>
      </w:r>
      <w:r>
        <w:rPr>
          <w:rFonts w:hint="eastAsia" w:ascii="仿宋" w:hAnsi="仿宋" w:eastAsia="仿宋" w:cs="仿宋"/>
          <w:color w:val="000000"/>
          <w:sz w:val="28"/>
          <w:szCs w:val="28"/>
        </w:rPr>
        <w:t>2万元，其中：</w:t>
      </w:r>
    </w:p>
    <w:p>
      <w:pPr>
        <w:snapToGrid w:val="0"/>
        <w:spacing w:line="560" w:lineRule="exact"/>
        <w:ind w:firstLine="645"/>
        <w:rPr>
          <w:rFonts w:ascii="仿宋" w:hAnsi="仿宋" w:eastAsia="仿宋" w:cs="仿宋"/>
          <w:color w:val="000000"/>
          <w:sz w:val="28"/>
          <w:szCs w:val="28"/>
        </w:rPr>
      </w:pPr>
      <w:r>
        <w:rPr>
          <w:rFonts w:hint="eastAsia" w:ascii="仿宋" w:hAnsi="仿宋" w:eastAsia="仿宋" w:cs="仿宋"/>
          <w:color w:val="000000"/>
          <w:sz w:val="28"/>
          <w:szCs w:val="28"/>
        </w:rPr>
        <w:t>人员经费</w:t>
      </w:r>
      <w:r>
        <w:rPr>
          <w:rFonts w:ascii="仿宋" w:hAnsi="仿宋" w:eastAsia="仿宋" w:cs="仿宋"/>
          <w:color w:val="000000"/>
          <w:sz w:val="28"/>
          <w:szCs w:val="28"/>
        </w:rPr>
        <w:t>1008.16</w:t>
      </w:r>
      <w:r>
        <w:rPr>
          <w:rFonts w:hint="eastAsia" w:ascii="仿宋" w:hAnsi="仿宋" w:eastAsia="仿宋" w:cs="仿宋"/>
          <w:color w:val="000000"/>
          <w:sz w:val="28"/>
          <w:szCs w:val="28"/>
        </w:rPr>
        <w:t>万元，主要包括：基本工资</w:t>
      </w:r>
      <w:r>
        <w:rPr>
          <w:rFonts w:ascii="仿宋" w:hAnsi="仿宋" w:eastAsia="仿宋" w:cs="仿宋"/>
          <w:color w:val="000000"/>
          <w:sz w:val="28"/>
          <w:szCs w:val="28"/>
        </w:rPr>
        <w:t>366.26</w:t>
      </w:r>
      <w:r>
        <w:rPr>
          <w:rFonts w:hint="eastAsia" w:ascii="仿宋" w:hAnsi="仿宋" w:eastAsia="仿宋" w:cs="仿宋"/>
          <w:color w:val="000000"/>
          <w:sz w:val="28"/>
          <w:szCs w:val="28"/>
        </w:rPr>
        <w:t>万元、津贴补贴</w:t>
      </w:r>
      <w:r>
        <w:rPr>
          <w:rFonts w:ascii="仿宋" w:hAnsi="仿宋" w:eastAsia="仿宋" w:cs="仿宋"/>
          <w:color w:val="000000"/>
          <w:sz w:val="28"/>
          <w:szCs w:val="28"/>
        </w:rPr>
        <w:t>8.13</w:t>
      </w:r>
      <w:r>
        <w:rPr>
          <w:rFonts w:hint="eastAsia" w:ascii="仿宋" w:hAnsi="仿宋" w:eastAsia="仿宋" w:cs="仿宋"/>
          <w:color w:val="000000"/>
          <w:sz w:val="28"/>
          <w:szCs w:val="28"/>
        </w:rPr>
        <w:t>万元、绩效工资</w:t>
      </w:r>
      <w:r>
        <w:rPr>
          <w:rFonts w:ascii="仿宋" w:hAnsi="仿宋" w:eastAsia="仿宋" w:cs="仿宋"/>
          <w:color w:val="000000"/>
          <w:sz w:val="28"/>
          <w:szCs w:val="28"/>
        </w:rPr>
        <w:t>213.29</w:t>
      </w:r>
      <w:r>
        <w:rPr>
          <w:rFonts w:hint="eastAsia" w:ascii="仿宋" w:hAnsi="仿宋" w:eastAsia="仿宋" w:cs="仿宋"/>
          <w:color w:val="000000"/>
          <w:sz w:val="28"/>
          <w:szCs w:val="28"/>
        </w:rPr>
        <w:t>万元、机关事业单位基本养老保险缴费</w:t>
      </w:r>
      <w:r>
        <w:rPr>
          <w:rFonts w:ascii="仿宋" w:hAnsi="仿宋" w:eastAsia="仿宋" w:cs="仿宋"/>
          <w:color w:val="000000"/>
          <w:sz w:val="28"/>
          <w:szCs w:val="28"/>
        </w:rPr>
        <w:t>93.26</w:t>
      </w:r>
      <w:r>
        <w:rPr>
          <w:rFonts w:hint="eastAsia" w:ascii="仿宋" w:hAnsi="仿宋" w:eastAsia="仿宋" w:cs="仿宋"/>
          <w:color w:val="000000"/>
          <w:sz w:val="28"/>
          <w:szCs w:val="28"/>
        </w:rPr>
        <w:t>万元、职工基本医疗保险缴费</w:t>
      </w:r>
      <w:r>
        <w:rPr>
          <w:rFonts w:ascii="仿宋" w:hAnsi="仿宋" w:eastAsia="仿宋" w:cs="仿宋"/>
          <w:color w:val="000000"/>
          <w:sz w:val="28"/>
          <w:szCs w:val="28"/>
        </w:rPr>
        <w:t>48.74</w:t>
      </w:r>
      <w:r>
        <w:rPr>
          <w:rFonts w:hint="eastAsia" w:ascii="仿宋" w:hAnsi="仿宋" w:eastAsia="仿宋" w:cs="仿宋"/>
          <w:color w:val="000000"/>
          <w:sz w:val="28"/>
          <w:szCs w:val="28"/>
        </w:rPr>
        <w:t>万元、其他社会保障缴费</w:t>
      </w:r>
      <w:r>
        <w:rPr>
          <w:rFonts w:ascii="仿宋" w:hAnsi="仿宋" w:eastAsia="仿宋" w:cs="仿宋"/>
          <w:color w:val="000000"/>
          <w:sz w:val="28"/>
          <w:szCs w:val="28"/>
        </w:rPr>
        <w:t>17.79</w:t>
      </w:r>
      <w:r>
        <w:rPr>
          <w:rFonts w:hint="eastAsia" w:ascii="仿宋" w:hAnsi="仿宋" w:eastAsia="仿宋" w:cs="仿宋"/>
          <w:color w:val="000000"/>
          <w:sz w:val="28"/>
          <w:szCs w:val="28"/>
        </w:rPr>
        <w:t>万元、住房公积金</w:t>
      </w:r>
      <w:r>
        <w:rPr>
          <w:rFonts w:ascii="仿宋" w:hAnsi="仿宋" w:eastAsia="仿宋" w:cs="仿宋"/>
          <w:color w:val="000000"/>
          <w:sz w:val="28"/>
          <w:szCs w:val="28"/>
        </w:rPr>
        <w:t>69.32</w:t>
      </w:r>
      <w:r>
        <w:rPr>
          <w:rFonts w:hint="eastAsia" w:ascii="仿宋" w:hAnsi="仿宋" w:eastAsia="仿宋" w:cs="仿宋"/>
          <w:color w:val="000000"/>
          <w:sz w:val="28"/>
          <w:szCs w:val="28"/>
        </w:rPr>
        <w:t>万元、其他工资福利支出</w:t>
      </w:r>
      <w:r>
        <w:rPr>
          <w:rFonts w:ascii="仿宋" w:hAnsi="仿宋" w:eastAsia="仿宋" w:cs="仿宋"/>
          <w:color w:val="000000"/>
          <w:sz w:val="28"/>
          <w:szCs w:val="28"/>
        </w:rPr>
        <w:t>152.67</w:t>
      </w:r>
      <w:r>
        <w:rPr>
          <w:rFonts w:hint="eastAsia" w:ascii="仿宋" w:hAnsi="仿宋" w:eastAsia="仿宋" w:cs="仿宋"/>
          <w:color w:val="000000"/>
          <w:sz w:val="28"/>
          <w:szCs w:val="28"/>
        </w:rPr>
        <w:t>万元、生活补助</w:t>
      </w:r>
      <w:r>
        <w:rPr>
          <w:rFonts w:ascii="仿宋" w:hAnsi="仿宋" w:eastAsia="仿宋" w:cs="仿宋"/>
          <w:color w:val="000000"/>
          <w:sz w:val="28"/>
          <w:szCs w:val="28"/>
        </w:rPr>
        <w:t>33.77</w:t>
      </w:r>
      <w:r>
        <w:rPr>
          <w:rFonts w:hint="eastAsia" w:ascii="仿宋" w:hAnsi="仿宋" w:eastAsia="仿宋" w:cs="仿宋"/>
          <w:color w:val="000000"/>
          <w:sz w:val="28"/>
          <w:szCs w:val="28"/>
        </w:rPr>
        <w:t>万元、助学金</w:t>
      </w:r>
      <w:r>
        <w:rPr>
          <w:rFonts w:ascii="仿宋" w:hAnsi="仿宋" w:eastAsia="仿宋" w:cs="仿宋"/>
          <w:color w:val="000000"/>
          <w:sz w:val="28"/>
          <w:szCs w:val="28"/>
        </w:rPr>
        <w:t>4.63</w:t>
      </w:r>
      <w:r>
        <w:rPr>
          <w:rFonts w:hint="eastAsia" w:ascii="仿宋" w:hAnsi="仿宋" w:eastAsia="仿宋" w:cs="仿宋"/>
          <w:color w:val="000000"/>
          <w:sz w:val="28"/>
          <w:szCs w:val="28"/>
        </w:rPr>
        <w:t>万元、奖励金</w:t>
      </w:r>
      <w:r>
        <w:rPr>
          <w:rFonts w:ascii="仿宋" w:hAnsi="仿宋" w:eastAsia="仿宋" w:cs="仿宋"/>
          <w:color w:val="000000"/>
          <w:sz w:val="28"/>
          <w:szCs w:val="28"/>
        </w:rPr>
        <w:t>0.3</w:t>
      </w:r>
      <w:r>
        <w:rPr>
          <w:rFonts w:hint="eastAsia" w:ascii="仿宋" w:hAnsi="仿宋" w:eastAsia="仿宋" w:cs="仿宋"/>
          <w:color w:val="000000"/>
          <w:sz w:val="28"/>
          <w:szCs w:val="28"/>
        </w:rPr>
        <w:t>万元等。</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公用经费</w:t>
      </w:r>
      <w:r>
        <w:rPr>
          <w:rFonts w:ascii="仿宋" w:hAnsi="仿宋" w:eastAsia="仿宋" w:cs="仿宋"/>
          <w:color w:val="000000"/>
          <w:sz w:val="28"/>
          <w:szCs w:val="28"/>
        </w:rPr>
        <w:t>135.56</w:t>
      </w:r>
      <w:r>
        <w:rPr>
          <w:rFonts w:hint="eastAsia" w:ascii="仿宋" w:hAnsi="仿宋" w:eastAsia="仿宋" w:cs="仿宋"/>
          <w:color w:val="000000"/>
          <w:sz w:val="28"/>
          <w:szCs w:val="28"/>
        </w:rPr>
        <w:t>万元，主要包括：办公费</w:t>
      </w:r>
      <w:r>
        <w:rPr>
          <w:rFonts w:ascii="仿宋" w:hAnsi="仿宋" w:eastAsia="仿宋" w:cs="仿宋"/>
          <w:color w:val="000000"/>
          <w:sz w:val="28"/>
          <w:szCs w:val="28"/>
        </w:rPr>
        <w:t>28.2</w:t>
      </w:r>
      <w:r>
        <w:rPr>
          <w:rFonts w:hint="eastAsia" w:ascii="仿宋" w:hAnsi="仿宋" w:eastAsia="仿宋" w:cs="仿宋"/>
          <w:color w:val="000000"/>
          <w:sz w:val="28"/>
          <w:szCs w:val="28"/>
        </w:rPr>
        <w:t>万元、印刷费</w:t>
      </w:r>
      <w:r>
        <w:rPr>
          <w:rFonts w:ascii="仿宋" w:hAnsi="仿宋" w:eastAsia="仿宋" w:cs="仿宋"/>
          <w:color w:val="000000"/>
          <w:sz w:val="28"/>
          <w:szCs w:val="28"/>
        </w:rPr>
        <w:t>15.54</w:t>
      </w:r>
      <w:r>
        <w:rPr>
          <w:rFonts w:hint="eastAsia" w:ascii="仿宋" w:hAnsi="仿宋" w:eastAsia="仿宋" w:cs="仿宋"/>
          <w:color w:val="000000"/>
          <w:sz w:val="28"/>
          <w:szCs w:val="28"/>
        </w:rPr>
        <w:t>万元、咨询费</w:t>
      </w:r>
      <w:r>
        <w:rPr>
          <w:rFonts w:ascii="仿宋" w:hAnsi="仿宋" w:eastAsia="仿宋" w:cs="仿宋"/>
          <w:color w:val="000000"/>
          <w:sz w:val="28"/>
          <w:szCs w:val="28"/>
        </w:rPr>
        <w:t>1.8</w:t>
      </w:r>
      <w:r>
        <w:rPr>
          <w:rFonts w:hint="eastAsia" w:ascii="仿宋" w:hAnsi="仿宋" w:eastAsia="仿宋" w:cs="仿宋"/>
          <w:color w:val="000000"/>
          <w:sz w:val="28"/>
          <w:szCs w:val="28"/>
        </w:rPr>
        <w:t>万元、手续费1.66万元、水费</w:t>
      </w:r>
      <w:r>
        <w:rPr>
          <w:rFonts w:ascii="仿宋" w:hAnsi="仿宋" w:eastAsia="仿宋" w:cs="仿宋"/>
          <w:color w:val="000000"/>
          <w:sz w:val="28"/>
          <w:szCs w:val="28"/>
        </w:rPr>
        <w:t>13.64</w:t>
      </w:r>
      <w:r>
        <w:rPr>
          <w:rFonts w:hint="eastAsia" w:ascii="仿宋" w:hAnsi="仿宋" w:eastAsia="仿宋" w:cs="仿宋"/>
          <w:color w:val="000000"/>
          <w:sz w:val="28"/>
          <w:szCs w:val="28"/>
        </w:rPr>
        <w:t>万元、电费</w:t>
      </w:r>
      <w:r>
        <w:rPr>
          <w:rFonts w:ascii="仿宋" w:hAnsi="仿宋" w:eastAsia="仿宋" w:cs="仿宋"/>
          <w:color w:val="000000"/>
          <w:sz w:val="28"/>
          <w:szCs w:val="28"/>
        </w:rPr>
        <w:t>6.7</w:t>
      </w:r>
      <w:r>
        <w:rPr>
          <w:rFonts w:hint="eastAsia" w:ascii="仿宋" w:hAnsi="仿宋" w:eastAsia="仿宋" w:cs="仿宋"/>
          <w:color w:val="000000"/>
          <w:sz w:val="28"/>
          <w:szCs w:val="28"/>
        </w:rPr>
        <w:t>万元、邮电费</w:t>
      </w:r>
      <w:r>
        <w:rPr>
          <w:rFonts w:ascii="仿宋" w:hAnsi="仿宋" w:eastAsia="仿宋" w:cs="仿宋"/>
          <w:color w:val="000000"/>
          <w:sz w:val="28"/>
          <w:szCs w:val="28"/>
        </w:rPr>
        <w:t>3.95</w:t>
      </w:r>
      <w:r>
        <w:rPr>
          <w:rFonts w:hint="eastAsia" w:ascii="仿宋" w:hAnsi="仿宋" w:eastAsia="仿宋" w:cs="仿宋"/>
          <w:color w:val="000000"/>
          <w:sz w:val="28"/>
          <w:szCs w:val="28"/>
        </w:rPr>
        <w:t>万元、物业管理费</w:t>
      </w:r>
      <w:r>
        <w:rPr>
          <w:rFonts w:ascii="仿宋" w:hAnsi="仿宋" w:eastAsia="仿宋" w:cs="仿宋"/>
          <w:color w:val="000000"/>
          <w:sz w:val="28"/>
          <w:szCs w:val="28"/>
        </w:rPr>
        <w:t>5.27</w:t>
      </w:r>
      <w:r>
        <w:rPr>
          <w:rFonts w:hint="eastAsia" w:ascii="仿宋" w:hAnsi="仿宋" w:eastAsia="仿宋" w:cs="仿宋"/>
          <w:color w:val="000000"/>
          <w:sz w:val="28"/>
          <w:szCs w:val="28"/>
        </w:rPr>
        <w:t>万元、差旅费</w:t>
      </w:r>
      <w:r>
        <w:rPr>
          <w:rFonts w:ascii="仿宋" w:hAnsi="仿宋" w:eastAsia="仿宋" w:cs="仿宋"/>
          <w:color w:val="000000"/>
          <w:sz w:val="28"/>
          <w:szCs w:val="28"/>
        </w:rPr>
        <w:t>0.28</w:t>
      </w:r>
      <w:r>
        <w:rPr>
          <w:rFonts w:hint="eastAsia" w:ascii="仿宋" w:hAnsi="仿宋" w:eastAsia="仿宋" w:cs="仿宋"/>
          <w:color w:val="000000"/>
          <w:sz w:val="28"/>
          <w:szCs w:val="28"/>
        </w:rPr>
        <w:t>万元、因公出国（境）费用0.00万元、维修（护）费</w:t>
      </w:r>
      <w:r>
        <w:rPr>
          <w:rFonts w:ascii="仿宋" w:hAnsi="仿宋" w:eastAsia="仿宋" w:cs="仿宋"/>
          <w:color w:val="000000"/>
          <w:sz w:val="28"/>
          <w:szCs w:val="28"/>
        </w:rPr>
        <w:t>19.93</w:t>
      </w:r>
      <w:r>
        <w:rPr>
          <w:rFonts w:hint="eastAsia" w:ascii="仿宋" w:hAnsi="仿宋" w:eastAsia="仿宋" w:cs="仿宋"/>
          <w:color w:val="000000"/>
          <w:sz w:val="28"/>
          <w:szCs w:val="28"/>
        </w:rPr>
        <w:t>万元、培训费0.00万元、专用材料费</w:t>
      </w:r>
      <w:r>
        <w:rPr>
          <w:rFonts w:ascii="仿宋" w:hAnsi="仿宋" w:eastAsia="仿宋" w:cs="仿宋"/>
          <w:color w:val="000000"/>
          <w:sz w:val="28"/>
          <w:szCs w:val="28"/>
        </w:rPr>
        <w:t>0.61</w:t>
      </w:r>
      <w:r>
        <w:rPr>
          <w:rFonts w:hint="eastAsia" w:ascii="仿宋" w:hAnsi="仿宋" w:eastAsia="仿宋" w:cs="仿宋"/>
          <w:color w:val="000000"/>
          <w:sz w:val="28"/>
          <w:szCs w:val="28"/>
        </w:rPr>
        <w:t>万元、劳务费</w:t>
      </w:r>
      <w:r>
        <w:rPr>
          <w:rFonts w:ascii="仿宋" w:hAnsi="仿宋" w:eastAsia="仿宋" w:cs="仿宋"/>
          <w:color w:val="000000"/>
          <w:sz w:val="28"/>
          <w:szCs w:val="28"/>
        </w:rPr>
        <w:t>9.29</w:t>
      </w:r>
      <w:r>
        <w:rPr>
          <w:rFonts w:hint="eastAsia" w:ascii="仿宋" w:hAnsi="仿宋" w:eastAsia="仿宋" w:cs="仿宋"/>
          <w:color w:val="000000"/>
          <w:sz w:val="28"/>
          <w:szCs w:val="28"/>
        </w:rPr>
        <w:t>万元、委托业务费0.00万元、工会经费</w:t>
      </w:r>
      <w:r>
        <w:rPr>
          <w:rFonts w:ascii="仿宋" w:hAnsi="仿宋" w:eastAsia="仿宋" w:cs="仿宋"/>
          <w:color w:val="000000"/>
          <w:sz w:val="28"/>
          <w:szCs w:val="28"/>
        </w:rPr>
        <w:t>4.27</w:t>
      </w:r>
      <w:r>
        <w:rPr>
          <w:rFonts w:hint="eastAsia" w:ascii="仿宋" w:hAnsi="仿宋" w:eastAsia="仿宋" w:cs="仿宋"/>
          <w:color w:val="000000"/>
          <w:sz w:val="28"/>
          <w:szCs w:val="28"/>
        </w:rPr>
        <w:t>万元、福利费</w:t>
      </w:r>
      <w:r>
        <w:rPr>
          <w:rFonts w:ascii="仿宋" w:hAnsi="仿宋" w:eastAsia="仿宋" w:cs="仿宋"/>
          <w:color w:val="000000"/>
          <w:sz w:val="28"/>
          <w:szCs w:val="28"/>
        </w:rPr>
        <w:t>21.62</w:t>
      </w:r>
      <w:r>
        <w:rPr>
          <w:rFonts w:hint="eastAsia" w:ascii="仿宋" w:hAnsi="仿宋" w:eastAsia="仿宋" w:cs="仿宋"/>
          <w:color w:val="000000"/>
          <w:sz w:val="28"/>
          <w:szCs w:val="28"/>
        </w:rPr>
        <w:t>万元、公务用车运行维护费0.00万元、其他交通费</w:t>
      </w:r>
      <w:r>
        <w:rPr>
          <w:rFonts w:ascii="仿宋" w:hAnsi="仿宋" w:eastAsia="仿宋" w:cs="仿宋"/>
          <w:color w:val="000000"/>
          <w:sz w:val="28"/>
          <w:szCs w:val="28"/>
        </w:rPr>
        <w:t>0.24</w:t>
      </w:r>
      <w:r>
        <w:rPr>
          <w:rFonts w:hint="eastAsia" w:ascii="仿宋" w:hAnsi="仿宋" w:eastAsia="仿宋" w:cs="仿宋"/>
          <w:color w:val="000000"/>
          <w:sz w:val="28"/>
          <w:szCs w:val="28"/>
        </w:rPr>
        <w:t>万元、税金及附加费用0.00万元、其他商品和服务支出0.00万元、办公设备购置</w:t>
      </w:r>
      <w:r>
        <w:rPr>
          <w:rFonts w:ascii="仿宋" w:hAnsi="仿宋" w:eastAsia="仿宋" w:cs="仿宋"/>
          <w:color w:val="000000"/>
          <w:sz w:val="28"/>
          <w:szCs w:val="28"/>
        </w:rPr>
        <w:t>2.56</w:t>
      </w:r>
      <w:r>
        <w:rPr>
          <w:rFonts w:hint="eastAsia" w:ascii="仿宋" w:hAnsi="仿宋" w:eastAsia="仿宋" w:cs="仿宋"/>
          <w:color w:val="000000"/>
          <w:sz w:val="28"/>
          <w:szCs w:val="28"/>
        </w:rPr>
        <w:t>万元、专用设备购置0.00万元、信息网络及软件购置更新0.00万元、其他资本性支出等。</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0</w:t>
      </w:r>
      <w:r>
        <w:rPr>
          <w:rFonts w:hint="eastAsia" w:ascii="仿宋" w:hAnsi="仿宋" w:eastAsia="仿宋"/>
          <w:b/>
          <w:sz w:val="32"/>
          <w:szCs w:val="32"/>
        </w:rPr>
        <w:t>7表，根据本部门实际支出情况罗列全部经济分类科目。）</w:t>
      </w:r>
    </w:p>
    <w:p>
      <w:pPr>
        <w:spacing w:line="600" w:lineRule="exact"/>
        <w:ind w:firstLine="640"/>
        <w:outlineLvl w:val="1"/>
        <w:rPr>
          <w:rStyle w:val="25"/>
          <w:rFonts w:ascii="黑体" w:hAnsi="黑体" w:eastAsia="黑体"/>
          <w:b w:val="0"/>
        </w:rPr>
      </w:pPr>
      <w:bookmarkStart w:id="42" w:name="_Toc15377215"/>
      <w:bookmarkStart w:id="43" w:name="_Toc19089870"/>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20年“三公”经费财政拨款支出决算为0万元，完成预算0</w:t>
      </w:r>
      <w:r>
        <w:rPr>
          <w:rFonts w:ascii="仿宋" w:hAnsi="仿宋" w:eastAsia="仿宋"/>
          <w:sz w:val="32"/>
          <w:szCs w:val="32"/>
        </w:rPr>
        <w:t>%</w:t>
      </w:r>
      <w:r>
        <w:rPr>
          <w:rFonts w:hint="eastAsia" w:ascii="仿宋" w:hAnsi="仿宋" w:eastAsia="仿宋"/>
          <w:sz w:val="32"/>
          <w:szCs w:val="32"/>
        </w:rPr>
        <w:t>，决算数与预算数持平的主要原因是合理安排</w:t>
      </w:r>
      <w:r>
        <w:rPr>
          <w:rFonts w:ascii="仿宋" w:hAnsi="仿宋" w:eastAsia="仿宋"/>
          <w:sz w:val="32"/>
          <w:szCs w:val="32"/>
        </w:rPr>
        <w:drawing>
          <wp:anchor distT="0" distB="0" distL="114300" distR="114300" simplePos="0" relativeHeight="251665408" behindDoc="0" locked="0" layoutInCell="1" allowOverlap="1">
            <wp:simplePos x="0" y="0"/>
            <wp:positionH relativeFrom="column">
              <wp:posOffset>82550</wp:posOffset>
            </wp:positionH>
            <wp:positionV relativeFrom="paragraph">
              <wp:posOffset>438785</wp:posOffset>
            </wp:positionV>
            <wp:extent cx="5073650" cy="2635250"/>
            <wp:effectExtent l="0" t="0" r="12700" b="1270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预算,严格控制因公出国、出境事项和公务接待事项。</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（图8：“三公”经费财政拨款支出结构）（饼状图）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p>
    <w:p>
      <w:pPr>
        <w:spacing w:line="600" w:lineRule="exact"/>
        <w:ind w:firstLine="640"/>
        <w:rPr>
          <w:rFonts w:ascii="仿宋_GB2312" w:eastAsia="仿宋_GB2312"/>
          <w:sz w:val="32"/>
          <w:szCs w:val="32"/>
        </w:rPr>
      </w:pPr>
      <w:r>
        <w:rPr>
          <w:rFonts w:hint="eastAsia" w:ascii="仿宋_GB2312" w:eastAsia="仿宋_GB2312"/>
          <w:sz w:val="32"/>
          <w:szCs w:val="32"/>
        </w:rPr>
        <w:t>2016年公务用车改革后，我校未保留公务用车。2020年度无公务用车购置及运行维护费开支。</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2019</w:t>
      </w:r>
      <w:r>
        <w:rPr>
          <w:rFonts w:hint="eastAsia" w:ascii="仿宋_GB2312" w:eastAsia="仿宋_GB2312"/>
          <w:sz w:val="32"/>
          <w:szCs w:val="32"/>
        </w:rPr>
        <w:t>相比持平。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主要用于执行公务、开展业务活动开支的交通费、住宿费、用餐费等。国内公务接待0批次，0人次（不包括陪同人员），共计支出0万元，其中：外事接待支出0.00万元，外事接待0批次，0人，共计支出0.00万元。</w:t>
      </w:r>
    </w:p>
    <w:p>
      <w:pPr>
        <w:spacing w:line="600" w:lineRule="exact"/>
        <w:ind w:firstLine="640"/>
        <w:outlineLvl w:val="1"/>
        <w:rPr>
          <w:rStyle w:val="25"/>
          <w:rFonts w:ascii="黑体" w:hAnsi="黑体" w:eastAsia="黑体"/>
        </w:rPr>
      </w:pPr>
      <w:bookmarkStart w:id="46" w:name="_Toc15377218"/>
      <w:bookmarkStart w:id="47" w:name="_Toc19089871"/>
      <w:r>
        <w:rPr>
          <w:rFonts w:hint="eastAsia" w:ascii="黑体" w:eastAsia="黑体"/>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20年政府性基金预算拨款支出0万元，完成预算0%。</w:t>
      </w:r>
    </w:p>
    <w:p>
      <w:pPr>
        <w:numPr>
          <w:ilvl w:val="0"/>
          <w:numId w:val="2"/>
        </w:numPr>
        <w:spacing w:line="600" w:lineRule="exact"/>
        <w:ind w:firstLine="640"/>
        <w:outlineLvl w:val="1"/>
        <w:rPr>
          <w:rStyle w:val="25"/>
          <w:rFonts w:ascii="黑体" w:hAnsi="黑体" w:eastAsia="黑体"/>
          <w:b w:val="0"/>
        </w:rPr>
      </w:pPr>
      <w:bookmarkStart w:id="48" w:name="_Toc19089872"/>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20年国有资本经营预算拨款支出0.00万元。</w:t>
      </w:r>
    </w:p>
    <w:p>
      <w:pPr>
        <w:pStyle w:val="23"/>
        <w:numPr>
          <w:ilvl w:val="0"/>
          <w:numId w:val="3"/>
        </w:numPr>
        <w:spacing w:line="580" w:lineRule="exact"/>
        <w:ind w:firstLineChars="0"/>
        <w:rPr>
          <w:rStyle w:val="25"/>
          <w:rFonts w:ascii="黑体" w:hAnsi="黑体" w:eastAsia="黑体"/>
          <w:b w:val="0"/>
        </w:rPr>
      </w:pPr>
      <w:bookmarkStart w:id="50" w:name="_Toc19089873"/>
      <w:r>
        <w:rPr>
          <w:rStyle w:val="25"/>
          <w:rFonts w:hint="eastAsia" w:ascii="黑体" w:hAnsi="黑体" w:eastAsia="黑体"/>
          <w:b w:val="0"/>
        </w:rPr>
        <w:t>预算绩效情况说明</w:t>
      </w:r>
      <w:bookmarkEnd w:id="50"/>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 xml:space="preserve"> </w:t>
      </w:r>
      <w:r>
        <w:rPr>
          <w:rFonts w:hint="eastAsia" w:ascii="仿宋_GB2312" w:hAnsi="仿宋_GB2312" w:eastAsia="仿宋_GB2312" w:cs="仿宋_GB2312"/>
          <w:sz w:val="32"/>
          <w:szCs w:val="32"/>
        </w:rPr>
        <w:t>根据预算绩效管理要求，本部门（单位）在年初预算编制阶段，组织对3个项目（项目名称）开展了预算事前绩效评估，对3个项目编制了绩效目标，预算执行过程中，选取3个项目开展绩效监控，年终执行完毕后，对3个项目开展了绩效目标完成情况自评。</w:t>
      </w:r>
    </w:p>
    <w:p>
      <w:pPr>
        <w:spacing w:line="580" w:lineRule="exact"/>
        <w:ind w:left="643"/>
        <w:rPr>
          <w:rFonts w:ascii="仿宋" w:hAnsi="仿宋" w:eastAsia="仿宋" w:cs="楷体_GB2312"/>
          <w:b/>
          <w:bCs/>
          <w:sz w:val="32"/>
          <w:szCs w:val="32"/>
        </w:rPr>
      </w:pPr>
    </w:p>
    <w:p>
      <w:pPr>
        <w:spacing w:line="58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w:t>
      </w:r>
      <w:r>
        <w:rPr>
          <w:rFonts w:hint="eastAsia" w:ascii="仿宋_GB2312" w:hAnsi="仿宋_GB2312" w:eastAsia="仿宋_GB2312" w:cs="仿宋_GB2312"/>
          <w:sz w:val="32"/>
          <w:szCs w:val="32"/>
        </w:rPr>
        <w:t>20年部门整体支出开展绩效自评，从评价情况来看本单位整体支出绩效评价自评结果良好，全年基本支出保障了部分的正常运行和日常工作的正常开展，项目支出保障了重点工作的开展，各项支出均达到了预期的绩效管理目标。</w:t>
      </w:r>
    </w:p>
    <w:p>
      <w:pPr>
        <w:spacing w:line="540" w:lineRule="exact"/>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仿宋_GB2312" w:eastAsia="仿宋_GB2312"/>
          <w:sz w:val="32"/>
          <w:szCs w:val="32"/>
        </w:rPr>
        <w:t>存在的问题：</w:t>
      </w:r>
      <w:r>
        <w:rPr>
          <w:rFonts w:hint="eastAsia" w:ascii="仿宋_GB2312" w:hAnsi="宋体" w:eastAsia="仿宋_GB2312" w:cs="仿宋_GB2312"/>
          <w:color w:val="000000" w:themeColor="text1"/>
          <w:sz w:val="32"/>
          <w:szCs w:val="32"/>
          <w14:textFill>
            <w14:solidFill>
              <w14:schemeClr w14:val="tx1"/>
            </w14:solidFill>
          </w14:textFill>
        </w:rPr>
        <w:t>一是绩效评价管理工作制度建设有待进一步加强，绩效管理缺乏系统性；二是</w:t>
      </w:r>
      <w:r>
        <w:rPr>
          <w:rFonts w:hint="eastAsia" w:ascii="华文仿宋" w:hAnsi="华文仿宋" w:eastAsia="华文仿宋"/>
          <w:color w:val="000000" w:themeColor="text1"/>
          <w:sz w:val="32"/>
          <w:szCs w:val="32"/>
          <w14:textFill>
            <w14:solidFill>
              <w14:schemeClr w14:val="tx1"/>
            </w14:solidFill>
          </w14:textFill>
        </w:rPr>
        <w:t>缺乏绩效评价专业人才，系统现有评价工作人员的知识体系和业务技能还需进一步提高，以适应绩效评价工作相关要求。</w:t>
      </w:r>
    </w:p>
    <w:p>
      <w:pPr>
        <w:spacing w:line="540" w:lineRule="exact"/>
        <w:ind w:firstLine="640" w:firstLineChars="200"/>
        <w:rPr>
          <w:rFonts w:ascii="华文仿宋" w:hAnsi="华文仿宋" w:eastAsia="华文仿宋"/>
          <w:sz w:val="32"/>
          <w:szCs w:val="32"/>
        </w:rPr>
      </w:pPr>
      <w:r>
        <w:rPr>
          <w:rFonts w:hint="eastAsia" w:ascii="仿宋_GB2312" w:eastAsia="仿宋_GB2312"/>
          <w:sz w:val="32"/>
          <w:szCs w:val="32"/>
        </w:rPr>
        <w:t>下一步改进措施：</w:t>
      </w:r>
      <w:r>
        <w:rPr>
          <w:rStyle w:val="14"/>
          <w:rFonts w:hint="eastAsia" w:ascii="仿宋_GB2312" w:hAnsi="宋体" w:eastAsia="仿宋_GB2312" w:cs="仿宋_GB2312"/>
          <w:sz w:val="32"/>
          <w:szCs w:val="32"/>
        </w:rPr>
        <w:t>一是</w:t>
      </w:r>
      <w:r>
        <w:rPr>
          <w:rFonts w:hint="eastAsia" w:ascii="仿宋_GB2312" w:hAnsi="宋体" w:eastAsia="仿宋_GB2312" w:cs="仿宋_GB2312"/>
          <w:sz w:val="32"/>
          <w:szCs w:val="32"/>
        </w:rPr>
        <w:t>进一步加强绩效评价管理制度建设；</w:t>
      </w:r>
      <w:r>
        <w:rPr>
          <w:rFonts w:hint="eastAsia" w:ascii="仿宋_GB2312" w:hAnsi="宋体" w:eastAsia="仿宋_GB2312" w:cs="仿宋_GB2312"/>
          <w:b/>
          <w:sz w:val="32"/>
          <w:szCs w:val="32"/>
        </w:rPr>
        <w:t>二是</w:t>
      </w:r>
      <w:r>
        <w:rPr>
          <w:rFonts w:hint="eastAsia" w:ascii="仿宋_GB2312" w:hAnsi="宋体" w:eastAsia="仿宋_GB2312" w:cs="仿宋_GB2312"/>
          <w:sz w:val="32"/>
          <w:szCs w:val="32"/>
        </w:rPr>
        <w:t>建立有效的绩效管理体系；</w:t>
      </w:r>
      <w:r>
        <w:rPr>
          <w:rStyle w:val="14"/>
          <w:rFonts w:hint="eastAsia" w:ascii="仿宋_GB2312" w:hAnsi="宋体" w:eastAsia="仿宋_GB2312" w:cs="仿宋_GB2312"/>
          <w:sz w:val="32"/>
          <w:szCs w:val="32"/>
        </w:rPr>
        <w:t>三是</w:t>
      </w:r>
      <w:r>
        <w:rPr>
          <w:rFonts w:hint="eastAsia" w:ascii="仿宋_GB2312" w:hAnsi="宋体" w:eastAsia="仿宋_GB2312" w:cs="仿宋_GB2312"/>
          <w:sz w:val="32"/>
          <w:szCs w:val="32"/>
        </w:rPr>
        <w:t>强化绩效管理数据分析，强化绩效管理数据运用；</w:t>
      </w:r>
      <w:r>
        <w:rPr>
          <w:rFonts w:hint="eastAsia" w:ascii="仿宋_GB2312" w:hAnsi="宋体" w:eastAsia="仿宋_GB2312" w:cs="仿宋_GB2312"/>
          <w:b/>
          <w:sz w:val="32"/>
          <w:szCs w:val="32"/>
        </w:rPr>
        <w:t>四是</w:t>
      </w:r>
      <w:r>
        <w:rPr>
          <w:rFonts w:hint="eastAsia" w:ascii="仿宋_GB2312" w:hAnsi="宋体" w:eastAsia="仿宋_GB2312" w:cs="仿宋_GB2312"/>
          <w:sz w:val="32"/>
          <w:szCs w:val="32"/>
        </w:rPr>
        <w:t>强化绩效评价专业技能的培训；</w:t>
      </w:r>
      <w:r>
        <w:rPr>
          <w:rFonts w:hint="eastAsia" w:ascii="华文仿宋" w:hAnsi="华文仿宋" w:eastAsia="华文仿宋"/>
          <w:b/>
          <w:sz w:val="32"/>
          <w:szCs w:val="32"/>
        </w:rPr>
        <w:t>五是</w:t>
      </w:r>
      <w:r>
        <w:rPr>
          <w:rFonts w:hint="eastAsia" w:ascii="华文仿宋" w:hAnsi="华文仿宋" w:eastAsia="华文仿宋"/>
          <w:sz w:val="32"/>
          <w:szCs w:val="32"/>
        </w:rPr>
        <w:t>探索与预算编制相结合的财政绩效管理，奖绩效评价逐步从事后评价延伸至事前、事中评价。</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年度部门决算中反映“校舍维修改造</w:t>
      </w:r>
      <w:r>
        <w:rPr>
          <w:rFonts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义务教育提升工程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教育现代化推进工程中央预算内投资”等3个项目绩效目标实际完成情况。（本单位部门项目绩效目标个数在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个以上的，选取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个项目进行公开，目标个数在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个以下的，全部进行公开，公开内容包括选取的全部项目完成情况综述和完成情况表）。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）校舍维修改造项目绩效目标完成情况综述。项目全年预算数14万元，执行数为14万元，完成预算的100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。通过项目实施，保障（支持、促进、提高……）了校舍的安全。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）义务教育提升工程项目绩效目标完成情况综述。项目全年预算数320万元，执行数为306.6万元，完成预算的95.8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。通过项目实施，保障（支持、促进、提高……）了学校的教学设备及时到位及正常运转。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）教育现代化推进工程中央预算内投资项目绩效目标完成情况综述。项目全年预算数26万元，执行数为26万元，完成预算的100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。通过项目实施，保障（支持、促进、提高……）了上西中学还建项目工程正常实施。</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校舍维修改造</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上西中学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bl>
    <w:p>
      <w:pPr>
        <w:spacing w:line="540" w:lineRule="exact"/>
        <w:ind w:firstLine="640" w:firstLineChars="200"/>
        <w:rPr>
          <w:rFonts w:ascii="华文仿宋" w:hAnsi="华文仿宋" w:eastAsia="华文仿宋"/>
          <w:sz w:val="32"/>
          <w:szCs w:val="32"/>
        </w:rPr>
      </w:pPr>
    </w:p>
    <w:p>
      <w:pPr>
        <w:numPr>
          <w:ilvl w:val="0"/>
          <w:numId w:val="4"/>
        </w:numPr>
        <w:spacing w:line="580" w:lineRule="exact"/>
        <w:ind w:firstLine="642"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部门开展绩效评价结果。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本部门按要求对2020年部门整体支出绩效评价情况开展自评，《广元市上西中学2020年部门整体支出绩效评价报告》见附件。</w:t>
      </w:r>
    </w:p>
    <w:p>
      <w:pPr>
        <w:spacing w:line="600" w:lineRule="exact"/>
        <w:ind w:firstLine="800" w:firstLineChars="250"/>
        <w:outlineLvl w:val="1"/>
        <w:rPr>
          <w:rStyle w:val="25"/>
          <w:rFonts w:ascii="黑体" w:hAnsi="黑体" w:eastAsia="黑体"/>
          <w:color w:val="000000" w:themeColor="text1"/>
          <w14:textFill>
            <w14:solidFill>
              <w14:schemeClr w14:val="tx1"/>
            </w14:solidFill>
          </w14:textFill>
        </w:rPr>
      </w:pPr>
      <w:bookmarkStart w:id="51" w:name="_Toc19089874"/>
      <w:bookmarkStart w:id="52" w:name="_Toc15377221"/>
      <w:r>
        <w:rPr>
          <w:rFonts w:hint="eastAsia" w:ascii="黑体" w:hAnsi="黑体" w:eastAsia="黑体"/>
          <w:color w:val="000000" w:themeColor="text1"/>
          <w:sz w:val="32"/>
          <w:szCs w:val="32"/>
          <w14:textFill>
            <w14:solidFill>
              <w14:schemeClr w14:val="tx1"/>
            </w14:solidFill>
          </w14:textFill>
        </w:rPr>
        <w:t>十</w:t>
      </w:r>
      <w:r>
        <w:rPr>
          <w:rStyle w:val="25"/>
          <w:rFonts w:hint="eastAsia" w:ascii="黑体" w:hAnsi="黑体" w:eastAsia="黑体"/>
          <w:color w:val="000000" w:themeColor="text1"/>
          <w14:textFill>
            <w14:solidFill>
              <w14:schemeClr w14:val="tx1"/>
            </w14:solidFill>
          </w14:textFill>
        </w:rPr>
        <w:t>一、</w:t>
      </w:r>
      <w:r>
        <w:rPr>
          <w:rStyle w:val="25"/>
          <w:rFonts w:hint="eastAsia" w:ascii="黑体" w:hAnsi="黑体" w:eastAsia="黑体"/>
          <w:b w:val="0"/>
          <w:color w:val="000000" w:themeColor="text1"/>
          <w14:textFill>
            <w14:solidFill>
              <w14:schemeClr w14:val="tx1"/>
            </w14:solidFill>
          </w14:textFill>
        </w:rPr>
        <w:t>其他重要事项的情况说明</w:t>
      </w:r>
      <w:bookmarkEnd w:id="51"/>
      <w:bookmarkEnd w:id="52"/>
    </w:p>
    <w:p>
      <w:pPr>
        <w:spacing w:line="600" w:lineRule="exact"/>
        <w:ind w:firstLine="642" w:firstLineChars="200"/>
        <w:outlineLvl w:val="2"/>
        <w:rPr>
          <w:rFonts w:ascii="仿宋" w:hAnsi="仿宋" w:eastAsia="仿宋"/>
          <w:color w:val="000000" w:themeColor="text1"/>
          <w:sz w:val="32"/>
          <w:szCs w:val="32"/>
          <w14:textFill>
            <w14:solidFill>
              <w14:schemeClr w14:val="tx1"/>
            </w14:solidFill>
          </w14:textFill>
        </w:rPr>
      </w:pPr>
      <w:bookmarkStart w:id="53" w:name="_Toc15377222"/>
      <w:r>
        <w:rPr>
          <w:rFonts w:hint="eastAsia" w:ascii="仿宋" w:hAnsi="仿宋" w:eastAsia="仿宋"/>
          <w:b/>
          <w:color w:val="000000" w:themeColor="text1"/>
          <w:sz w:val="32"/>
          <w:szCs w:val="32"/>
          <w14:textFill>
            <w14:solidFill>
              <w14:schemeClr w14:val="tx1"/>
            </w14:solidFill>
          </w14:textFill>
        </w:rPr>
        <w:t>（一）机关运行经费支出情况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年，本单位机关运行经费支出</w:t>
      </w:r>
      <w:r>
        <w:rPr>
          <w:rFonts w:ascii="仿宋_GB2312" w:eastAsia="仿宋_GB2312"/>
          <w:color w:val="000000"/>
          <w:sz w:val="32"/>
          <w:szCs w:val="32"/>
        </w:rPr>
        <w:t>0.00</w:t>
      </w:r>
      <w:r>
        <w:rPr>
          <w:rFonts w:hint="eastAsia" w:ascii="仿宋_GB2312" w:eastAsia="仿宋_GB2312"/>
          <w:color w:val="000000"/>
          <w:sz w:val="32"/>
          <w:szCs w:val="32"/>
        </w:rPr>
        <w:t>万元，与</w:t>
      </w:r>
      <w:r>
        <w:rPr>
          <w:rFonts w:ascii="仿宋_GB2312" w:eastAsia="仿宋_GB2312"/>
          <w:color w:val="000000"/>
          <w:sz w:val="32"/>
          <w:szCs w:val="32"/>
        </w:rPr>
        <w:t>2019</w:t>
      </w:r>
      <w:r>
        <w:rPr>
          <w:rFonts w:hint="eastAsia" w:ascii="仿宋_GB2312" w:eastAsia="仿宋_GB2312"/>
          <w:color w:val="000000"/>
          <w:sz w:val="32"/>
          <w:szCs w:val="32"/>
        </w:rPr>
        <w:t>年决算数持平。</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CS05</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4" w:name="_Toc15377223"/>
      <w:r>
        <w:rPr>
          <w:rFonts w:hint="eastAsia" w:ascii="仿宋" w:hAnsi="仿宋" w:eastAsia="仿宋"/>
          <w:b/>
          <w:sz w:val="32"/>
          <w:szCs w:val="32"/>
        </w:rPr>
        <w:t>（二）政府采购支出情况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年，上西中学政府采购支出总额309万元，其中：政府采购货物支出309万元、政府采购工程支出</w:t>
      </w:r>
      <w:r>
        <w:rPr>
          <w:rFonts w:ascii="仿宋_GB2312" w:eastAsia="仿宋_GB2312"/>
          <w:color w:val="000000"/>
          <w:sz w:val="32"/>
          <w:szCs w:val="32"/>
        </w:rPr>
        <w:t>0.00</w:t>
      </w:r>
      <w:r>
        <w:rPr>
          <w:rFonts w:hint="eastAsia" w:ascii="仿宋_GB2312" w:eastAsia="仿宋_GB2312"/>
          <w:color w:val="000000"/>
          <w:sz w:val="32"/>
          <w:szCs w:val="32"/>
        </w:rPr>
        <w:t>万元、政府采购服务支出</w:t>
      </w:r>
      <w:r>
        <w:rPr>
          <w:rFonts w:ascii="仿宋_GB2312" w:eastAsia="仿宋_GB2312"/>
          <w:color w:val="000000"/>
          <w:sz w:val="32"/>
          <w:szCs w:val="32"/>
        </w:rPr>
        <w:t>0.00</w:t>
      </w:r>
      <w:r>
        <w:rPr>
          <w:rFonts w:hint="eastAsia" w:ascii="仿宋_GB2312" w:eastAsia="仿宋_GB2312"/>
          <w:color w:val="000000"/>
          <w:sz w:val="32"/>
          <w:szCs w:val="32"/>
        </w:rPr>
        <w:t>万元。主要用于上西中学还建项目设备购置。</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CS06</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5" w:name="_Toc15377224"/>
      <w:r>
        <w:rPr>
          <w:rFonts w:hint="eastAsia" w:ascii="仿宋" w:hAnsi="仿宋" w:eastAsia="仿宋"/>
          <w:b/>
          <w:sz w:val="32"/>
          <w:szCs w:val="32"/>
        </w:rPr>
        <w:t>（三）国有资产占有使用情况</w:t>
      </w:r>
      <w:bookmarkEnd w:id="5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日，上西中学共有车辆0辆，单价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CS05</w:t>
      </w:r>
      <w:r>
        <w:rPr>
          <w:rFonts w:hint="eastAsia" w:ascii="仿宋" w:hAnsi="仿宋" w:eastAsia="仿宋"/>
          <w:b/>
          <w:sz w:val="32"/>
          <w:szCs w:val="32"/>
        </w:rPr>
        <w:t>表，按部门决算报表填报数据罗列车辆情况。）</w:t>
      </w:r>
    </w:p>
    <w:p>
      <w:pPr>
        <w:widowControl/>
        <w:jc w:val="left"/>
        <w:rPr>
          <w:rFonts w:ascii="仿宋" w:hAnsi="仿宋" w:eastAsia="仿宋"/>
          <w:b/>
          <w:sz w:val="32"/>
          <w:szCs w:val="32"/>
        </w:rPr>
      </w:pPr>
      <w:r>
        <w:rPr>
          <w:rFonts w:ascii="仿宋" w:hAnsi="仿宋" w:eastAsia="仿宋"/>
          <w:b/>
          <w:sz w:val="32"/>
          <w:szCs w:val="32"/>
        </w:rPr>
        <w:br w:type="page"/>
      </w:r>
    </w:p>
    <w:p>
      <w:pPr>
        <w:autoSpaceDE w:val="0"/>
        <w:autoSpaceDN w:val="0"/>
        <w:adjustRightInd w:val="0"/>
        <w:spacing w:line="600" w:lineRule="exact"/>
        <w:ind w:firstLine="642" w:firstLineChars="200"/>
        <w:jc w:val="left"/>
        <w:outlineLvl w:val="2"/>
        <w:rPr>
          <w:rFonts w:ascii="仿宋" w:hAnsi="仿宋" w:eastAsia="仿宋"/>
          <w:b/>
          <w:sz w:val="32"/>
          <w:szCs w:val="32"/>
        </w:rPr>
      </w:pPr>
    </w:p>
    <w:p>
      <w:pPr>
        <w:numPr>
          <w:ilvl w:val="0"/>
          <w:numId w:val="5"/>
        </w:numPr>
        <w:spacing w:line="600" w:lineRule="exact"/>
        <w:ind w:firstLine="662" w:firstLineChars="150"/>
        <w:jc w:val="center"/>
        <w:outlineLvl w:val="0"/>
        <w:rPr>
          <w:rFonts w:ascii="黑体" w:hAnsi="黑体" w:eastAsia="黑体"/>
          <w:bCs/>
          <w:kern w:val="44"/>
          <w:sz w:val="44"/>
          <w:szCs w:val="44"/>
        </w:rPr>
      </w:pPr>
      <w:bookmarkStart w:id="56" w:name="_Toc19089875"/>
      <w:bookmarkStart w:id="57" w:name="_Toc15377225"/>
      <w:r>
        <w:rPr>
          <w:rFonts w:hint="eastAsia" w:ascii="黑体" w:hAnsi="黑体" w:eastAsia="黑体"/>
          <w:b/>
          <w:sz w:val="44"/>
          <w:szCs w:val="44"/>
        </w:rPr>
        <w:t>名</w:t>
      </w:r>
      <w:r>
        <w:rPr>
          <w:rStyle w:val="24"/>
          <w:rFonts w:hint="eastAsia" w:ascii="黑体" w:hAnsi="黑体" w:eastAsia="黑体"/>
          <w:b w:val="0"/>
        </w:rPr>
        <w:t>词解释</w:t>
      </w:r>
      <w:bookmarkEnd w:id="56"/>
      <w:bookmarkEnd w:id="57"/>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6.年初结转和结余：指以前年度尚未完成、结转到本年按有关规定继续使用的资金。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8、年末结转和结余：指单位按有关规定结转到下年或以后年度继续使用的资金。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9.教育支出（类）教育管理事务（款）行政运行（项）:反映教育行政单位（包括实行公务员管理的事业单位）的基本支出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 教育支出（类）教育管理事务（款）一般行政管理事务（项）:反映行政单位（包括实行公务员管理的事业单位）未单独设置项级科目的其它项目支出。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 教育支出（类）教育管理事务（款）其它教育管理事务支出（项）:反映除上述项目以外其它用户教育管理事务方面的支出。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 教育支出（类）普通教育（款）学前教育（项）:反映各部门举办的学前教育支出。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 教育支出（类）普通教育（款）小学教育（项）:反映各部门举办的小学教育支出。政府各部门对社会中介组织等举办的小学的资助，如各类捐赠、补贴等，也在本科目中反映。</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 教育支出（类）普通教育（款）初中教育（项）: 反映各部门举办的初中教育支出。政府各部门对社会中介组织等举办的初中教育的资助，如捐赠、补贴等，也在本科目中反映。</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 教育支出（类）普通教育（款）高中教育（项）: 反映各部门举办的高级中学教育支出。政府各部门对社会中介组织等举办的高级中学的资助，如捐赠、补贴等，也在本科目中反映。</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 教育支出（类）普通教育（款）其它普通教育（项）: 反映除上述项目以外其他用于普通教育方面的支出。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 教育支出（类）职业教育（款）职业高中教育（项）: 反映各部门举办的职业中学、农业中学（含普通高中改制的）、半工（农）半读中学的支出或补助费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 教育支出（类）职业教育（款）高等职业教育（项）:反映经国家批准设立的高等职业大学、专科职业教育等方面的支出。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 教育支出（类）特殊教育（款）特殊学校教育（项）: 指各部门举办的盲童学校、聋哑学校、智力落后儿童学校、其它生理缺陷儿童学校的支出。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 教育支出（类）特殊教育（款）工读学校教育（项）:指各部门举办的工读学校的支出。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 教育支出（类）教育附加费安排的支出（款）农村中小学校舍建设（项）:反映教育附加费安排用于农村中小学校舍新建、改建、修缮和维护的支出。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 教育支出（类）教育附加费安排的支出（款）城市中小学校舍建设（项）: 反映教育附加费安排用于城市中小学校舍新建、改建、修缮和维护的支出。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23. 教育支出（类）教育附加费安排的支出（款）其它教育附加费安排的支出（项）: 指除上述项目以外的教育附加费支出。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24. 教育支出（类）其它教育支出（款）其他教育支出（项）: 指上述项目以外其他用于教育方面的支出。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25. 社会保障和就业支出（类）行政事业单位离退休（款）机关事业单位基本养老保险缴费支出（项）: 指机关事业单位实施养老保险制度由单位缴纳的基本养老保险费支出。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26. 社会保障和就业支出（类）行政事业单位离退休（款）机关事业单位职业年金缴费支出（项）: 指机关事业单位实施养老保险制度由单位实际缴纳的职业年金支出。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27. 社会保障和就业支出（类）抚恤（款）死亡抚恤（项）: 指按规定用于烈士和牺牲、病故人员家属的一次性和定期抚恤金以及丧葬补助费。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30. 农林水支出（类）扶贫（款）其它扶贫支出（项）: 指除上述项目以外其他用于扶贫方面的支出。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31. 住房保障支出（类）住房改革支出（款）住房公积金（项）: 指行政事业单位按人力资源和社会保障部、财政部规定的基本工资和津贴补贴以及规定比例为职工缴纳的住房公积金。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 其他支出（类）其他支出（款）其他支出（项）: 指上述项目以外其他不能划分到具体功能科目中的支出项目。</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33.基本支出：指为保障机构正常运转、完成日常工作任务而发生的人员支出和公用支出。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34.项目支出：指在基本支出之外为完成特定行政任务和事业发展目标所发生的支出。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35.经营支出：指事业单位在专业业务活动及其辅助活动之外开展非独立核算经营活动发生的支出。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before="260" w:after="260" w:line="416" w:lineRule="auto"/>
        <w:outlineLvl w:val="1"/>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bookmarkStart w:id="58" w:name="_Toc19089877"/>
    </w:p>
    <w:p>
      <w:pPr>
        <w:rPr>
          <w:rFonts w:ascii="仿宋" w:hAnsi="仿宋" w:eastAsia="仿宋"/>
          <w:b/>
          <w:sz w:val="32"/>
          <w:szCs w:val="32"/>
        </w:rPr>
      </w:pPr>
      <w:r>
        <w:rPr>
          <w:rFonts w:hint="eastAsia" w:ascii="仿宋" w:hAnsi="仿宋" w:eastAsia="仿宋"/>
          <w:b/>
          <w:sz w:val="32"/>
          <w:szCs w:val="32"/>
        </w:rPr>
        <w:br w:type="page"/>
      </w:r>
    </w:p>
    <w:p>
      <w:pPr>
        <w:keepNext/>
        <w:keepLines/>
        <w:spacing w:before="260" w:after="260" w:line="416" w:lineRule="auto"/>
        <w:outlineLvl w:val="1"/>
        <w:rPr>
          <w:rFonts w:ascii="仿宋" w:hAnsi="仿宋" w:eastAsia="仿宋"/>
          <w:kern w:val="44"/>
          <w:sz w:val="32"/>
          <w:szCs w:val="32"/>
        </w:rPr>
      </w:pPr>
      <w:r>
        <w:rPr>
          <w:rFonts w:hint="eastAsia" w:ascii="仿宋" w:hAnsi="仿宋" w:eastAsia="仿宋"/>
          <w:kern w:val="44"/>
          <w:sz w:val="32"/>
          <w:szCs w:val="32"/>
        </w:rPr>
        <w:t>附件1</w:t>
      </w:r>
      <w:bookmarkEnd w:id="58"/>
    </w:p>
    <w:p>
      <w:pPr>
        <w:snapToGrid w:val="0"/>
        <w:spacing w:line="580" w:lineRule="exact"/>
        <w:jc w:val="center"/>
        <w:outlineLvl w:val="0"/>
        <w:rPr>
          <w:rFonts w:ascii="黑体" w:hAnsi="黑体" w:eastAsia="黑体" w:cs="黑体"/>
          <w:color w:val="000000"/>
          <w:sz w:val="36"/>
          <w:szCs w:val="36"/>
        </w:rPr>
      </w:pPr>
      <w:bookmarkStart w:id="59" w:name="_Toc19089878"/>
      <w:bookmarkStart w:id="60" w:name="_Toc15396616"/>
      <w:bookmarkStart w:id="61" w:name="_Toc19089881"/>
      <w:bookmarkStart w:id="62" w:name="_Toc19089880"/>
      <w:r>
        <w:rPr>
          <w:rFonts w:hint="eastAsia" w:ascii="黑体" w:hAnsi="黑体" w:eastAsia="黑体" w:cs="黑体"/>
          <w:color w:val="000000"/>
          <w:sz w:val="36"/>
          <w:szCs w:val="36"/>
        </w:rPr>
        <w:t>四川省广元市上西中学</w:t>
      </w:r>
    </w:p>
    <w:p>
      <w:pPr>
        <w:snapToGrid w:val="0"/>
        <w:spacing w:line="580" w:lineRule="exact"/>
        <w:jc w:val="center"/>
        <w:outlineLvl w:val="0"/>
        <w:rPr>
          <w:rFonts w:ascii="黑体" w:hAnsi="黑体" w:eastAsia="黑体" w:cs="黑体"/>
          <w:color w:val="000000"/>
          <w:sz w:val="36"/>
          <w:szCs w:val="36"/>
        </w:rPr>
      </w:pPr>
      <w:r>
        <w:rPr>
          <w:rFonts w:hint="eastAsia" w:ascii="黑体" w:hAnsi="黑体" w:eastAsia="黑体" w:cs="黑体"/>
          <w:color w:val="000000"/>
          <w:sz w:val="36"/>
          <w:szCs w:val="36"/>
        </w:rPr>
        <w:t>2020年部门整体支出</w:t>
      </w:r>
      <w:bookmarkEnd w:id="59"/>
      <w:bookmarkStart w:id="63" w:name="_Toc19089879"/>
      <w:r>
        <w:rPr>
          <w:rFonts w:hint="eastAsia" w:ascii="黑体" w:hAnsi="黑体" w:eastAsia="黑体" w:cs="黑体"/>
          <w:color w:val="000000"/>
          <w:sz w:val="36"/>
          <w:szCs w:val="36"/>
        </w:rPr>
        <w:t>绩效评价报告</w:t>
      </w:r>
      <w:bookmarkEnd w:id="60"/>
      <w:bookmarkEnd w:id="63"/>
    </w:p>
    <w:p>
      <w:pPr>
        <w:snapToGrid w:val="0"/>
        <w:spacing w:line="580" w:lineRule="exact"/>
        <w:jc w:val="center"/>
        <w:outlineLvl w:val="0"/>
        <w:rPr>
          <w:rFonts w:ascii="黑体" w:hAnsi="黑体" w:eastAsia="黑体" w:cs="黑体"/>
          <w:color w:val="000000"/>
          <w:sz w:val="36"/>
          <w:szCs w:val="36"/>
        </w:rPr>
      </w:pPr>
    </w:p>
    <w:p>
      <w:pPr>
        <w:snapToGrid w:val="0"/>
        <w:spacing w:line="58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一、部门（单位）概况</w:t>
      </w:r>
    </w:p>
    <w:p>
      <w:pPr>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（一）机构组成</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广元市上西中学下设各处室 10 个，分别是行政班公室、教务处、政教处、总务处、安全办、教科室、计装室、团委办、财务室、医务室。</w:t>
      </w:r>
    </w:p>
    <w:p>
      <w:pPr>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（二）机构职能</w:t>
      </w:r>
    </w:p>
    <w:p>
      <w:pPr>
        <w:pStyle w:val="5"/>
        <w:adjustRightInd w:val="0"/>
        <w:snapToGrid w:val="0"/>
        <w:spacing w:beforeLines="0" w:line="580" w:lineRule="exact"/>
        <w:ind w:firstLine="588" w:firstLineChars="210"/>
        <w:rPr>
          <w:rFonts w:ascii="仿宋" w:hAnsi="仿宋" w:eastAsia="仿宋" w:cs="仿宋"/>
          <w:color w:val="000000"/>
          <w:sz w:val="28"/>
          <w:szCs w:val="28"/>
        </w:rPr>
      </w:pPr>
      <w:r>
        <w:rPr>
          <w:rFonts w:hint="eastAsia" w:ascii="仿宋" w:hAnsi="仿宋" w:eastAsia="仿宋" w:cs="仿宋"/>
          <w:color w:val="000000"/>
          <w:sz w:val="28"/>
          <w:szCs w:val="28"/>
        </w:rPr>
        <w:t>实施初中、高中学历教育，促进基础教育发展。初中、高中学历教育。</w:t>
      </w:r>
    </w:p>
    <w:p>
      <w:pPr>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（三）人员概况</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广元市上西中学共有编制75名，全额财政补助事业编制75人。截至2020年末，实有在职人员78人，在校学生823人。</w:t>
      </w:r>
    </w:p>
    <w:p>
      <w:pPr>
        <w:snapToGrid w:val="0"/>
        <w:spacing w:line="58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二、部门财政资金收支情况</w:t>
      </w:r>
    </w:p>
    <w:p>
      <w:pPr>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（一）部门财政资金收入情况</w:t>
      </w:r>
    </w:p>
    <w:p>
      <w:pPr>
        <w:rPr>
          <w:rFonts w:ascii="宋体" w:hAnsi="宋体" w:cs="Arial"/>
          <w:b/>
          <w:bCs/>
          <w:color w:val="000000"/>
          <w:kern w:val="0"/>
          <w:sz w:val="22"/>
          <w:szCs w:val="22"/>
        </w:rPr>
      </w:pPr>
      <w:r>
        <w:rPr>
          <w:rFonts w:hint="eastAsia" w:ascii="仿宋" w:hAnsi="仿宋" w:eastAsia="仿宋" w:cs="仿宋"/>
          <w:color w:val="000000"/>
          <w:sz w:val="28"/>
          <w:szCs w:val="28"/>
        </w:rPr>
        <w:t>2020年财政拨款收入总计</w:t>
      </w:r>
      <w:r>
        <w:rPr>
          <w:rFonts w:ascii="仿宋" w:hAnsi="仿宋" w:eastAsia="仿宋" w:cs="仿宋"/>
          <w:color w:val="000000"/>
          <w:sz w:val="28"/>
          <w:szCs w:val="28"/>
        </w:rPr>
        <w:t>1199.73</w:t>
      </w:r>
      <w:r>
        <w:rPr>
          <w:rFonts w:hint="eastAsia" w:ascii="仿宋" w:hAnsi="仿宋" w:eastAsia="仿宋" w:cs="仿宋"/>
          <w:color w:val="000000"/>
          <w:sz w:val="28"/>
          <w:szCs w:val="28"/>
        </w:rPr>
        <w:t>万元。与2019年相比（</w:t>
      </w:r>
      <w:r>
        <w:rPr>
          <w:rFonts w:hint="eastAsia" w:ascii="宋体" w:hAnsi="宋体" w:cs="Arial"/>
          <w:b/>
          <w:bCs/>
          <w:color w:val="000000"/>
          <w:kern w:val="0"/>
          <w:sz w:val="22"/>
          <w:szCs w:val="22"/>
        </w:rPr>
        <w:t>1,495.40</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万元），财政拨款收入总计减少295.67万元，减少19.77%。</w:t>
      </w:r>
    </w:p>
    <w:p>
      <w:pPr>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（二）部门财政资金支出情况</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2020年财政拨款支出总计</w:t>
      </w:r>
      <w:r>
        <w:rPr>
          <w:rFonts w:ascii="仿宋" w:hAnsi="仿宋" w:eastAsia="仿宋" w:cs="仿宋"/>
          <w:color w:val="000000"/>
          <w:sz w:val="28"/>
          <w:szCs w:val="28"/>
        </w:rPr>
        <w:t>1569.49</w:t>
      </w:r>
      <w:r>
        <w:rPr>
          <w:rFonts w:hint="eastAsia" w:ascii="仿宋" w:hAnsi="仿宋" w:eastAsia="仿宋" w:cs="仿宋"/>
          <w:color w:val="000000"/>
          <w:sz w:val="28"/>
          <w:szCs w:val="28"/>
        </w:rPr>
        <w:t>万元。与2019年相比（1624.39万元），财政拨款支出总计减少54.9万元，减少3.38%。</w:t>
      </w:r>
    </w:p>
    <w:p>
      <w:pPr>
        <w:snapToGrid w:val="0"/>
        <w:spacing w:line="58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三、部门整体预算绩效管理情况（根据适用指标体系进行调整）</w:t>
      </w:r>
    </w:p>
    <w:p>
      <w:pPr>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（一）部门预算管理</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1.部门绩效目标制定</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（1）部门绩效目标充分考虑到各项资金的使用内容、范围、方向和预期效果，符合国民经济和社会发展规划，符合部门职能及事业发展规划。</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（2）部门绩效目标从数量、质量、成本、时效以及经济效益、社会效益、生态效益、可持续影响、满意度等方面进行了细化和定量表述，具有可衡量性。</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（3）绩效目标的设定经过了调查研究和科学论证，符合客观实际，能够在一定期限内如期实现。</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（4）绩效目标相关指标设定与预算安排金额相对应，未超预算安排资金。</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2.预算编制和执行</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（1）部门预算报送时间严格按照财政部门预算编制要求的时间及时报送部门预算。预算编制完整、准确，基础信息和科目使用准确。</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（2）严格执行预算，执行中一般不调整预算项目。年度预算收支平衡，人员支出按时间表进度执行，无挪用情况，完成部门经济和社会事业发展职能职责。</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（4）按时送部门决算，决算数据真实准确、帐表一致，部门决算编制人员与供养人员系统一致。</w:t>
      </w:r>
    </w:p>
    <w:p>
      <w:pPr>
        <w:snapToGrid w:val="0"/>
        <w:spacing w:line="58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四、评价结论及建议</w:t>
      </w:r>
    </w:p>
    <w:p>
      <w:pPr>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（一）评价结论</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（二）存在问题</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预算追加经费数额大，下达时间比较晚，个别大型的项目资金执行时间比较长，造成预算执行率偏差。</w:t>
      </w:r>
    </w:p>
    <w:p>
      <w:pPr>
        <w:snapToGrid w:val="0"/>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（三）改进建议</w:t>
      </w:r>
    </w:p>
    <w:p>
      <w:pPr>
        <w:snapToGrid w:val="0"/>
        <w:spacing w:line="5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1.进一步完善各类项目支出的支出标准，严格按项目和进度执行预算，增强预算的约束力和严肃性。</w:t>
      </w:r>
    </w:p>
    <w:p>
      <w:pPr>
        <w:spacing w:line="580" w:lineRule="exact"/>
        <w:ind w:firstLine="560" w:firstLineChars="200"/>
        <w:rPr>
          <w:rFonts w:ascii="仿宋_GB2312" w:hAnsi="仿宋_GB2312" w:eastAsia="仿宋_GB2312" w:cs="仿宋_GB2312"/>
          <w:sz w:val="32"/>
          <w:szCs w:val="32"/>
        </w:rPr>
      </w:pPr>
      <w:r>
        <w:rPr>
          <w:rFonts w:hint="eastAsia" w:ascii="仿宋" w:hAnsi="仿宋" w:eastAsia="仿宋" w:cs="仿宋"/>
          <w:color w:val="000000"/>
          <w:sz w:val="28"/>
          <w:szCs w:val="28"/>
        </w:rPr>
        <w:t>2.落实预算执行分析，及时了解预算执行差异，合理调整、纠正预算执行偏差，切实提高部门预算收支管理水平。</w:t>
      </w: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bookmarkEnd w:id="61"/>
    <w:bookmarkEnd w:id="62"/>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600" w:lineRule="exact"/>
        <w:jc w:val="center"/>
        <w:outlineLvl w:val="0"/>
        <w:rPr>
          <w:rStyle w:val="24"/>
          <w:rFonts w:ascii="方正小标宋简体" w:hAnsi="方正小标宋简体" w:eastAsia="方正小标宋简体" w:cs="方正小标宋简体"/>
          <w:b w:val="0"/>
        </w:rPr>
      </w:pPr>
      <w:bookmarkStart w:id="64" w:name="_Toc19089885"/>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rPr>
        <w:t>五部分 附表</w:t>
      </w:r>
      <w:bookmarkEnd w:id="64"/>
    </w:p>
    <w:p>
      <w:pPr>
        <w:spacing w:line="580" w:lineRule="exact"/>
        <w:ind w:firstLine="560" w:firstLineChars="200"/>
        <w:rPr>
          <w:rFonts w:hint="eastAsia" w:ascii="仿宋" w:hAnsi="仿宋" w:eastAsia="仿宋" w:cs="仿宋_GB2312"/>
          <w:sz w:val="28"/>
          <w:szCs w:val="28"/>
        </w:rPr>
      </w:pPr>
      <w:bookmarkStart w:id="65" w:name="_Toc19089886"/>
    </w:p>
    <w:p>
      <w:pPr>
        <w:spacing w:line="5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一、收入支出决算总表</w:t>
      </w:r>
      <w:bookmarkEnd w:id="65"/>
    </w:p>
    <w:p>
      <w:pPr>
        <w:spacing w:line="580" w:lineRule="exact"/>
        <w:ind w:firstLine="560" w:firstLineChars="200"/>
        <w:rPr>
          <w:rFonts w:hint="eastAsia" w:ascii="仿宋" w:hAnsi="仿宋" w:eastAsia="仿宋" w:cs="仿宋_GB2312"/>
          <w:sz w:val="28"/>
          <w:szCs w:val="28"/>
        </w:rPr>
      </w:pPr>
      <w:bookmarkStart w:id="66" w:name="_Toc19089887"/>
      <w:r>
        <w:rPr>
          <w:rFonts w:hint="eastAsia" w:ascii="仿宋" w:hAnsi="仿宋" w:eastAsia="仿宋" w:cs="仿宋_GB2312"/>
          <w:sz w:val="28"/>
          <w:szCs w:val="28"/>
        </w:rPr>
        <w:t>二、收入总表</w:t>
      </w:r>
      <w:bookmarkEnd w:id="66"/>
    </w:p>
    <w:p>
      <w:pPr>
        <w:spacing w:line="580" w:lineRule="exact"/>
        <w:ind w:firstLine="560" w:firstLineChars="200"/>
        <w:rPr>
          <w:rFonts w:hint="eastAsia" w:ascii="仿宋" w:hAnsi="仿宋" w:eastAsia="仿宋" w:cs="仿宋_GB2312"/>
          <w:sz w:val="28"/>
          <w:szCs w:val="28"/>
        </w:rPr>
      </w:pPr>
      <w:bookmarkStart w:id="67" w:name="_Toc19089888"/>
      <w:r>
        <w:rPr>
          <w:rFonts w:hint="eastAsia" w:ascii="仿宋" w:hAnsi="仿宋" w:eastAsia="仿宋" w:cs="仿宋_GB2312"/>
          <w:sz w:val="28"/>
          <w:szCs w:val="28"/>
        </w:rPr>
        <w:t>三、支出总表</w:t>
      </w:r>
      <w:bookmarkEnd w:id="67"/>
    </w:p>
    <w:p>
      <w:pPr>
        <w:spacing w:line="580" w:lineRule="exact"/>
        <w:ind w:firstLine="560" w:firstLineChars="200"/>
        <w:rPr>
          <w:rFonts w:hint="eastAsia" w:ascii="仿宋" w:hAnsi="仿宋" w:eastAsia="仿宋" w:cs="仿宋_GB2312"/>
          <w:sz w:val="28"/>
          <w:szCs w:val="28"/>
        </w:rPr>
      </w:pPr>
      <w:bookmarkStart w:id="68" w:name="_Toc19089889"/>
      <w:r>
        <w:rPr>
          <w:rFonts w:hint="eastAsia" w:ascii="仿宋" w:hAnsi="仿宋" w:eastAsia="仿宋" w:cs="仿宋_GB2312"/>
          <w:sz w:val="28"/>
          <w:szCs w:val="28"/>
        </w:rPr>
        <w:t>四、财政拨款收入支出决算总表</w:t>
      </w:r>
      <w:bookmarkEnd w:id="68"/>
    </w:p>
    <w:p>
      <w:pPr>
        <w:spacing w:line="580" w:lineRule="exact"/>
        <w:ind w:firstLine="560" w:firstLineChars="200"/>
        <w:rPr>
          <w:rFonts w:hint="eastAsia" w:ascii="仿宋" w:hAnsi="仿宋" w:eastAsia="仿宋" w:cs="仿宋_GB2312"/>
          <w:sz w:val="28"/>
          <w:szCs w:val="28"/>
        </w:rPr>
      </w:pPr>
      <w:bookmarkStart w:id="69" w:name="_Toc19089890"/>
      <w:r>
        <w:rPr>
          <w:rFonts w:hint="eastAsia" w:ascii="仿宋" w:hAnsi="仿宋" w:eastAsia="仿宋" w:cs="仿宋_GB2312"/>
          <w:sz w:val="28"/>
          <w:szCs w:val="28"/>
        </w:rPr>
        <w:t>五、财政拨款支出决算明细表（政府经济分类科目）</w:t>
      </w:r>
      <w:bookmarkEnd w:id="69"/>
    </w:p>
    <w:p>
      <w:pPr>
        <w:spacing w:line="580" w:lineRule="exact"/>
        <w:ind w:firstLine="560" w:firstLineChars="200"/>
        <w:rPr>
          <w:rFonts w:hint="eastAsia" w:ascii="仿宋" w:hAnsi="仿宋" w:eastAsia="仿宋" w:cs="仿宋_GB2312"/>
          <w:sz w:val="28"/>
          <w:szCs w:val="28"/>
        </w:rPr>
      </w:pPr>
      <w:bookmarkStart w:id="70" w:name="_Toc19089891"/>
      <w:r>
        <w:rPr>
          <w:rFonts w:hint="eastAsia" w:ascii="仿宋" w:hAnsi="仿宋" w:eastAsia="仿宋" w:cs="仿宋_GB2312"/>
          <w:sz w:val="28"/>
          <w:szCs w:val="28"/>
        </w:rPr>
        <w:t>六、一般公共预算财政拨款支出决算表</w:t>
      </w:r>
      <w:bookmarkEnd w:id="70"/>
    </w:p>
    <w:p>
      <w:pPr>
        <w:spacing w:line="580" w:lineRule="exact"/>
        <w:ind w:firstLine="560" w:firstLineChars="200"/>
        <w:rPr>
          <w:rFonts w:hint="eastAsia" w:ascii="仿宋" w:hAnsi="仿宋" w:eastAsia="仿宋" w:cs="仿宋_GB2312"/>
          <w:sz w:val="28"/>
          <w:szCs w:val="28"/>
        </w:rPr>
      </w:pPr>
      <w:bookmarkStart w:id="71" w:name="_Toc19089892"/>
      <w:r>
        <w:rPr>
          <w:rFonts w:hint="eastAsia" w:ascii="仿宋" w:hAnsi="仿宋" w:eastAsia="仿宋" w:cs="仿宋_GB2312"/>
          <w:sz w:val="28"/>
          <w:szCs w:val="28"/>
        </w:rPr>
        <w:t>七、一般公共预算财政拨款支出决算明细表</w:t>
      </w:r>
      <w:bookmarkEnd w:id="71"/>
    </w:p>
    <w:p>
      <w:pPr>
        <w:spacing w:line="580" w:lineRule="exact"/>
        <w:ind w:firstLine="560" w:firstLineChars="200"/>
        <w:rPr>
          <w:rFonts w:hint="eastAsia" w:ascii="仿宋" w:hAnsi="仿宋" w:eastAsia="仿宋" w:cs="仿宋_GB2312"/>
          <w:sz w:val="28"/>
          <w:szCs w:val="28"/>
        </w:rPr>
      </w:pPr>
      <w:bookmarkStart w:id="72" w:name="_Toc19089893"/>
      <w:r>
        <w:rPr>
          <w:rFonts w:hint="eastAsia" w:ascii="仿宋" w:hAnsi="仿宋" w:eastAsia="仿宋" w:cs="仿宋_GB2312"/>
          <w:sz w:val="28"/>
          <w:szCs w:val="28"/>
        </w:rPr>
        <w:t>八、一般公共预算财政拨款基本支出决算表</w:t>
      </w:r>
      <w:bookmarkEnd w:id="72"/>
    </w:p>
    <w:p>
      <w:pPr>
        <w:spacing w:line="580" w:lineRule="exact"/>
        <w:ind w:firstLine="560" w:firstLineChars="200"/>
        <w:rPr>
          <w:rFonts w:hint="eastAsia" w:ascii="仿宋" w:hAnsi="仿宋" w:eastAsia="仿宋" w:cs="仿宋_GB2312"/>
          <w:sz w:val="28"/>
          <w:szCs w:val="28"/>
        </w:rPr>
      </w:pPr>
      <w:bookmarkStart w:id="73" w:name="_Toc19089894"/>
      <w:r>
        <w:rPr>
          <w:rFonts w:hint="eastAsia" w:ascii="仿宋" w:hAnsi="仿宋" w:eastAsia="仿宋" w:cs="仿宋_GB2312"/>
          <w:sz w:val="28"/>
          <w:szCs w:val="28"/>
        </w:rPr>
        <w:t>九、一般公共预算财政拨款项目支出决算表</w:t>
      </w:r>
      <w:bookmarkEnd w:id="73"/>
    </w:p>
    <w:p>
      <w:pPr>
        <w:spacing w:line="580" w:lineRule="exact"/>
        <w:ind w:firstLine="560" w:firstLineChars="200"/>
        <w:rPr>
          <w:rFonts w:hint="eastAsia" w:ascii="仿宋" w:hAnsi="仿宋" w:eastAsia="仿宋" w:cs="仿宋_GB2312"/>
          <w:sz w:val="28"/>
          <w:szCs w:val="28"/>
        </w:rPr>
      </w:pPr>
      <w:bookmarkStart w:id="74" w:name="_Toc19089895"/>
      <w:r>
        <w:rPr>
          <w:rFonts w:hint="eastAsia" w:ascii="仿宋" w:hAnsi="仿宋" w:eastAsia="仿宋" w:cs="仿宋_GB2312"/>
          <w:sz w:val="28"/>
          <w:szCs w:val="28"/>
        </w:rPr>
        <w:t>十、一般公共预算财政拨款“三公”经费支出决算表</w:t>
      </w:r>
      <w:bookmarkEnd w:id="74"/>
    </w:p>
    <w:p>
      <w:pPr>
        <w:spacing w:line="580" w:lineRule="exact"/>
        <w:ind w:firstLine="560" w:firstLineChars="200"/>
        <w:rPr>
          <w:rFonts w:hint="eastAsia" w:ascii="仿宋" w:hAnsi="仿宋" w:eastAsia="仿宋" w:cs="仿宋_GB2312"/>
          <w:sz w:val="28"/>
          <w:szCs w:val="28"/>
        </w:rPr>
      </w:pPr>
      <w:bookmarkStart w:id="75" w:name="_Toc19089896"/>
      <w:r>
        <w:rPr>
          <w:rFonts w:hint="eastAsia" w:ascii="仿宋" w:hAnsi="仿宋" w:eastAsia="仿宋" w:cs="仿宋_GB2312"/>
          <w:sz w:val="28"/>
          <w:szCs w:val="28"/>
        </w:rPr>
        <w:t>十一、政府性基金预算财政拨款收入支出决算表</w:t>
      </w:r>
      <w:bookmarkEnd w:id="75"/>
    </w:p>
    <w:p>
      <w:pPr>
        <w:spacing w:line="580" w:lineRule="exact"/>
        <w:ind w:firstLine="560" w:firstLineChars="200"/>
        <w:rPr>
          <w:rFonts w:hint="eastAsia" w:ascii="仿宋" w:hAnsi="仿宋" w:eastAsia="仿宋" w:cs="仿宋_GB2312"/>
          <w:sz w:val="28"/>
          <w:szCs w:val="28"/>
        </w:rPr>
      </w:pPr>
      <w:bookmarkStart w:id="76" w:name="_Toc19089897"/>
      <w:r>
        <w:rPr>
          <w:rFonts w:hint="eastAsia" w:ascii="仿宋" w:hAnsi="仿宋" w:eastAsia="仿宋" w:cs="仿宋_GB2312"/>
          <w:sz w:val="28"/>
          <w:szCs w:val="28"/>
        </w:rPr>
        <w:t>十二、政府性基金预算财政拨款“三公”经费支出决算表</w:t>
      </w:r>
      <w:bookmarkEnd w:id="76"/>
    </w:p>
    <w:p>
      <w:pPr>
        <w:spacing w:line="580" w:lineRule="exact"/>
        <w:ind w:firstLine="560" w:firstLineChars="200"/>
        <w:rPr>
          <w:rFonts w:hint="eastAsia" w:ascii="仿宋" w:hAnsi="仿宋" w:eastAsia="仿宋" w:cs="仿宋_GB2312"/>
          <w:sz w:val="28"/>
          <w:szCs w:val="28"/>
        </w:rPr>
      </w:pPr>
      <w:bookmarkStart w:id="77" w:name="_Toc19089898"/>
      <w:r>
        <w:rPr>
          <w:rFonts w:hint="eastAsia" w:ascii="仿宋" w:hAnsi="仿宋" w:eastAsia="仿宋" w:cs="仿宋_GB2312"/>
          <w:sz w:val="28"/>
          <w:szCs w:val="28"/>
        </w:rPr>
        <w:t>十三、国有资本经营预算支出决算表</w:t>
      </w:r>
      <w:bookmarkEnd w:id="77"/>
    </w:p>
    <w:p>
      <w:pPr>
        <w:spacing w:line="580" w:lineRule="exact"/>
        <w:rPr>
          <w:rFonts w:hint="eastAsia" w:ascii="黑体" w:hAnsi="黑体" w:eastAsia="黑体" w:cs="黑体"/>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5272C"/>
    <w:rsid w:val="0006487A"/>
    <w:rsid w:val="00065829"/>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2CA9"/>
    <w:rsid w:val="0014729F"/>
    <w:rsid w:val="00157BAB"/>
    <w:rsid w:val="001614F6"/>
    <w:rsid w:val="001654D1"/>
    <w:rsid w:val="0018106D"/>
    <w:rsid w:val="001877A7"/>
    <w:rsid w:val="00191536"/>
    <w:rsid w:val="00196687"/>
    <w:rsid w:val="001B73A2"/>
    <w:rsid w:val="001B7E2D"/>
    <w:rsid w:val="001C0962"/>
    <w:rsid w:val="001D7531"/>
    <w:rsid w:val="001E737D"/>
    <w:rsid w:val="001F006E"/>
    <w:rsid w:val="001F0592"/>
    <w:rsid w:val="001F7506"/>
    <w:rsid w:val="002006CD"/>
    <w:rsid w:val="00202B36"/>
    <w:rsid w:val="00204B7A"/>
    <w:rsid w:val="0021101A"/>
    <w:rsid w:val="00213E0E"/>
    <w:rsid w:val="00220536"/>
    <w:rsid w:val="00235629"/>
    <w:rsid w:val="00260C38"/>
    <w:rsid w:val="002616C0"/>
    <w:rsid w:val="002662AA"/>
    <w:rsid w:val="00280496"/>
    <w:rsid w:val="00295495"/>
    <w:rsid w:val="002B2613"/>
    <w:rsid w:val="002B41FE"/>
    <w:rsid w:val="002C3414"/>
    <w:rsid w:val="002D2EDD"/>
    <w:rsid w:val="002E1C32"/>
    <w:rsid w:val="002F1818"/>
    <w:rsid w:val="002F567B"/>
    <w:rsid w:val="00303037"/>
    <w:rsid w:val="00320320"/>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10D74"/>
    <w:rsid w:val="004223DE"/>
    <w:rsid w:val="00434489"/>
    <w:rsid w:val="00437085"/>
    <w:rsid w:val="00443880"/>
    <w:rsid w:val="004464F4"/>
    <w:rsid w:val="00471401"/>
    <w:rsid w:val="00473F31"/>
    <w:rsid w:val="00480BA8"/>
    <w:rsid w:val="0048263A"/>
    <w:rsid w:val="00487E5D"/>
    <w:rsid w:val="004A55C6"/>
    <w:rsid w:val="004A711F"/>
    <w:rsid w:val="004B05BC"/>
    <w:rsid w:val="004B199D"/>
    <w:rsid w:val="004B4690"/>
    <w:rsid w:val="004D5998"/>
    <w:rsid w:val="004E0A2D"/>
    <w:rsid w:val="004E206B"/>
    <w:rsid w:val="004E6DF7"/>
    <w:rsid w:val="004F0FBD"/>
    <w:rsid w:val="00505A47"/>
    <w:rsid w:val="00512FDA"/>
    <w:rsid w:val="00520DA0"/>
    <w:rsid w:val="005664BB"/>
    <w:rsid w:val="0057481D"/>
    <w:rsid w:val="0058486E"/>
    <w:rsid w:val="005A28D0"/>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530AB"/>
    <w:rsid w:val="0066343B"/>
    <w:rsid w:val="00664777"/>
    <w:rsid w:val="006748A4"/>
    <w:rsid w:val="00683E73"/>
    <w:rsid w:val="006A2511"/>
    <w:rsid w:val="006A3141"/>
    <w:rsid w:val="006A5E34"/>
    <w:rsid w:val="006B2422"/>
    <w:rsid w:val="006B2B9A"/>
    <w:rsid w:val="006C1937"/>
    <w:rsid w:val="006C2699"/>
    <w:rsid w:val="006F020C"/>
    <w:rsid w:val="006F78F0"/>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07C02"/>
    <w:rsid w:val="00824006"/>
    <w:rsid w:val="008253BB"/>
    <w:rsid w:val="0083706E"/>
    <w:rsid w:val="008423A5"/>
    <w:rsid w:val="00850625"/>
    <w:rsid w:val="00853718"/>
    <w:rsid w:val="00855221"/>
    <w:rsid w:val="00860645"/>
    <w:rsid w:val="00871F71"/>
    <w:rsid w:val="008770E7"/>
    <w:rsid w:val="00883FD9"/>
    <w:rsid w:val="00885AF4"/>
    <w:rsid w:val="008939CD"/>
    <w:rsid w:val="008B768C"/>
    <w:rsid w:val="008C4DB1"/>
    <w:rsid w:val="008C4EAF"/>
    <w:rsid w:val="008C5176"/>
    <w:rsid w:val="008C7FD0"/>
    <w:rsid w:val="008D105F"/>
    <w:rsid w:val="008E1DE7"/>
    <w:rsid w:val="008E707C"/>
    <w:rsid w:val="008F4458"/>
    <w:rsid w:val="00900B08"/>
    <w:rsid w:val="00902155"/>
    <w:rsid w:val="00902FA3"/>
    <w:rsid w:val="009134B3"/>
    <w:rsid w:val="00920912"/>
    <w:rsid w:val="00923564"/>
    <w:rsid w:val="0092392E"/>
    <w:rsid w:val="009315F9"/>
    <w:rsid w:val="00943E15"/>
    <w:rsid w:val="00946945"/>
    <w:rsid w:val="00951248"/>
    <w:rsid w:val="0095152F"/>
    <w:rsid w:val="00954C49"/>
    <w:rsid w:val="009668D6"/>
    <w:rsid w:val="0097099F"/>
    <w:rsid w:val="00971997"/>
    <w:rsid w:val="00971FFC"/>
    <w:rsid w:val="00980F20"/>
    <w:rsid w:val="0098660A"/>
    <w:rsid w:val="009905B5"/>
    <w:rsid w:val="009931C3"/>
    <w:rsid w:val="009B2C43"/>
    <w:rsid w:val="009B4EAE"/>
    <w:rsid w:val="009B7573"/>
    <w:rsid w:val="009C22F4"/>
    <w:rsid w:val="009C2E98"/>
    <w:rsid w:val="009D3447"/>
    <w:rsid w:val="009D4711"/>
    <w:rsid w:val="009F1185"/>
    <w:rsid w:val="009F18CD"/>
    <w:rsid w:val="009F2A13"/>
    <w:rsid w:val="00A0499B"/>
    <w:rsid w:val="00A04E84"/>
    <w:rsid w:val="00A04EB0"/>
    <w:rsid w:val="00A11484"/>
    <w:rsid w:val="00A13CC1"/>
    <w:rsid w:val="00A16847"/>
    <w:rsid w:val="00A237D8"/>
    <w:rsid w:val="00A268C4"/>
    <w:rsid w:val="00A307CD"/>
    <w:rsid w:val="00A31D60"/>
    <w:rsid w:val="00A40A00"/>
    <w:rsid w:val="00A4142F"/>
    <w:rsid w:val="00A56DF2"/>
    <w:rsid w:val="00A67AB5"/>
    <w:rsid w:val="00A91760"/>
    <w:rsid w:val="00A93B00"/>
    <w:rsid w:val="00A93C21"/>
    <w:rsid w:val="00AA4B2D"/>
    <w:rsid w:val="00AB0CE4"/>
    <w:rsid w:val="00AB434E"/>
    <w:rsid w:val="00AC3C6A"/>
    <w:rsid w:val="00AD5620"/>
    <w:rsid w:val="00AD7C1B"/>
    <w:rsid w:val="00AE16BA"/>
    <w:rsid w:val="00AE1EBE"/>
    <w:rsid w:val="00AF6F57"/>
    <w:rsid w:val="00B03C9D"/>
    <w:rsid w:val="00B060AE"/>
    <w:rsid w:val="00B10517"/>
    <w:rsid w:val="00B14E76"/>
    <w:rsid w:val="00B161B8"/>
    <w:rsid w:val="00B2048C"/>
    <w:rsid w:val="00B31051"/>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18CF"/>
    <w:rsid w:val="00C33E72"/>
    <w:rsid w:val="00C3445D"/>
    <w:rsid w:val="00C354B2"/>
    <w:rsid w:val="00C35554"/>
    <w:rsid w:val="00C42709"/>
    <w:rsid w:val="00C533CC"/>
    <w:rsid w:val="00C5751C"/>
    <w:rsid w:val="00C61BFC"/>
    <w:rsid w:val="00C62B85"/>
    <w:rsid w:val="00C65438"/>
    <w:rsid w:val="00C74558"/>
    <w:rsid w:val="00C91CBB"/>
    <w:rsid w:val="00CC09B6"/>
    <w:rsid w:val="00CC666F"/>
    <w:rsid w:val="00CD1E3F"/>
    <w:rsid w:val="00CE44F6"/>
    <w:rsid w:val="00CE49DA"/>
    <w:rsid w:val="00CE7B61"/>
    <w:rsid w:val="00D00095"/>
    <w:rsid w:val="00D20620"/>
    <w:rsid w:val="00D26091"/>
    <w:rsid w:val="00D34E7C"/>
    <w:rsid w:val="00D35489"/>
    <w:rsid w:val="00D510D1"/>
    <w:rsid w:val="00D51276"/>
    <w:rsid w:val="00D54F3C"/>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552F"/>
    <w:rsid w:val="00E07ACF"/>
    <w:rsid w:val="00E114FD"/>
    <w:rsid w:val="00E331A1"/>
    <w:rsid w:val="00E33202"/>
    <w:rsid w:val="00E336A9"/>
    <w:rsid w:val="00E50624"/>
    <w:rsid w:val="00E568DF"/>
    <w:rsid w:val="00E56E47"/>
    <w:rsid w:val="00E64269"/>
    <w:rsid w:val="00E82267"/>
    <w:rsid w:val="00EA010F"/>
    <w:rsid w:val="00EA1DBA"/>
    <w:rsid w:val="00EC11B6"/>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108521F7"/>
    <w:rsid w:val="10C055FF"/>
    <w:rsid w:val="155A0398"/>
    <w:rsid w:val="16BB723D"/>
    <w:rsid w:val="196E7ED8"/>
    <w:rsid w:val="220F1B89"/>
    <w:rsid w:val="240371BF"/>
    <w:rsid w:val="29FD04D3"/>
    <w:rsid w:val="2BEF448C"/>
    <w:rsid w:val="319F7F4E"/>
    <w:rsid w:val="336047D1"/>
    <w:rsid w:val="39233B37"/>
    <w:rsid w:val="3A255E85"/>
    <w:rsid w:val="409501C5"/>
    <w:rsid w:val="4E361EB2"/>
    <w:rsid w:val="52B64D0A"/>
    <w:rsid w:val="53C52CC6"/>
    <w:rsid w:val="BDF647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2"/>
    <w:qFormat/>
    <w:uiPriority w:val="9"/>
    <w:rPr>
      <w:rFonts w:ascii="Times New Roman" w:hAnsi="Times New Roman"/>
      <w:b/>
      <w:bCs/>
      <w:kern w:val="44"/>
      <w:sz w:val="44"/>
      <w:szCs w:val="44"/>
    </w:rPr>
  </w:style>
  <w:style w:type="character" w:customStyle="1" w:styleId="25">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0"/>
          <c:order val="0"/>
          <c:tx>
            <c:strRef>
              <c:f>Sheet1!$B$1</c:f>
              <c:strCache>
                <c:ptCount val="1"/>
                <c:pt idx="0">
                  <c:v>总收入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1552.02</c:v>
                </c:pt>
                <c:pt idx="1">
                  <c:v>1260.92</c:v>
                </c:pt>
              </c:numCache>
            </c:numRef>
          </c:val>
        </c:ser>
        <c:ser>
          <c:idx val="1"/>
          <c:order val="1"/>
          <c:tx>
            <c:strRef>
              <c:f>Sheet1!$C$1</c:f>
              <c:strCache>
                <c:ptCount val="1"/>
                <c:pt idx="0">
                  <c:v>总支出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Sheet1!$C$2:$C$3</c:f>
              <c:numCache>
                <c:formatCode>General</c:formatCode>
                <c:ptCount val="2"/>
                <c:pt idx="0">
                  <c:v>1681</c:v>
                </c:pt>
                <c:pt idx="1">
                  <c:v>1630.68</c:v>
                </c:pt>
              </c:numCache>
            </c:numRef>
          </c:val>
        </c:ser>
        <c:dLbls>
          <c:showLegendKey val="false"/>
          <c:showVal val="false"/>
          <c:showCatName val="false"/>
          <c:showSerName val="false"/>
          <c:showPercent val="false"/>
          <c:showBubbleSize val="false"/>
        </c:dLbls>
        <c:gapWidth val="150"/>
        <c:axId val="89042304"/>
        <c:axId val="89048192"/>
      </c:barChart>
      <c:catAx>
        <c:axId val="8904230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89048192"/>
        <c:crosses val="autoZero"/>
        <c:auto val="true"/>
        <c:lblAlgn val="ctr"/>
        <c:lblOffset val="100"/>
        <c:noMultiLvlLbl val="false"/>
      </c:catAx>
      <c:valAx>
        <c:axId val="8904819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8904230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收入额（万元）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1"/>
              <c:layout>
                <c:manualLayout>
                  <c:x val="-0.201160558945801"/>
                  <c:y val="0.01927750773087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205212311595655"/>
                  <c:y val="-0.117564457847063"/>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203255763574355"/>
                  <c:y val="-0.052658360566915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562773790240408"/>
                  <c:y val="-0.11904442782548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6"/>
              <c:layout>
                <c:manualLayout>
                  <c:x val="0.213873523029838"/>
                  <c:y val="-0.016948330838810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1199.73</c:v>
                </c:pt>
                <c:pt idx="1">
                  <c:v>0</c:v>
                </c:pt>
                <c:pt idx="2">
                  <c:v>0</c:v>
                </c:pt>
                <c:pt idx="3">
                  <c:v>0</c:v>
                </c:pt>
                <c:pt idx="4">
                  <c:v>0</c:v>
                </c:pt>
                <c:pt idx="6">
                  <c:v>61.19</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390272840999948"/>
                  <c:y val="0.070217949533570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02242815315956"/>
                  <c:y val="0.16002245070605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190223761699253"/>
                  <c:y val="0.039432615075944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3"/>
              <c:layout>
                <c:manualLayout>
                  <c:x val="0.487710465596493"/>
                  <c:y val="-0.040964374022497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4"/>
              <c:layout>
                <c:manualLayout>
                  <c:x val="-0.14777317648734"/>
                  <c:y val="-0.069095317569990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1186.24</c:v>
                </c:pt>
                <c:pt idx="1">
                  <c:v>444.44</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财政拨款收入</c:v>
                </c:pt>
              </c:strCache>
            </c:strRef>
          </c:tx>
          <c:invertIfNegative val="false"/>
          <c:dLbls>
            <c:dLbl>
              <c:idx val="0"/>
              <c:layout>
                <c:manualLayout>
                  <c:x val="2.20615181077603e-17"/>
                  <c:y val="0.0165289256198347"/>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1495.4</c:v>
                </c:pt>
                <c:pt idx="1">
                  <c:v>1199.73</c:v>
                </c:pt>
              </c:numCache>
            </c:numRef>
          </c:val>
        </c:ser>
        <c:ser>
          <c:idx val="1"/>
          <c:order val="1"/>
          <c:tx>
            <c:strRef>
              <c:f>Sheet1!$C$1</c:f>
              <c:strCache>
                <c:ptCount val="1"/>
                <c:pt idx="0">
                  <c:v>财政拨款支出</c:v>
                </c:pt>
              </c:strCache>
            </c:strRef>
          </c:tx>
          <c:invertIfNegative val="false"/>
          <c:dLbls>
            <c:dLbl>
              <c:idx val="0"/>
              <c:layout>
                <c:manualLayout>
                  <c:x val="0.0288808664259928"/>
                  <c:y val="0"/>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0192539109506619"/>
                  <c:y val="-0.00826446280991736"/>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Sheet1!$C$2:$C$3</c:f>
              <c:numCache>
                <c:formatCode>General</c:formatCode>
                <c:ptCount val="2"/>
                <c:pt idx="0">
                  <c:v>1624.39</c:v>
                </c:pt>
                <c:pt idx="1">
                  <c:v>1569.49</c:v>
                </c:pt>
              </c:numCache>
            </c:numRef>
          </c:val>
        </c:ser>
        <c:dLbls>
          <c:showLegendKey val="false"/>
          <c:showVal val="false"/>
          <c:showCatName val="false"/>
          <c:showSerName val="false"/>
          <c:showPercent val="false"/>
          <c:showBubbleSize val="false"/>
        </c:dLbls>
        <c:gapWidth val="150"/>
        <c:axId val="116699136"/>
        <c:axId val="116700672"/>
      </c:barChart>
      <c:catAx>
        <c:axId val="116699136"/>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700672"/>
        <c:crosses val="autoZero"/>
        <c:auto val="true"/>
        <c:lblAlgn val="ctr"/>
        <c:lblOffset val="100"/>
        <c:noMultiLvlLbl val="false"/>
      </c:catAx>
      <c:valAx>
        <c:axId val="11670067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699136"/>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5233052764956"/>
          <c:y val="0.0405858267716535"/>
          <c:w val="0.800284188614354"/>
          <c:h val="0.78886209223847"/>
        </c:manualLayout>
      </c:layout>
      <c:barChart>
        <c:barDir val="col"/>
        <c:grouping val="clustered"/>
        <c:varyColors val="false"/>
        <c:ser>
          <c:idx val="0"/>
          <c:order val="0"/>
          <c:tx>
            <c:strRef>
              <c:f>Sheet1!$B$1</c:f>
              <c:strCache>
                <c:ptCount val="1"/>
                <c:pt idx="0">
                  <c:v>一般公共预算财政拨款支出</c:v>
                </c:pt>
              </c:strCache>
            </c:strRef>
          </c:tx>
          <c:invertIfNegative val="false"/>
          <c:dLbls>
            <c:dLbl>
              <c:idx val="0"/>
              <c:layout>
                <c:manualLayout>
                  <c:x val="-0.00766283524904215"/>
                  <c:y val="0.0514705882352941"/>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
                  <c:y val="0.205882352941176"/>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trendline>
            <c:trendlineType val="exp"/>
            <c:dispRSqr val="false"/>
            <c:dispEq val="false"/>
          </c:trendline>
          <c:cat>
            <c:strRef>
              <c:f>Sheet1!$A$2:$A$3</c:f>
              <c:strCache>
                <c:ptCount val="2"/>
                <c:pt idx="0">
                  <c:v>2019年</c:v>
                </c:pt>
                <c:pt idx="1">
                  <c:v>2020年</c:v>
                </c:pt>
              </c:strCache>
            </c:strRef>
          </c:cat>
          <c:val>
            <c:numRef>
              <c:f>Sheet1!$B$2:$B$3</c:f>
              <c:numCache>
                <c:formatCode>General</c:formatCode>
                <c:ptCount val="2"/>
                <c:pt idx="0">
                  <c:v>1624.39</c:v>
                </c:pt>
                <c:pt idx="1">
                  <c:v>1569.49</c:v>
                </c:pt>
              </c:numCache>
            </c:numRef>
          </c:val>
        </c:ser>
        <c:dLbls>
          <c:showLegendKey val="false"/>
          <c:showVal val="false"/>
          <c:showCatName val="false"/>
          <c:showSerName val="false"/>
          <c:showPercent val="false"/>
          <c:showBubbleSize val="false"/>
        </c:dLbls>
        <c:gapWidth val="150"/>
        <c:axId val="153356160"/>
        <c:axId val="153357696"/>
      </c:barChart>
      <c:catAx>
        <c:axId val="15335616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3357696"/>
        <c:crosses val="autoZero"/>
        <c:auto val="true"/>
        <c:lblAlgn val="ctr"/>
        <c:lblOffset val="100"/>
        <c:noMultiLvlLbl val="false"/>
      </c:catAx>
      <c:valAx>
        <c:axId val="15335769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3356160"/>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一般公共预算财政拨款支出（万元）</c:v>
                </c:pt>
              </c:strCache>
            </c:strRef>
          </c:tx>
          <c:explosion val="0"/>
          <c:dPt>
            <c:idx val="0"/>
            <c:bubble3D val="false"/>
          </c:dPt>
          <c:dPt>
            <c:idx val="1"/>
            <c:bubble3D val="false"/>
            <c:explosion val="32"/>
          </c:dPt>
          <c:dPt>
            <c:idx val="2"/>
            <c:bubble3D val="false"/>
          </c:dPt>
          <c:dPt>
            <c:idx val="3"/>
            <c:bubble3D val="false"/>
          </c:dPt>
          <c:dPt>
            <c:idx val="4"/>
            <c:bubble3D val="false"/>
          </c:dPt>
          <c:dPt>
            <c:idx val="5"/>
            <c:bubble3D val="false"/>
          </c:dPt>
          <c:dPt>
            <c:idx val="6"/>
            <c:bubble3D val="false"/>
          </c:dPt>
          <c:dPt>
            <c:idx val="7"/>
            <c:bubble3D val="false"/>
          </c:dPt>
          <c:dLbls>
            <c:dLbl>
              <c:idx val="0"/>
              <c:delete val="true"/>
            </c:dLbl>
            <c:dLbl>
              <c:idx val="2"/>
              <c:delete val="true"/>
            </c:dLbl>
            <c:dLbl>
              <c:idx val="3"/>
              <c:layout>
                <c:manualLayout>
                  <c:x val="-0.229891743532058"/>
                  <c:y val="0.0734263303459424"/>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4"/>
              <c:layout>
                <c:manualLayout>
                  <c:x val="-0.267639235095613"/>
                  <c:y val="-0.0253658167968927"/>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5"/>
              <c:layout>
                <c:manualLayout>
                  <c:x val="0.0173964454443195"/>
                  <c:y val="0.030230779693805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6"/>
              <c:layout>
                <c:manualLayout>
                  <c:x val="0.544493138357706"/>
                  <c:y val="-0.024816600420149"/>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7"/>
              <c:layout>
                <c:manualLayout>
                  <c:x val="0.487579752530933"/>
                  <c:y val="0.028189883174392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农林书支出</c:v>
                </c:pt>
                <c:pt idx="6">
                  <c:v>住房保障支出</c:v>
                </c:pt>
                <c:pt idx="7">
                  <c:v>其它支出</c:v>
                </c:pt>
              </c:strCache>
            </c:strRef>
          </c:cat>
          <c:val>
            <c:numRef>
              <c:f>Sheet1!$B$2:$B$9</c:f>
              <c:numCache>
                <c:formatCode>General</c:formatCode>
                <c:ptCount val="8"/>
                <c:pt idx="0">
                  <c:v>0</c:v>
                </c:pt>
                <c:pt idx="1">
                  <c:v>1394.13</c:v>
                </c:pt>
                <c:pt idx="2">
                  <c:v>0</c:v>
                </c:pt>
                <c:pt idx="3">
                  <c:v>126.62</c:v>
                </c:pt>
                <c:pt idx="4">
                  <c:v>48.74</c:v>
                </c:pt>
                <c:pt idx="5">
                  <c:v>0</c:v>
                </c:pt>
                <c:pt idx="6">
                  <c:v>0</c:v>
                </c:pt>
                <c:pt idx="7">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bar"/>
        <c:grouping val="percentStacked"/>
        <c:varyColors val="false"/>
        <c:ser>
          <c:idx val="0"/>
          <c:order val="0"/>
          <c:tx>
            <c:strRef>
              <c:f>Sheet1!$B$1</c:f>
              <c:strCache>
                <c:ptCount val="1"/>
                <c:pt idx="0">
                  <c:v>已完成预算额</c:v>
                </c:pt>
              </c:strCache>
            </c:strRef>
          </c:tx>
          <c:invertIfNegative val="false"/>
          <c:dLbls>
            <c:delete val="true"/>
          </c:dLbls>
          <c:cat>
            <c:strRef>
              <c:f>Sheet1!$A$2:$A$26</c:f>
              <c:strCache>
                <c:ptCount val="25"/>
                <c:pt idx="0">
                  <c:v>···（类）···（款）···（项）</c:v>
                </c:pt>
                <c:pt idx="1">
                  <c:v>···（类）···（款）···（项）</c:v>
                </c:pt>
                <c:pt idx="2">
                  <c:v>卫生健康支出（类）行政事业单位医疗（款）事业单位医疗（项）</c:v>
                </c:pt>
                <c:pt idx="3">
                  <c:v>住房保障支出（类）住房改革支出（款）住房公积金（项）</c:v>
                </c:pt>
                <c:pt idx="4">
                  <c:v>农林水支出（类）扶贫（款）其他扶贫支出（项）</c:v>
                </c:pt>
                <c:pt idx="5">
                  <c:v>医疗卫生与计划生育支出（类）行政事业单位医疗★（款）事业单位医疗（项）</c:v>
                </c:pt>
                <c:pt idx="6">
                  <c:v>医疗卫生与计划生育支出（类）行政事业单位医疗★（款）行政单位医疗（项）</c:v>
                </c:pt>
                <c:pt idx="7">
                  <c:v>社会保障和就业支出（类）其它社会保障和就业（款）其它社会保障和就业支出（项）</c:v>
                </c:pt>
                <c:pt idx="8">
                  <c:v>社会保障和就业支出（类）行政事业单位离退休（款）机关事业单位职业年金缴费支出★（项）</c:v>
                </c:pt>
                <c:pt idx="9">
                  <c:v>社会保障和就业支出（类）行政事业单位离退休（款）机关事业单位基本养老保险缴费支出（项）</c:v>
                </c:pt>
                <c:pt idx="10">
                  <c:v>社会保障和就业支出（类）行政事业单位离退休（款）行政单位离退休（项）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教育管理事务（款）职业高中教育（项）高等职业教育（项）</c:v>
                </c:pt>
                <c:pt idx="16">
                  <c:v>教育支出（类）职业教育（款）技校教育（项）</c:v>
                </c:pt>
                <c:pt idx="17">
                  <c:v>教育支出（类）职业教育（款）中等职业教育（项）</c:v>
                </c:pt>
                <c:pt idx="18">
                  <c:v>教育管理事务（款）普通教育（款）其他普通教育支出（项）</c:v>
                </c:pt>
                <c:pt idx="19">
                  <c:v>教育支出（类）普通教育（款）高等教育（项）</c:v>
                </c:pt>
                <c:pt idx="20">
                  <c:v>教育支出（类）普通教育（款）高中教育（项）</c:v>
                </c:pt>
                <c:pt idx="21">
                  <c:v>教育支出（类）普通教育（款）初中教育（项）</c:v>
                </c:pt>
                <c:pt idx="22">
                  <c:v>教育支出（类）普通教育（款）学前教育（项）</c:v>
                </c:pt>
                <c:pt idx="23">
                  <c:v>教育支出（类）教育管理事务（款）一般行政管理事务（项）</c:v>
                </c:pt>
                <c:pt idx="24">
                  <c:v>教育支出（类）教育管理事务（款）行政运行（项）</c:v>
                </c:pt>
              </c:strCache>
            </c:strRef>
          </c:cat>
          <c:val>
            <c:numRef>
              <c:f>Sheet1!$B$2:$B$26</c:f>
              <c:numCache>
                <c:formatCode>#,##0.00</c:formatCode>
                <c:ptCount val="25"/>
                <c:pt idx="0">
                  <c:v>0</c:v>
                </c:pt>
                <c:pt idx="1">
                  <c:v>0</c:v>
                </c:pt>
                <c:pt idx="2">
                  <c:v>48.74</c:v>
                </c:pt>
                <c:pt idx="3">
                  <c:v>0</c:v>
                </c:pt>
                <c:pt idx="4">
                  <c:v>0</c:v>
                </c:pt>
                <c:pt idx="5">
                  <c:v>0</c:v>
                </c:pt>
                <c:pt idx="6">
                  <c:v>0</c:v>
                </c:pt>
                <c:pt idx="7">
                  <c:v>17.79</c:v>
                </c:pt>
                <c:pt idx="8">
                  <c:v>0</c:v>
                </c:pt>
                <c:pt idx="9">
                  <c:v>93.26</c:v>
                </c:pt>
                <c:pt idx="10">
                  <c:v>0</c:v>
                </c:pt>
                <c:pt idx="11">
                  <c:v>0</c:v>
                </c:pt>
                <c:pt idx="12">
                  <c:v>0</c:v>
                </c:pt>
                <c:pt idx="13">
                  <c:v>0</c:v>
                </c:pt>
                <c:pt idx="14">
                  <c:v>0</c:v>
                </c:pt>
                <c:pt idx="15">
                  <c:v>0</c:v>
                </c:pt>
                <c:pt idx="16">
                  <c:v>0</c:v>
                </c:pt>
                <c:pt idx="17">
                  <c:v>0</c:v>
                </c:pt>
                <c:pt idx="18">
                  <c:v>0</c:v>
                </c:pt>
                <c:pt idx="19">
                  <c:v>0</c:v>
                </c:pt>
                <c:pt idx="20">
                  <c:v>0</c:v>
                </c:pt>
                <c:pt idx="21">
                  <c:v>1394.13</c:v>
                </c:pt>
                <c:pt idx="22">
                  <c:v>0</c:v>
                </c:pt>
                <c:pt idx="23">
                  <c:v>0</c:v>
                </c:pt>
                <c:pt idx="24">
                  <c:v>0</c:v>
                </c:pt>
              </c:numCache>
            </c:numRef>
          </c:val>
        </c:ser>
        <c:ser>
          <c:idx val="1"/>
          <c:order val="1"/>
          <c:tx>
            <c:strRef>
              <c:f>Sheet1!$C$1</c:f>
              <c:strCache>
                <c:ptCount val="1"/>
                <c:pt idx="0">
                  <c:v>未完成预算额</c:v>
                </c:pt>
              </c:strCache>
            </c:strRef>
          </c:tx>
          <c:invertIfNegative val="false"/>
          <c:dLbls>
            <c:delete val="true"/>
          </c:dLbls>
          <c:cat>
            <c:strRef>
              <c:f>Sheet1!$A$2:$A$26</c:f>
              <c:strCache>
                <c:ptCount val="25"/>
                <c:pt idx="0">
                  <c:v>···（类）···（款）···（项）</c:v>
                </c:pt>
                <c:pt idx="1">
                  <c:v>···（类）···（款）···（项）</c:v>
                </c:pt>
                <c:pt idx="2">
                  <c:v>卫生健康支出（类）行政事业单位医疗（款）事业单位医疗（项）</c:v>
                </c:pt>
                <c:pt idx="3">
                  <c:v>住房保障支出（类）住房改革支出（款）住房公积金（项）</c:v>
                </c:pt>
                <c:pt idx="4">
                  <c:v>农林水支出（类）扶贫（款）其他扶贫支出（项）</c:v>
                </c:pt>
                <c:pt idx="5">
                  <c:v>医疗卫生与计划生育支出（类）行政事业单位医疗★（款）事业单位医疗（项）</c:v>
                </c:pt>
                <c:pt idx="6">
                  <c:v>医疗卫生与计划生育支出（类）行政事业单位医疗★（款）行政单位医疗（项）</c:v>
                </c:pt>
                <c:pt idx="7">
                  <c:v>社会保障和就业支出（类）其它社会保障和就业（款）其它社会保障和就业支出（项）</c:v>
                </c:pt>
                <c:pt idx="8">
                  <c:v>社会保障和就业支出（类）行政事业单位离退休（款）机关事业单位职业年金缴费支出★（项）</c:v>
                </c:pt>
                <c:pt idx="9">
                  <c:v>社会保障和就业支出（类）行政事业单位离退休（款）机关事业单位基本养老保险缴费支出（项）</c:v>
                </c:pt>
                <c:pt idx="10">
                  <c:v>社会保障和就业支出（类）行政事业单位离退休（款）行政单位离退休（项）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教育管理事务（款）职业高中教育（项）高等职业教育（项）</c:v>
                </c:pt>
                <c:pt idx="16">
                  <c:v>教育支出（类）职业教育（款）技校教育（项）</c:v>
                </c:pt>
                <c:pt idx="17">
                  <c:v>教育支出（类）职业教育（款）中等职业教育（项）</c:v>
                </c:pt>
                <c:pt idx="18">
                  <c:v>教育管理事务（款）普通教育（款）其他普通教育支出（项）</c:v>
                </c:pt>
                <c:pt idx="19">
                  <c:v>教育支出（类）普通教育（款）高等教育（项）</c:v>
                </c:pt>
                <c:pt idx="20">
                  <c:v>教育支出（类）普通教育（款）高中教育（项）</c:v>
                </c:pt>
                <c:pt idx="21">
                  <c:v>教育支出（类）普通教育（款）初中教育（项）</c:v>
                </c:pt>
                <c:pt idx="22">
                  <c:v>教育支出（类）普通教育（款）学前教育（项）</c:v>
                </c:pt>
                <c:pt idx="23">
                  <c:v>教育支出（类）教育管理事务（款）一般行政管理事务（项）</c:v>
                </c:pt>
                <c:pt idx="24">
                  <c:v>教育支出（类）教育管理事务（款）行政运行（项）</c:v>
                </c:pt>
              </c:strCache>
            </c:strRef>
          </c:cat>
          <c:val>
            <c:numRef>
              <c:f>Sheet1!$C$2:$C$26</c:f>
              <c:numCache>
                <c:formatCode>#,##0.00_ </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103.81</c:v>
                </c:pt>
                <c:pt idx="22">
                  <c:v>0</c:v>
                </c:pt>
                <c:pt idx="23">
                  <c:v>0</c:v>
                </c:pt>
                <c:pt idx="24">
                  <c:v>0</c:v>
                </c:pt>
              </c:numCache>
            </c:numRef>
          </c:val>
        </c:ser>
        <c:dLbls>
          <c:showLegendKey val="false"/>
          <c:showVal val="false"/>
          <c:showCatName val="false"/>
          <c:showSerName val="false"/>
          <c:showPercent val="false"/>
          <c:showBubbleSize val="false"/>
        </c:dLbls>
        <c:gapWidth val="150"/>
        <c:overlap val="100"/>
        <c:axId val="153585920"/>
        <c:axId val="153600000"/>
      </c:barChart>
      <c:catAx>
        <c:axId val="153585920"/>
        <c:scaling>
          <c:orientation val="minMax"/>
        </c:scaling>
        <c:delete val="false"/>
        <c:axPos val="l"/>
        <c:numFmt formatCode="General" sourceLinked="true"/>
        <c:majorTickMark val="out"/>
        <c:minorTickMark val="none"/>
        <c:tickLblPos val="nextTo"/>
        <c:txPr>
          <a:bodyPr rot="-60000000" spcFirstLastPara="0" vertOverflow="ellipsis" vert="horz" wrap="square" anchor="ctr" anchorCtr="true"/>
          <a:lstStyle/>
          <a:p>
            <a:pPr>
              <a:defRPr lang="zh-CN" sz="700" b="0" i="0" u="none" strike="noStrike" kern="1200" spc="-100" baseline="0">
                <a:solidFill>
                  <a:schemeClr val="tx1"/>
                </a:solidFill>
                <a:latin typeface="+mn-lt"/>
                <a:ea typeface="+mn-ea"/>
                <a:cs typeface="+mn-cs"/>
              </a:defRPr>
            </a:pPr>
          </a:p>
        </c:txPr>
        <c:crossAx val="153600000"/>
        <c:crosses val="autoZero"/>
        <c:auto val="true"/>
        <c:lblAlgn val="l"/>
        <c:lblOffset val="100"/>
        <c:noMultiLvlLbl val="false"/>
      </c:catAx>
      <c:valAx>
        <c:axId val="153600000"/>
        <c:scaling>
          <c:orientation val="minMax"/>
        </c:scaling>
        <c:delete val="false"/>
        <c:axPos val="b"/>
        <c:majorGridlines/>
        <c:minorGridlines/>
        <c:numFmt formatCode="0%"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358592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674213836478"/>
          <c:y val="0.0443458980044346"/>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“三公”经费财政拨款支出（万元）</c:v>
                </c:pt>
              </c:strCache>
            </c:strRef>
          </c:tx>
          <c:explosion val="0"/>
          <c:dPt>
            <c:idx val="0"/>
            <c:bubble3D val="false"/>
          </c:dPt>
          <c:dPt>
            <c:idx val="1"/>
            <c:bubble3D val="false"/>
          </c:dPt>
          <c:dPt>
            <c:idx val="2"/>
            <c:bubble3D val="false"/>
          </c:dPt>
          <c:dLbls>
            <c:dLbl>
              <c:idx val="0"/>
              <c:layout>
                <c:manualLayout>
                  <c:x val="0.331038798498123"/>
                  <c:y val="0.098313253012048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26846057571965"/>
                  <c:y val="0.142650602409639"/>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false"/>
          <c:showVal val="false"/>
          <c:showCatName val="false"/>
          <c:showSerName val="false"/>
          <c:showPercent val="false"/>
          <c:showBubbleSize val="false"/>
          <c:showLeaderLines val="true"/>
        </c:dLbls>
        <c:firstSliceAng val="0"/>
      </c:pieChart>
    </c:plotArea>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1958</Words>
  <Characters>11167</Characters>
  <Lines>93</Lines>
  <Paragraphs>26</Paragraphs>
  <TotalTime>213</TotalTime>
  <ScaleCrop>false</ScaleCrop>
  <LinksUpToDate>false</LinksUpToDate>
  <CharactersWithSpaces>13099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2019-09-09T08:46:00Z</dcterms:created>
  <dc:creator>张彬茜</dc:creator>
  <cp:lastModifiedBy>user</cp:lastModifiedBy>
  <cp:lastPrinted>2021-09-15T10:00:00Z</cp:lastPrinted>
  <dcterms:modified xsi:type="dcterms:W3CDTF">2023-07-14T15:35:26Z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745C929FB69641B8AB707E4995957222</vt:lpwstr>
  </property>
</Properties>
</file>