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olor w:val="000000"/>
          <w:sz w:val="36"/>
          <w:szCs w:val="36"/>
        </w:rPr>
      </w:pPr>
      <w:bookmarkStart w:id="49" w:name="_GoBack"/>
      <w:bookmarkEnd w:id="49"/>
    </w:p>
    <w:p>
      <w:pPr>
        <w:jc w:val="center"/>
        <w:rPr>
          <w:rFonts w:ascii="方正小标宋简体" w:hAnsi="宋体" w:eastAsia="方正小标宋简体"/>
          <w:color w:val="000000"/>
          <w:sz w:val="36"/>
          <w:szCs w:val="36"/>
        </w:rPr>
      </w:pPr>
    </w:p>
    <w:p>
      <w:pPr>
        <w:jc w:val="center"/>
        <w:rPr>
          <w:rFonts w:ascii="方正小标宋简体" w:hAnsi="宋体" w:eastAsia="方正小标宋简体"/>
          <w:color w:val="000000"/>
          <w:sz w:val="36"/>
          <w:szCs w:val="36"/>
        </w:rPr>
      </w:pPr>
    </w:p>
    <w:p>
      <w:pPr>
        <w:spacing w:line="600" w:lineRule="exact"/>
        <w:outlineLvl w:val="0"/>
        <w:rPr>
          <w:rFonts w:ascii="方正小标宋简体" w:hAnsi="宋体" w:eastAsia="方正小标宋简体"/>
          <w:color w:val="000000"/>
          <w:sz w:val="72"/>
          <w:szCs w:val="72"/>
        </w:rPr>
      </w:pPr>
      <w:bookmarkStart w:id="0" w:name="_Toc15306267"/>
    </w:p>
    <w:p>
      <w:pPr>
        <w:spacing w:line="600" w:lineRule="exact"/>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77193"/>
      <w:bookmarkStart w:id="4" w:name="_Toc15377425"/>
      <w:bookmarkStart w:id="5" w:name="_Toc15396475"/>
      <w:r>
        <w:rPr>
          <w:rFonts w:ascii="黑体" w:hAnsi="黑体" w:eastAsia="黑体"/>
          <w:color w:val="000000"/>
          <w:sz w:val="72"/>
          <w:szCs w:val="72"/>
        </w:rPr>
        <w:t>20</w:t>
      </w:r>
      <w:r>
        <w:rPr>
          <w:rFonts w:hint="eastAsia" w:ascii="黑体" w:hAnsi="黑体" w:eastAsia="黑体"/>
          <w:color w:val="000000"/>
          <w:sz w:val="72"/>
          <w:szCs w:val="72"/>
        </w:rPr>
        <w:t>19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476"/>
      <w:bookmarkStart w:id="8" w:name="_Toc15377194"/>
      <w:bookmarkStart w:id="9" w:name="_Toc15396598"/>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广元市利州区应急管理局部门决算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公开时间：2020年9月3日</w:t>
      </w:r>
    </w:p>
    <w:p/>
    <w:p>
      <w:pPr>
        <w:pStyle w:val="10"/>
        <w:adjustRightInd w:val="0"/>
        <w:snapToGrid w:val="0"/>
        <w:spacing w:before="0" w:line="440" w:lineRule="exact"/>
        <w:jc w:val="left"/>
        <w:rPr>
          <w:rFonts w:cstheme="minorBidi"/>
          <w:sz w:val="24"/>
          <w:szCs w:val="24"/>
        </w:rPr>
      </w:pPr>
      <w:r>
        <w:rPr>
          <w:rFonts w:hint="eastAsia"/>
          <w:sz w:val="24"/>
        </w:rPr>
        <w:t>第一部分部门概况</w:t>
      </w:r>
      <w:r>
        <w:rPr>
          <w:sz w:val="24"/>
        </w:rPr>
        <w:tab/>
      </w:r>
      <w:r>
        <w:rPr>
          <w:rFonts w:hint="eastAsia"/>
          <w:sz w:val="24"/>
        </w:rPr>
        <w:t>3</w:t>
      </w:r>
    </w:p>
    <w:p>
      <w:pPr>
        <w:pStyle w:val="11"/>
        <w:adjustRightInd w:val="0"/>
        <w:snapToGrid w:val="0"/>
        <w:spacing w:line="440" w:lineRule="exact"/>
        <w:jc w:val="left"/>
        <w:rPr>
          <w:rFonts w:ascii="仿宋" w:hAnsi="仿宋" w:eastAsia="仿宋"/>
          <w:sz w:val="24"/>
        </w:rPr>
      </w:pPr>
      <w:r>
        <w:rPr>
          <w:rFonts w:hint="eastAsia"/>
          <w:sz w:val="24"/>
        </w:rPr>
        <w:t>一、基本职能及主要工作</w:t>
      </w:r>
      <w:r>
        <w:rPr>
          <w:sz w:val="24"/>
        </w:rPr>
        <w:tab/>
      </w:r>
      <w:r>
        <w:rPr>
          <w:rFonts w:hint="eastAsia"/>
          <w:sz w:val="24"/>
        </w:rPr>
        <w:t>4</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r>
        <w:rPr>
          <w:sz w:val="24"/>
        </w:rPr>
        <w:tab/>
      </w:r>
      <w:r>
        <w:rPr>
          <w:rFonts w:hint="eastAsia"/>
          <w:sz w:val="24"/>
        </w:rPr>
        <w:t>14</w:t>
      </w:r>
    </w:p>
    <w:p>
      <w:pPr>
        <w:pStyle w:val="10"/>
        <w:adjustRightInd w:val="0"/>
        <w:snapToGrid w:val="0"/>
        <w:spacing w:before="0" w:line="440" w:lineRule="exact"/>
        <w:jc w:val="left"/>
        <w:rPr>
          <w:sz w:val="24"/>
          <w:szCs w:val="24"/>
        </w:rPr>
      </w:pPr>
      <w:r>
        <w:rPr>
          <w:rFonts w:hint="eastAsia"/>
          <w:sz w:val="24"/>
        </w:rPr>
        <w:t>第二部分度部门决算情况说明</w:t>
      </w:r>
      <w:r>
        <w:rPr>
          <w:sz w:val="24"/>
        </w:rPr>
        <w:tab/>
      </w:r>
      <w:r>
        <w:rPr>
          <w:rFonts w:hint="eastAsia"/>
          <w:sz w:val="24"/>
        </w:rPr>
        <w:t>15</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sz w:val="24"/>
        </w:rPr>
        <w:tab/>
      </w:r>
      <w:r>
        <w:rPr>
          <w:rFonts w:hint="eastAsia"/>
          <w:sz w:val="24"/>
        </w:rPr>
        <w:t>15</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sz w:val="24"/>
        </w:rPr>
        <w:tab/>
      </w:r>
      <w:r>
        <w:rPr>
          <w:rFonts w:hint="eastAsia"/>
          <w:sz w:val="24"/>
        </w:rPr>
        <w:t>15</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sz w:val="24"/>
        </w:rPr>
        <w:tab/>
      </w:r>
      <w:r>
        <w:rPr>
          <w:rFonts w:hint="eastAsia"/>
          <w:sz w:val="24"/>
        </w:rPr>
        <w:t>16</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sz w:val="24"/>
        </w:rPr>
        <w:tab/>
      </w:r>
      <w:r>
        <w:rPr>
          <w:rFonts w:hint="eastAsia"/>
          <w:sz w:val="24"/>
        </w:rPr>
        <w:t>17</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sz w:val="24"/>
        </w:rPr>
        <w:tab/>
      </w:r>
      <w:r>
        <w:rPr>
          <w:rFonts w:hint="eastAsia"/>
          <w:sz w:val="24"/>
        </w:rPr>
        <w:t>18</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sz w:val="24"/>
        </w:rPr>
        <w:tab/>
      </w:r>
      <w:r>
        <w:rPr>
          <w:rFonts w:hint="eastAsia"/>
          <w:sz w:val="24"/>
        </w:rPr>
        <w:t>20</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r>
        <w:rPr>
          <w:sz w:val="24"/>
        </w:rPr>
        <w:tab/>
      </w:r>
      <w:r>
        <w:rPr>
          <w:rFonts w:hint="eastAsia"/>
          <w:sz w:val="24"/>
        </w:rPr>
        <w:t>20</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sz w:val="24"/>
        </w:rPr>
        <w:tab/>
      </w:r>
      <w:r>
        <w:rPr>
          <w:rFonts w:hint="eastAsia"/>
          <w:sz w:val="24"/>
        </w:rPr>
        <w:t>23</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r>
        <w:rPr>
          <w:sz w:val="24"/>
        </w:rPr>
        <w:tab/>
      </w:r>
      <w:r>
        <w:rPr>
          <w:rFonts w:hint="eastAsia"/>
          <w:sz w:val="24"/>
        </w:rPr>
        <w:t>23</w:t>
      </w:r>
    </w:p>
    <w:p>
      <w:pPr>
        <w:adjustRightInd w:val="0"/>
        <w:snapToGrid w:val="0"/>
        <w:spacing w:line="440" w:lineRule="exact"/>
        <w:ind w:firstLine="480" w:firstLineChars="200"/>
        <w:jc w:val="left"/>
        <w:rPr>
          <w:rFonts w:ascii="仿宋" w:hAnsi="仿宋" w:eastAsia="仿宋" w:cstheme="minorBidi"/>
          <w:sz w:val="24"/>
        </w:rPr>
      </w:pPr>
      <w:r>
        <w:rPr>
          <w:rStyle w:val="17"/>
          <w:rFonts w:hint="eastAsia" w:ascii="仿宋" w:hAnsi="仿宋" w:eastAsia="仿宋"/>
          <w:color w:val="000000" w:themeColor="text1"/>
          <w:sz w:val="24"/>
        </w:rPr>
        <w:t>十、</w:t>
      </w:r>
      <w:r>
        <w:rPr>
          <w:rFonts w:hint="eastAsia"/>
          <w:sz w:val="24"/>
        </w:rPr>
        <w:t>其他重要事项的情况说明</w:t>
      </w:r>
    </w:p>
    <w:p>
      <w:pPr>
        <w:pStyle w:val="10"/>
        <w:adjustRightInd w:val="0"/>
        <w:snapToGrid w:val="0"/>
        <w:spacing w:before="0" w:line="440" w:lineRule="exact"/>
        <w:jc w:val="left"/>
        <w:rPr>
          <w:rFonts w:cstheme="minorBidi"/>
          <w:sz w:val="24"/>
          <w:szCs w:val="24"/>
        </w:rPr>
      </w:pPr>
      <w:r>
        <w:rPr>
          <w:rFonts w:hint="eastAsia"/>
          <w:sz w:val="24"/>
        </w:rPr>
        <w:t>第三部分名词解释</w:t>
      </w:r>
      <w:r>
        <w:rPr>
          <w:sz w:val="24"/>
        </w:rPr>
        <w:tab/>
      </w:r>
      <w:r>
        <w:rPr>
          <w:rFonts w:hint="eastAsia"/>
          <w:sz w:val="24"/>
        </w:rPr>
        <w:t>35</w:t>
      </w:r>
    </w:p>
    <w:p>
      <w:pPr>
        <w:pStyle w:val="10"/>
        <w:adjustRightInd w:val="0"/>
        <w:snapToGrid w:val="0"/>
        <w:spacing w:before="0" w:line="440" w:lineRule="exact"/>
        <w:jc w:val="left"/>
        <w:rPr>
          <w:rFonts w:cstheme="minorBidi"/>
          <w:sz w:val="24"/>
          <w:szCs w:val="24"/>
        </w:rPr>
      </w:pPr>
      <w:r>
        <w:rPr>
          <w:rFonts w:hint="eastAsia"/>
          <w:sz w:val="24"/>
        </w:rPr>
        <w:t>第四部分附件</w:t>
      </w:r>
      <w:r>
        <w:rPr>
          <w:sz w:val="24"/>
        </w:rPr>
        <w:tab/>
      </w:r>
      <w:r>
        <w:rPr>
          <w:rFonts w:hint="eastAsia"/>
          <w:sz w:val="24"/>
        </w:rPr>
        <w:t>39</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r>
        <w:rPr>
          <w:sz w:val="24"/>
        </w:rPr>
        <w:tab/>
      </w:r>
      <w:r>
        <w:rPr>
          <w:rFonts w:hint="eastAsia"/>
          <w:sz w:val="24"/>
        </w:rPr>
        <w:t>43</w:t>
      </w:r>
    </w:p>
    <w:p>
      <w:pPr>
        <w:pStyle w:val="11"/>
        <w:adjustRightInd w:val="0"/>
        <w:snapToGrid w:val="0"/>
        <w:spacing w:line="440" w:lineRule="exact"/>
        <w:jc w:val="left"/>
        <w:rPr>
          <w:sz w:val="24"/>
        </w:rPr>
      </w:pPr>
      <w:r>
        <w:rPr>
          <w:rFonts w:hint="eastAsia"/>
          <w:sz w:val="24"/>
        </w:rPr>
        <w:t>附件</w:t>
      </w:r>
      <w:r>
        <w:rPr>
          <w:sz w:val="24"/>
        </w:rPr>
        <w:t>2</w:t>
      </w:r>
      <w:r>
        <w:rPr>
          <w:sz w:val="24"/>
        </w:rPr>
        <w:tab/>
      </w:r>
      <w:r>
        <w:rPr>
          <w:rFonts w:hint="eastAsia"/>
          <w:sz w:val="24"/>
        </w:rPr>
        <w:t>46</w:t>
      </w:r>
    </w:p>
    <w:p>
      <w:pPr>
        <w:pStyle w:val="11"/>
        <w:adjustRightInd w:val="0"/>
        <w:snapToGrid w:val="0"/>
        <w:spacing w:line="440" w:lineRule="exact"/>
        <w:jc w:val="left"/>
        <w:rPr>
          <w:sz w:val="24"/>
        </w:rPr>
      </w:pPr>
      <w:r>
        <w:rPr>
          <w:rFonts w:hint="eastAsia"/>
          <w:sz w:val="24"/>
        </w:rPr>
        <w:t>附件3</w:t>
      </w:r>
      <w:r>
        <w:rPr>
          <w:sz w:val="24"/>
        </w:rPr>
        <w:tab/>
      </w:r>
      <w:r>
        <w:rPr>
          <w:rFonts w:hint="eastAsia"/>
          <w:sz w:val="24"/>
        </w:rPr>
        <w:t>48</w:t>
      </w:r>
    </w:p>
    <w:p>
      <w:pPr>
        <w:pStyle w:val="10"/>
        <w:adjustRightInd w:val="0"/>
        <w:snapToGrid w:val="0"/>
        <w:spacing w:before="0" w:line="440" w:lineRule="exact"/>
        <w:jc w:val="left"/>
        <w:rPr>
          <w:rFonts w:cstheme="minorBidi"/>
          <w:sz w:val="24"/>
          <w:szCs w:val="24"/>
        </w:rPr>
      </w:pPr>
      <w:r>
        <w:rPr>
          <w:rFonts w:hint="eastAsia"/>
          <w:sz w:val="24"/>
        </w:rPr>
        <w:t>第五部分附表</w:t>
      </w:r>
      <w:r>
        <w:rPr>
          <w:sz w:val="24"/>
        </w:rPr>
        <w:tab/>
      </w:r>
      <w:r>
        <w:rPr>
          <w:rFonts w:hint="eastAsia"/>
          <w:sz w:val="24"/>
        </w:rPr>
        <w:t>50</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r>
        <w:rPr>
          <w:sz w:val="24"/>
        </w:rPr>
        <w:tab/>
      </w:r>
      <w:r>
        <w:rPr>
          <w:rFonts w:hint="eastAsia"/>
          <w:sz w:val="24"/>
        </w:rPr>
        <w:t>50</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rPr>
          <w:sz w:val="24"/>
        </w:rPr>
        <w:tab/>
      </w:r>
      <w:r>
        <w:rPr>
          <w:rFonts w:hint="eastAsia"/>
          <w:sz w:val="24"/>
        </w:rPr>
        <w:t>50</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rPr>
          <w:sz w:val="24"/>
        </w:rPr>
        <w:tab/>
      </w:r>
      <w:r>
        <w:rPr>
          <w:rFonts w:hint="eastAsia"/>
          <w:sz w:val="24"/>
        </w:rPr>
        <w:t>50</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r>
        <w:rPr>
          <w:sz w:val="24"/>
        </w:rPr>
        <w:tab/>
      </w:r>
      <w:r>
        <w:rPr>
          <w:rFonts w:hint="eastAsia"/>
          <w:sz w:val="24"/>
        </w:rPr>
        <w:t>50</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r>
        <w:rPr>
          <w:rFonts w:ascii="仿宋" w:hAnsi="仿宋" w:eastAsia="仿宋"/>
          <w:sz w:val="24"/>
        </w:rPr>
        <w:tab/>
      </w:r>
      <w:r>
        <w:rPr>
          <w:rFonts w:hint="eastAsia" w:ascii="仿宋" w:hAnsi="仿宋" w:eastAsia="仿宋"/>
          <w:sz w:val="24"/>
        </w:rPr>
        <w:t>50</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r>
        <w:rPr>
          <w:sz w:val="24"/>
        </w:rPr>
        <w:tab/>
      </w:r>
      <w:r>
        <w:rPr>
          <w:rFonts w:hint="eastAsia"/>
          <w:sz w:val="24"/>
        </w:rPr>
        <w:t>50</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r>
        <w:rPr>
          <w:sz w:val="24"/>
        </w:rPr>
        <w:tab/>
      </w:r>
      <w:r>
        <w:rPr>
          <w:rFonts w:hint="eastAsia"/>
          <w:sz w:val="24"/>
        </w:rPr>
        <w:t>50</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r>
        <w:rPr>
          <w:sz w:val="24"/>
        </w:rPr>
        <w:tab/>
      </w:r>
      <w:r>
        <w:rPr>
          <w:rFonts w:hint="eastAsia"/>
          <w:sz w:val="24"/>
        </w:rPr>
        <w:t>50</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r>
        <w:rPr>
          <w:sz w:val="24"/>
        </w:rPr>
        <w:tab/>
      </w:r>
      <w:r>
        <w:rPr>
          <w:rFonts w:hint="eastAsia"/>
          <w:sz w:val="24"/>
        </w:rPr>
        <w:t>50</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r>
        <w:rPr>
          <w:sz w:val="24"/>
        </w:rPr>
        <w:tab/>
      </w:r>
      <w:r>
        <w:rPr>
          <w:rFonts w:hint="eastAsia"/>
          <w:sz w:val="24"/>
        </w:rPr>
        <w:t>50</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r>
        <w:rPr>
          <w:sz w:val="24"/>
        </w:rPr>
        <w:tab/>
      </w:r>
      <w:r>
        <w:rPr>
          <w:rFonts w:hint="eastAsia"/>
          <w:sz w:val="24"/>
        </w:rPr>
        <w:t>50</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r>
        <w:rPr>
          <w:sz w:val="24"/>
        </w:rPr>
        <w:tab/>
      </w:r>
      <w:r>
        <w:rPr>
          <w:rFonts w:hint="eastAsia"/>
          <w:sz w:val="24"/>
        </w:rPr>
        <w:t>50</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r>
        <w:rPr>
          <w:sz w:val="24"/>
        </w:rPr>
        <w:tab/>
      </w:r>
      <w:r>
        <w:rPr>
          <w:rFonts w:hint="eastAsia"/>
          <w:sz w:val="24"/>
        </w:rPr>
        <w:t>50</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pStyle w:val="11"/>
      </w:pPr>
      <w:r>
        <w:rPr>
          <w:rFonts w:ascii="仿宋" w:hAnsi="仿宋" w:eastAsia="仿宋"/>
          <w:color w:val="000000"/>
          <w:sz w:val="24"/>
        </w:rPr>
        <w:fldChar w:fldCharType="end"/>
      </w:r>
    </w:p>
    <w:p/>
    <w:p/>
    <w:p/>
    <w:p/>
    <w:p/>
    <w:p/>
    <w:p/>
    <w:p/>
    <w:p/>
    <w:p/>
    <w:p/>
    <w:p/>
    <w:p/>
    <w:p/>
    <w:p/>
    <w:p/>
    <w:p/>
    <w:p/>
    <w:p/>
    <w:p/>
    <w:p/>
    <w:p/>
    <w:p/>
    <w:p/>
    <w:p/>
    <w:p/>
    <w:p/>
    <w:p/>
    <w:p/>
    <w:p/>
    <w:p/>
    <w:p>
      <w:pPr>
        <w:pStyle w:val="11"/>
        <w:jc w:val="center"/>
        <w:rPr>
          <w:rStyle w:val="25"/>
          <w:rFonts w:ascii="黑体" w:hAnsi="黑体" w:eastAsia="黑体"/>
        </w:rPr>
      </w:pPr>
      <w:r>
        <w:rPr>
          <w:rStyle w:val="25"/>
          <w:rFonts w:hint="eastAsia" w:ascii="黑体" w:hAnsi="黑体"/>
        </w:rPr>
        <w:t xml:space="preserve">第一部分 </w:t>
      </w:r>
      <w:r>
        <w:rPr>
          <w:rStyle w:val="25"/>
          <w:rFonts w:hint="eastAsia" w:ascii="黑体" w:hAnsi="黑体" w:eastAsia="黑体"/>
        </w:rPr>
        <w:t>部门概况</w:t>
      </w:r>
    </w:p>
    <w:p>
      <w:pPr>
        <w:pStyle w:val="3"/>
        <w:rPr>
          <w:rStyle w:val="23"/>
          <w:rFonts w:ascii="仿宋" w:hAnsi="仿宋" w:eastAsia="仿宋"/>
          <w:b w:val="0"/>
          <w:bCs w:val="0"/>
        </w:rPr>
      </w:pPr>
      <w:bookmarkStart w:id="12" w:name="_Toc15377197"/>
      <w:bookmarkStart w:id="13" w:name="_Toc15396600"/>
      <w:r>
        <w:rPr>
          <w:rFonts w:hint="eastAsia" w:ascii="黑体" w:hAnsi="黑体" w:eastAsia="黑体"/>
          <w:color w:val="000000"/>
        </w:rPr>
        <w:t>一、基</w:t>
      </w:r>
      <w:r>
        <w:rPr>
          <w:rStyle w:val="23"/>
          <w:rFonts w:hint="eastAsia" w:ascii="黑体" w:hAnsi="黑体" w:eastAsia="黑体"/>
          <w:b w:val="0"/>
          <w:bCs w:val="0"/>
        </w:rPr>
        <w:t>本职能及主要工作</w:t>
      </w:r>
      <w:bookmarkEnd w:id="12"/>
      <w:bookmarkEnd w:id="13"/>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4" w:name="_Toc15378445"/>
      <w:bookmarkStart w:id="15" w:name="_Toc15377198"/>
      <w:r>
        <w:rPr>
          <w:rFonts w:hint="eastAsia" w:ascii="仿宋" w:hAnsi="仿宋" w:eastAsia="仿宋"/>
          <w:bCs/>
          <w:color w:val="000000"/>
          <w:sz w:val="32"/>
          <w:szCs w:val="32"/>
        </w:rPr>
        <w:t>（一）主要职能。（职能参照区政府批准的三定方案）</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1、负责应急管理工作，组织和指导各乡镇（街道）、区级各部门应对安全生产类、自然灾害类等突发事件和综合防灾减灾救灾工作。负责安全生产综合监督管理和工矿商贸、煤炭行业安全生产监督管理工作。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2、拟订应急管理、安全生产等政策措施，组织编制应急救援体系建设、安全生产和综合防灾减灾规划。</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3、负责组织、指导应急预案体系建设，建立完善事故和自然灾害分级应对制度，牵头组织编制综合应急防灾减灾预案和安全生产类、自然灾害类专项预案，负责应急预案衔接工作，组织开展预案演练并落实，推动应急避难设施建设。      </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 xml:space="preserve"> 4 、牵头建立统一的应急管理信息系统，负责信息传输渠道的规划和布局，建立监测预警和灾情报告制度，健全自然灾害信息资源获取和共享机制，依法统一发布灾情。</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5、负责组织、指导、协调安全生产类、自然灾害类等突发事件应急救援，承担全区应对灾害指挥部工作，综合研叛突发事件发展态势并提出应对建议，负责组织灾害应急处置工作。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6、统一协调指挥各类应急专业队伍，建立应急协调联动机制，推进指挥平台对接，提请衔接解放军和武警部队参与应急救援工作。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7、按照国家、省、市相关政策和规定负责消防、森林火灾扑救、搞洪抢险、地震和地质灾害救援、生产安全事故救援等专业应急救援力量建设，依法依规统筹指导各乡镇（街道）、区级有关部门及社会应急救援力量和应急能力建设。</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8、按照国家相关政策和省、市、区相关规定负责消防工作，组织和指导消防监督、火灾预防、火灾扑救等工作。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9、负责灾害综合监测预警工作，承担自然灾害综合风险评估工作。指导协调森林火灾、水旱灾害、地质灾害等防治工作。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10、负责组织、协调灾害救助工作，组织和指导灾情核查、损失评估、救灾捐赠工作，管理、分配中央、省级、市级下拨及区级救灾款物并监督使用。</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11、依法承担区政府安全生产综合监督管理责任，指导协调、监督检查各乡镇（街道）和区级有关部门安全生产工作，组织开展安全生产巡查、考核工作。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12、按照分级、属地管理原则，依法监督检查工矿商贸生产经营单位贯彻执行安全生产法律法规情况及其安全生产条件和有关设备（特种设备除外）、材料、劳动防护用品的安全生产管理工作。协助省、市应急管理部门做好辖区内央属、省属、市属重点工矿商贸企业安全生产监督管理工作。负责危险化学品安全监督管理综合工作和烟花爆竹安全生产监督管理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13、承担煤矿、非煤矿山安全生产准入初审，危险化学品和烟花爆竹等生产经营单位安全生产准备入及非药品类易制毒化学品备案管理责任。</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14、拟订煤炭产业发展计划并组织实施，按权限审核、上报煤炭建设项目并负责监督管理。负责煤炭生产协调和监督管理，煤炭行业结构调整和产业升级，瓦斯治理和利用。推进煤炭体制改革。</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15、承担煤矿安全生产监督管理责任，依法监督检查煤矿企业贯彻执行安全生产法律法规情况及其安全生产条件和有关设备（特种设备除外）、材料、劳动防护用品的安全生产管理工作。负责组织、指导、监督煤矿企业安全专项整治、安全标准化、瓦斯和水害防治及相关安全科技发展工作。参与煤矿事故调理处理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16、承担防震减灾工作职责。负责地震监测设施和观测环境保护工作，负责全区工程建设场地地震安全性评价的监督管理工作，承担全区重大工程的抗震设防监督工作。接受上级地震机构的业务指导。</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17、依法组织、指导生产安全事故调查处理，监督事故查处和责任追究落实情况。组织开展自然灾害类突发事件的调查评估工作。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18、开展应急管理和安全生产方面的交流与合作，参与安全生产类、自然灾害类等突发事件的跨区域救援工作 。</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19、制定应急物资和应急救援装备规划并组织实施，会同区发展改革局等部门建立健全应急物资信息平台和调拨制度，在救灾时统一调度。</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20、负责应急管理、安全生产等宣传教育和培训工作，组织和指导应急管理、安全生产的科学技术研究、推广应用和信息化建设工作。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21、负责职责范围内的职业健康、生态环境保护、审批服务便民化等工作。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22、完成区委、区政府交办的其他任务。</w:t>
      </w:r>
    </w:p>
    <w:p>
      <w:pPr>
        <w:pStyle w:val="5"/>
        <w:adjustRightInd w:val="0"/>
        <w:snapToGrid w:val="0"/>
        <w:spacing w:before="93" w:line="600" w:lineRule="exact"/>
        <w:ind w:firstLine="674" w:firstLineChars="210"/>
        <w:outlineLvl w:val="2"/>
        <w:rPr>
          <w:rFonts w:ascii="仿宋" w:hAnsi="仿宋" w:eastAsia="仿宋" w:cs="仿宋"/>
          <w:b/>
          <w:bCs/>
          <w:color w:val="000000"/>
          <w:sz w:val="32"/>
          <w:szCs w:val="32"/>
        </w:rPr>
      </w:pPr>
      <w:bookmarkStart w:id="16" w:name="_Toc15378446"/>
      <w:bookmarkStart w:id="17" w:name="_Toc15377199"/>
      <w:r>
        <w:rPr>
          <w:rFonts w:hint="eastAsia" w:ascii="仿宋" w:hAnsi="仿宋" w:eastAsia="仿宋" w:cs="仿宋"/>
          <w:b/>
          <w:bCs/>
          <w:color w:val="000000"/>
          <w:sz w:val="32"/>
          <w:szCs w:val="32"/>
        </w:rPr>
        <w:t>（二）2019年重点工作完成情况。</w:t>
      </w:r>
      <w:bookmarkEnd w:id="16"/>
      <w:bookmarkEnd w:id="17"/>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一、2019年工作情况</w:t>
      </w:r>
    </w:p>
    <w:p>
      <w:pPr>
        <w:spacing w:line="576" w:lineRule="exact"/>
        <w:ind w:firstLine="640" w:firstLineChars="200"/>
        <w:rPr>
          <w:rFonts w:ascii="仿宋" w:hAnsi="仿宋" w:eastAsia="仿宋" w:cs="仿宋"/>
          <w:sz w:val="32"/>
          <w:szCs w:val="32"/>
        </w:rPr>
      </w:pPr>
      <w:r>
        <w:rPr>
          <w:rFonts w:hint="eastAsia" w:ascii="仿宋" w:hAnsi="仿宋" w:eastAsia="仿宋" w:cs="仿宋"/>
          <w:kern w:val="0"/>
          <w:sz w:val="32"/>
          <w:szCs w:val="32"/>
        </w:rPr>
        <w:t>（一）全力以赴推动产业发展。</w:t>
      </w:r>
      <w:r>
        <w:rPr>
          <w:rFonts w:hint="eastAsia" w:ascii="仿宋" w:hAnsi="仿宋" w:eastAsia="仿宋" w:cs="仿宋"/>
          <w:b/>
          <w:bCs/>
          <w:sz w:val="32"/>
          <w:szCs w:val="32"/>
        </w:rPr>
        <w:t>一是</w:t>
      </w:r>
      <w:r>
        <w:rPr>
          <w:rFonts w:hint="eastAsia" w:ascii="仿宋" w:hAnsi="仿宋" w:eastAsia="仿宋" w:cs="仿宋"/>
          <w:sz w:val="32"/>
          <w:szCs w:val="32"/>
        </w:rPr>
        <w:t>固定资产投资有序推进，1-10月完成7348万元，占年度目标任务的183.7%，超额完成3348万元，固定资产投资额排全区第一。</w:t>
      </w:r>
      <w:r>
        <w:rPr>
          <w:rFonts w:hint="eastAsia" w:ascii="仿宋" w:hAnsi="仿宋" w:eastAsia="仿宋" w:cs="仿宋"/>
          <w:b/>
          <w:bCs/>
          <w:sz w:val="32"/>
          <w:szCs w:val="32"/>
        </w:rPr>
        <w:t>二是</w:t>
      </w:r>
      <w:r>
        <w:rPr>
          <w:rFonts w:hint="eastAsia" w:ascii="仿宋" w:hAnsi="仿宋" w:eastAsia="仿宋" w:cs="仿宋"/>
          <w:sz w:val="32"/>
          <w:szCs w:val="32"/>
        </w:rPr>
        <w:t>规上工业产值平稳增加，1-10月完成6250万元，占年度目标任务的83.3%。</w:t>
      </w:r>
      <w:r>
        <w:rPr>
          <w:rFonts w:hint="eastAsia" w:ascii="仿宋" w:hAnsi="仿宋" w:eastAsia="仿宋" w:cs="仿宋"/>
          <w:b/>
          <w:bCs/>
          <w:sz w:val="32"/>
          <w:szCs w:val="32"/>
        </w:rPr>
        <w:t>三是</w:t>
      </w:r>
      <w:r>
        <w:rPr>
          <w:rFonts w:hint="eastAsia" w:ascii="仿宋" w:hAnsi="仿宋" w:eastAsia="仿宋" w:cs="仿宋"/>
          <w:sz w:val="32"/>
          <w:szCs w:val="32"/>
        </w:rPr>
        <w:t>向上争取资金685万元，占年度目标任务的112%</w:t>
      </w:r>
      <w:r>
        <w:rPr>
          <w:rFonts w:hint="eastAsia" w:ascii="仿宋" w:hAnsi="仿宋" w:eastAsia="仿宋" w:cs="仿宋"/>
          <w:b/>
          <w:bCs/>
          <w:sz w:val="32"/>
          <w:szCs w:val="32"/>
        </w:rPr>
        <w:t>。四是</w:t>
      </w:r>
      <w:r>
        <w:rPr>
          <w:rFonts w:hint="eastAsia" w:ascii="仿宋" w:hAnsi="仿宋" w:eastAsia="仿宋" w:cs="仿宋"/>
          <w:sz w:val="32"/>
          <w:szCs w:val="32"/>
        </w:rPr>
        <w:t>引导新民煤矿、岩窝煤矿参加产能置换交易，化解过剩产能18万吨/年，岩窝煤矿已完成产能置换交易。</w:t>
      </w:r>
    </w:p>
    <w:p>
      <w:pPr>
        <w:spacing w:line="576" w:lineRule="exact"/>
        <w:ind w:firstLine="640" w:firstLineChars="200"/>
        <w:rPr>
          <w:rFonts w:ascii="仿宋" w:hAnsi="仿宋" w:eastAsia="仿宋" w:cs="仿宋"/>
          <w:sz w:val="32"/>
          <w:szCs w:val="32"/>
        </w:rPr>
      </w:pPr>
      <w:r>
        <w:rPr>
          <w:rFonts w:hint="eastAsia" w:ascii="仿宋" w:hAnsi="仿宋" w:eastAsia="仿宋" w:cs="仿宋"/>
          <w:kern w:val="0"/>
          <w:sz w:val="32"/>
          <w:szCs w:val="32"/>
        </w:rPr>
        <w:t>（二）全面夯实基层党建工作。</w:t>
      </w:r>
      <w:r>
        <w:rPr>
          <w:rFonts w:hint="eastAsia" w:ascii="仿宋" w:hAnsi="仿宋" w:eastAsia="仿宋" w:cs="仿宋"/>
          <w:b/>
          <w:bCs/>
          <w:sz w:val="32"/>
          <w:szCs w:val="32"/>
        </w:rPr>
        <w:t>一是</w:t>
      </w:r>
      <w:r>
        <w:rPr>
          <w:rFonts w:hint="eastAsia" w:ascii="仿宋" w:hAnsi="仿宋" w:eastAsia="仿宋" w:cs="仿宋"/>
          <w:sz w:val="32"/>
          <w:szCs w:val="32"/>
        </w:rPr>
        <w:t>局党组专题研究党建工作3次，党组书记讲党课2堂，班子成员带头执行双重组织生活会制度，以上率下，引领干部职工担当作为。</w:t>
      </w:r>
      <w:r>
        <w:rPr>
          <w:rFonts w:hint="eastAsia" w:ascii="仿宋" w:hAnsi="仿宋" w:eastAsia="仿宋" w:cs="仿宋"/>
          <w:b/>
          <w:bCs/>
          <w:sz w:val="32"/>
          <w:szCs w:val="32"/>
        </w:rPr>
        <w:t>二是</w:t>
      </w:r>
      <w:r>
        <w:rPr>
          <w:rFonts w:hint="eastAsia" w:ascii="仿宋" w:hAnsi="仿宋" w:eastAsia="仿宋" w:cs="仿宋"/>
          <w:sz w:val="32"/>
          <w:szCs w:val="32"/>
        </w:rPr>
        <w:t>分别与河西街道白山村等三个党支部签订党建结对共建协议，严格执行“双报到”制度，开展支部共建活动9次。</w:t>
      </w:r>
      <w:r>
        <w:rPr>
          <w:rFonts w:hint="eastAsia" w:ascii="仿宋" w:hAnsi="仿宋" w:eastAsia="仿宋" w:cs="仿宋"/>
          <w:b/>
          <w:bCs/>
          <w:sz w:val="32"/>
          <w:szCs w:val="32"/>
        </w:rPr>
        <w:t>三是</w:t>
      </w:r>
      <w:r>
        <w:rPr>
          <w:rFonts w:hint="eastAsia" w:ascii="仿宋" w:hAnsi="仿宋" w:eastAsia="仿宋" w:cs="仿宋"/>
          <w:sz w:val="32"/>
          <w:szCs w:val="32"/>
        </w:rPr>
        <w:t>扎实开展“学雷锋树新风暨全国文明城市创建”、“周末志愿服务1小时”以及“文明城市创建包街包段”等志愿服务活动20余次，开展安全宣传、环境清理等主题党日活动11次，引领党员甘于奉献、全心为民。</w:t>
      </w:r>
      <w:r>
        <w:rPr>
          <w:rFonts w:hint="eastAsia" w:ascii="仿宋" w:hAnsi="仿宋" w:eastAsia="仿宋" w:cs="仿宋"/>
          <w:b/>
          <w:bCs/>
          <w:sz w:val="32"/>
          <w:szCs w:val="32"/>
        </w:rPr>
        <w:t>四是</w:t>
      </w:r>
      <w:r>
        <w:rPr>
          <w:rFonts w:hint="eastAsia" w:ascii="仿宋" w:hAnsi="仿宋" w:eastAsia="仿宋" w:cs="仿宋"/>
          <w:sz w:val="32"/>
          <w:szCs w:val="32"/>
        </w:rPr>
        <w:t>开展建党98周年庆祝活动，全局党员在红星公园重温入党誓词、参观红色景观、学习了解红四方面军在广元的英勇战斗事迹。</w:t>
      </w:r>
      <w:r>
        <w:rPr>
          <w:rFonts w:hint="eastAsia" w:ascii="仿宋" w:hAnsi="仿宋" w:eastAsia="仿宋" w:cs="仿宋"/>
          <w:b/>
          <w:bCs/>
          <w:sz w:val="32"/>
          <w:szCs w:val="32"/>
        </w:rPr>
        <w:t>五是</w:t>
      </w:r>
      <w:r>
        <w:rPr>
          <w:rFonts w:hint="eastAsia" w:ascii="仿宋" w:hAnsi="仿宋" w:eastAsia="仿宋" w:cs="仿宋"/>
          <w:sz w:val="32"/>
          <w:szCs w:val="32"/>
        </w:rPr>
        <w:t>撤销原煤管局党支部和原安监局党支部，成立应急管理局第一、第二、第三党支部（退休支部），优化基层组织体系，构筑基层党组织战斗堡垒。</w:t>
      </w:r>
      <w:r>
        <w:rPr>
          <w:rFonts w:hint="eastAsia" w:ascii="仿宋" w:hAnsi="仿宋" w:eastAsia="仿宋" w:cs="仿宋"/>
          <w:b/>
          <w:bCs/>
          <w:sz w:val="32"/>
          <w:szCs w:val="32"/>
        </w:rPr>
        <w:t>六是</w:t>
      </w:r>
      <w:r>
        <w:rPr>
          <w:rFonts w:hint="eastAsia" w:ascii="仿宋" w:hAnsi="仿宋" w:eastAsia="仿宋" w:cs="仿宋"/>
          <w:sz w:val="32"/>
          <w:szCs w:val="32"/>
        </w:rPr>
        <w:t>实施党员积分量化管理，积分与党员评先评优挂钩，在“七一”庆祝活动中，表彰优秀共产党员7名。</w:t>
      </w:r>
      <w:r>
        <w:rPr>
          <w:rFonts w:hint="eastAsia" w:ascii="仿宋" w:hAnsi="仿宋" w:eastAsia="仿宋" w:cs="仿宋"/>
          <w:b/>
          <w:bCs/>
          <w:sz w:val="32"/>
          <w:szCs w:val="32"/>
        </w:rPr>
        <w:t>七是</w:t>
      </w:r>
      <w:r>
        <w:rPr>
          <w:rFonts w:hint="eastAsia" w:ascii="仿宋" w:hAnsi="仿宋" w:eastAsia="仿宋" w:cs="仿宋"/>
          <w:sz w:val="32"/>
          <w:szCs w:val="32"/>
        </w:rPr>
        <w:t>规范发展党员，吸收预备党员1名，培养入党积极分子2名，为组织补充新鲜血液、培养后备力量。八</w:t>
      </w:r>
      <w:r>
        <w:rPr>
          <w:rFonts w:hint="eastAsia" w:ascii="仿宋" w:hAnsi="仿宋" w:eastAsia="仿宋" w:cs="仿宋"/>
          <w:b/>
          <w:bCs/>
          <w:sz w:val="32"/>
          <w:szCs w:val="32"/>
        </w:rPr>
        <w:t>是</w:t>
      </w:r>
      <w:r>
        <w:rPr>
          <w:rFonts w:hint="eastAsia" w:ascii="仿宋" w:hAnsi="仿宋" w:eastAsia="仿宋" w:cs="仿宋"/>
          <w:sz w:val="32"/>
          <w:szCs w:val="32"/>
        </w:rPr>
        <w:t>今年以来帮助困难党员4名，给3名退休党员送教送学上门，集中慰问离退休党员19名，切实当好党员干部坚强后盾。</w:t>
      </w:r>
    </w:p>
    <w:p>
      <w:pPr>
        <w:spacing w:line="576" w:lineRule="exact"/>
        <w:ind w:firstLine="640" w:firstLineChars="200"/>
        <w:rPr>
          <w:rFonts w:ascii="仿宋" w:hAnsi="仿宋" w:eastAsia="仿宋" w:cs="仿宋"/>
          <w:b/>
          <w:bCs/>
          <w:sz w:val="32"/>
          <w:szCs w:val="32"/>
        </w:rPr>
      </w:pPr>
      <w:r>
        <w:rPr>
          <w:rFonts w:hint="eastAsia" w:ascii="仿宋" w:hAnsi="仿宋" w:eastAsia="仿宋" w:cs="仿宋"/>
          <w:kern w:val="0"/>
          <w:sz w:val="32"/>
          <w:szCs w:val="32"/>
        </w:rPr>
        <w:t>（三）抓紧抓牢意识形态工作。</w:t>
      </w:r>
      <w:r>
        <w:rPr>
          <w:rFonts w:hint="eastAsia" w:ascii="仿宋" w:hAnsi="仿宋" w:eastAsia="仿宋" w:cs="仿宋"/>
          <w:b/>
          <w:bCs/>
          <w:sz w:val="32"/>
          <w:szCs w:val="32"/>
        </w:rPr>
        <w:t>一是</w:t>
      </w:r>
      <w:r>
        <w:rPr>
          <w:rFonts w:hint="eastAsia" w:ascii="仿宋" w:hAnsi="仿宋" w:eastAsia="仿宋" w:cs="仿宋"/>
          <w:sz w:val="32"/>
          <w:szCs w:val="32"/>
        </w:rPr>
        <w:t>制定2019年意识形态工作打算，召开党组会专题研究意识形态工作3次。</w:t>
      </w:r>
      <w:r>
        <w:rPr>
          <w:rFonts w:hint="eastAsia" w:ascii="仿宋" w:hAnsi="仿宋" w:eastAsia="仿宋" w:cs="仿宋"/>
          <w:b/>
          <w:bCs/>
          <w:spacing w:val="5"/>
          <w:sz w:val="32"/>
          <w:szCs w:val="32"/>
        </w:rPr>
        <w:t>二是</w:t>
      </w:r>
      <w:r>
        <w:rPr>
          <w:rFonts w:hint="eastAsia" w:ascii="仿宋" w:hAnsi="仿宋" w:eastAsia="仿宋" w:cs="仿宋"/>
          <w:sz w:val="32"/>
          <w:szCs w:val="32"/>
        </w:rPr>
        <w:t>开展“不忘初心、牢记使命”党员干部读书活动，</w:t>
      </w:r>
      <w:r>
        <w:rPr>
          <w:rFonts w:hint="eastAsia" w:ascii="仿宋" w:hAnsi="仿宋" w:eastAsia="仿宋" w:cs="仿宋"/>
          <w:spacing w:val="5"/>
          <w:sz w:val="32"/>
          <w:szCs w:val="32"/>
        </w:rPr>
        <w:t>办读书卡80张，</w:t>
      </w:r>
      <w:r>
        <w:rPr>
          <w:rFonts w:hint="eastAsia" w:ascii="仿宋" w:hAnsi="仿宋" w:eastAsia="仿宋" w:cs="仿宋"/>
          <w:sz w:val="32"/>
          <w:szCs w:val="32"/>
        </w:rPr>
        <w:t>筹集购买图书86册；督促干部职工做好学习强国的学习，评选区级优秀学员1名，局级优秀学员2名，激发职工学习习近平新时代中国特色社会主义思想等党的理论热情。</w:t>
      </w:r>
      <w:r>
        <w:rPr>
          <w:rFonts w:hint="eastAsia" w:ascii="仿宋" w:hAnsi="仿宋" w:eastAsia="仿宋" w:cs="仿宋"/>
          <w:b/>
          <w:bCs/>
          <w:spacing w:val="5"/>
          <w:sz w:val="32"/>
          <w:szCs w:val="32"/>
        </w:rPr>
        <w:t>三是</w:t>
      </w:r>
      <w:r>
        <w:rPr>
          <w:rFonts w:hint="eastAsia" w:ascii="仿宋" w:hAnsi="仿宋" w:eastAsia="仿宋" w:cs="仿宋"/>
          <w:spacing w:val="5"/>
          <w:sz w:val="32"/>
          <w:szCs w:val="32"/>
        </w:rPr>
        <w:t>安排专人管理局内和主管行业QQ、微信群，</w:t>
      </w:r>
      <w:r>
        <w:rPr>
          <w:rFonts w:hint="eastAsia" w:ascii="仿宋" w:hAnsi="仿宋" w:eastAsia="仿宋" w:cs="仿宋"/>
          <w:sz w:val="32"/>
          <w:szCs w:val="32"/>
        </w:rPr>
        <w:t>全面杜绝“高级黑”和“低级红”，有效净化工作网域空间。</w:t>
      </w:r>
      <w:r>
        <w:rPr>
          <w:rFonts w:hint="eastAsia" w:ascii="仿宋" w:hAnsi="仿宋" w:eastAsia="仿宋" w:cs="仿宋"/>
          <w:b/>
          <w:bCs/>
          <w:spacing w:val="5"/>
          <w:sz w:val="32"/>
          <w:szCs w:val="32"/>
        </w:rPr>
        <w:t>四是</w:t>
      </w:r>
      <w:r>
        <w:rPr>
          <w:rFonts w:hint="eastAsia" w:ascii="仿宋" w:hAnsi="仿宋" w:eastAsia="仿宋" w:cs="仿宋"/>
          <w:sz w:val="32"/>
          <w:szCs w:val="32"/>
        </w:rPr>
        <w:t>积极与宣传部门、记者、当事人沟通协调，</w:t>
      </w:r>
      <w:r>
        <w:rPr>
          <w:rFonts w:hint="eastAsia" w:ascii="仿宋" w:hAnsi="仿宋" w:eastAsia="仿宋" w:cs="仿宋"/>
          <w:spacing w:val="5"/>
          <w:sz w:val="32"/>
          <w:szCs w:val="32"/>
        </w:rPr>
        <w:t>妥善处置因</w:t>
      </w:r>
      <w:r>
        <w:rPr>
          <w:rFonts w:hint="eastAsia" w:ascii="仿宋" w:hAnsi="仿宋" w:eastAsia="仿宋" w:cs="仿宋"/>
          <w:sz w:val="32"/>
          <w:szCs w:val="32"/>
        </w:rPr>
        <w:t>“红星煤矿产能置换资金划拨问题”引发的</w:t>
      </w:r>
      <w:r>
        <w:rPr>
          <w:rFonts w:hint="eastAsia" w:ascii="仿宋" w:hAnsi="仿宋" w:eastAsia="仿宋" w:cs="仿宋"/>
          <w:spacing w:val="5"/>
          <w:sz w:val="32"/>
          <w:szCs w:val="32"/>
        </w:rPr>
        <w:t>网络舆情</w:t>
      </w:r>
      <w:r>
        <w:rPr>
          <w:rFonts w:hint="eastAsia" w:ascii="仿宋" w:hAnsi="仿宋" w:eastAsia="仿宋" w:cs="仿宋"/>
          <w:sz w:val="32"/>
          <w:szCs w:val="32"/>
        </w:rPr>
        <w:t>。</w:t>
      </w:r>
      <w:r>
        <w:rPr>
          <w:rFonts w:hint="eastAsia" w:ascii="仿宋" w:hAnsi="仿宋" w:eastAsia="仿宋" w:cs="仿宋"/>
          <w:b/>
          <w:bCs/>
          <w:sz w:val="32"/>
          <w:szCs w:val="32"/>
        </w:rPr>
        <w:t>五是</w:t>
      </w:r>
      <w:r>
        <w:rPr>
          <w:rFonts w:hint="eastAsia" w:ascii="仿宋" w:hAnsi="仿宋" w:eastAsia="仿宋" w:cs="仿宋"/>
          <w:sz w:val="32"/>
          <w:szCs w:val="32"/>
        </w:rPr>
        <w:t>高度重视</w:t>
      </w:r>
      <w:r>
        <w:rPr>
          <w:rFonts w:hint="eastAsia" w:ascii="仿宋" w:hAnsi="仿宋" w:eastAsia="仿宋" w:cs="仿宋"/>
          <w:color w:val="000000"/>
          <w:sz w:val="32"/>
          <w:szCs w:val="32"/>
        </w:rPr>
        <w:t>外宣，在《中国应急管理报》发布信息2条，中国安全生产网发布信息1条，四川在线发布信息1条，广元日报发布信息5条，省厅网站发布信息5条，市局网站发布信息70余条。</w:t>
      </w:r>
    </w:p>
    <w:p>
      <w:pPr>
        <w:pStyle w:val="4"/>
        <w:spacing w:line="576" w:lineRule="exact"/>
        <w:ind w:firstLine="640" w:firstLineChars="200"/>
        <w:rPr>
          <w:rFonts w:ascii="仿宋" w:hAnsi="仿宋" w:eastAsia="仿宋" w:cs="仿宋"/>
          <w:b/>
          <w:bCs/>
          <w:sz w:val="32"/>
          <w:szCs w:val="32"/>
        </w:rPr>
      </w:pPr>
      <w:r>
        <w:rPr>
          <w:rFonts w:hint="eastAsia" w:ascii="仿宋" w:hAnsi="仿宋" w:eastAsia="仿宋" w:cs="仿宋"/>
          <w:kern w:val="0"/>
          <w:sz w:val="32"/>
          <w:szCs w:val="32"/>
        </w:rPr>
        <w:t>（四）严格抓好党风廉政建设。</w:t>
      </w:r>
      <w:r>
        <w:rPr>
          <w:rFonts w:hint="eastAsia" w:ascii="仿宋" w:hAnsi="仿宋" w:eastAsia="仿宋" w:cs="仿宋"/>
          <w:b/>
          <w:bCs/>
          <w:sz w:val="32"/>
          <w:szCs w:val="32"/>
        </w:rPr>
        <w:t>一是</w:t>
      </w:r>
      <w:r>
        <w:rPr>
          <w:rFonts w:hint="eastAsia" w:ascii="仿宋" w:hAnsi="仿宋" w:eastAsia="仿宋" w:cs="仿宋"/>
          <w:sz w:val="32"/>
          <w:szCs w:val="32"/>
        </w:rPr>
        <w:t>开展党风廉政警示教育，组织观看《蒙尘的初心》警示教育片、通报典型案例9起，强化廉洁教育，筑牢职工拒腐防变“防火墙”。</w:t>
      </w:r>
      <w:r>
        <w:rPr>
          <w:rFonts w:hint="eastAsia" w:ascii="仿宋" w:hAnsi="仿宋" w:eastAsia="仿宋" w:cs="仿宋"/>
          <w:b/>
          <w:bCs/>
          <w:sz w:val="32"/>
          <w:szCs w:val="32"/>
        </w:rPr>
        <w:t>二是</w:t>
      </w:r>
      <w:r>
        <w:rPr>
          <w:rFonts w:hint="eastAsia" w:ascii="仿宋" w:hAnsi="仿宋" w:eastAsia="仿宋" w:cs="仿宋"/>
          <w:sz w:val="32"/>
          <w:szCs w:val="32"/>
        </w:rPr>
        <w:t>集中整顿了上下班、办公和会议纪律，约谈上下班迟到、早退15人，通报批评7人。</w:t>
      </w:r>
      <w:r>
        <w:rPr>
          <w:rFonts w:hint="eastAsia" w:ascii="仿宋" w:hAnsi="仿宋" w:eastAsia="仿宋" w:cs="仿宋"/>
          <w:b/>
          <w:bCs/>
          <w:sz w:val="32"/>
          <w:szCs w:val="32"/>
        </w:rPr>
        <w:t>三是</w:t>
      </w:r>
      <w:r>
        <w:rPr>
          <w:rFonts w:hint="eastAsia" w:ascii="仿宋" w:hAnsi="仿宋" w:eastAsia="仿宋" w:cs="仿宋"/>
          <w:sz w:val="32"/>
          <w:szCs w:val="32"/>
        </w:rPr>
        <w:t>及时制定完善“三重一大”、应急值班值守、出差登记备案等管理制度，规范机关管理。</w:t>
      </w:r>
      <w:r>
        <w:rPr>
          <w:rFonts w:hint="eastAsia" w:ascii="仿宋" w:hAnsi="仿宋" w:eastAsia="仿宋" w:cs="仿宋"/>
          <w:b/>
          <w:bCs/>
          <w:sz w:val="32"/>
          <w:szCs w:val="32"/>
        </w:rPr>
        <w:t>四是</w:t>
      </w:r>
      <w:r>
        <w:rPr>
          <w:rFonts w:hint="eastAsia" w:ascii="仿宋" w:hAnsi="仿宋" w:eastAsia="仿宋" w:cs="仿宋"/>
          <w:sz w:val="32"/>
          <w:szCs w:val="32"/>
        </w:rPr>
        <w:t>坚持“选贤任能”用人导向，机构改革后，选任中层干部16名，其中新提拔干部9名，中层干部中35岁以下年轻干部10人占比62.5%，营造出公平、公正、公开的干部成长环境和良好政治氛围。</w:t>
      </w:r>
    </w:p>
    <w:p>
      <w:pPr>
        <w:pStyle w:val="12"/>
        <w:spacing w:before="0" w:beforeAutospacing="0" w:after="0" w:afterAutospacing="0" w:line="576" w:lineRule="exact"/>
        <w:ind w:firstLine="640" w:firstLineChars="200"/>
        <w:jc w:val="both"/>
        <w:rPr>
          <w:rFonts w:ascii="仿宋" w:hAnsi="仿宋" w:eastAsia="仿宋" w:cs="仿宋"/>
          <w:b/>
          <w:bCs/>
          <w:sz w:val="32"/>
          <w:szCs w:val="32"/>
        </w:rPr>
      </w:pPr>
      <w:r>
        <w:rPr>
          <w:rFonts w:hint="eastAsia" w:ascii="仿宋" w:hAnsi="仿宋" w:eastAsia="仿宋" w:cs="仿宋"/>
          <w:sz w:val="32"/>
          <w:szCs w:val="32"/>
        </w:rPr>
        <w:t>（五）党建引领脱贫攻坚。</w:t>
      </w:r>
      <w:r>
        <w:rPr>
          <w:rFonts w:hint="eastAsia" w:ascii="仿宋" w:hAnsi="仿宋" w:eastAsia="仿宋" w:cs="仿宋"/>
          <w:b/>
          <w:bCs/>
          <w:sz w:val="32"/>
          <w:szCs w:val="32"/>
        </w:rPr>
        <w:t>一是</w:t>
      </w:r>
      <w:r>
        <w:rPr>
          <w:rFonts w:hint="eastAsia" w:ascii="仿宋" w:hAnsi="仿宋" w:eastAsia="仿宋" w:cs="仿宋"/>
          <w:sz w:val="32"/>
          <w:szCs w:val="32"/>
        </w:rPr>
        <w:t>开展“部门帮扶工作周”等活动，全局帮扶干部走村入户800余人次，春节期间慰问帮扶贫困户164户。</w:t>
      </w:r>
      <w:r>
        <w:rPr>
          <w:rFonts w:hint="eastAsia" w:ascii="仿宋" w:hAnsi="仿宋" w:eastAsia="仿宋" w:cs="仿宋"/>
          <w:b/>
          <w:bCs/>
          <w:sz w:val="32"/>
          <w:szCs w:val="32"/>
        </w:rPr>
        <w:t>二是</w:t>
      </w:r>
      <w:r>
        <w:rPr>
          <w:rFonts w:hint="eastAsia" w:ascii="仿宋" w:hAnsi="仿宋" w:eastAsia="仿宋" w:cs="仿宋"/>
          <w:sz w:val="32"/>
          <w:szCs w:val="32"/>
        </w:rPr>
        <w:t>坚持扶贫与扶志相结合，局党组书记进村上党课2次，引导帮扶村党员干部奋发自强。</w:t>
      </w:r>
      <w:r>
        <w:rPr>
          <w:rFonts w:hint="eastAsia" w:ascii="仿宋" w:hAnsi="仿宋" w:eastAsia="仿宋" w:cs="仿宋"/>
          <w:b/>
          <w:bCs/>
          <w:sz w:val="32"/>
          <w:szCs w:val="32"/>
        </w:rPr>
        <w:t>三是</w:t>
      </w:r>
      <w:r>
        <w:rPr>
          <w:rFonts w:hint="eastAsia" w:ascii="仿宋" w:hAnsi="仿宋" w:eastAsia="仿宋" w:cs="仿宋"/>
          <w:sz w:val="32"/>
          <w:szCs w:val="32"/>
        </w:rPr>
        <w:t>派驻帮扶工作队4个，派出驻村帮扶干部10名，保障驻村帮扶工作经费3万元/每年，集中谈心谈话3次。</w:t>
      </w:r>
      <w:r>
        <w:rPr>
          <w:rFonts w:hint="eastAsia" w:ascii="仿宋" w:hAnsi="仿宋" w:eastAsia="仿宋" w:cs="仿宋"/>
          <w:b/>
          <w:bCs/>
          <w:sz w:val="32"/>
          <w:szCs w:val="32"/>
        </w:rPr>
        <w:t>四是</w:t>
      </w:r>
      <w:r>
        <w:rPr>
          <w:rFonts w:hint="eastAsia" w:ascii="仿宋" w:hAnsi="仿宋" w:eastAsia="仿宋" w:cs="仿宋"/>
          <w:sz w:val="32"/>
          <w:szCs w:val="32"/>
        </w:rPr>
        <w:t>发展集体经济。二重岩村种植藤椒100亩，养殖跑山鸡1000只；白朝村种植桃树、金丝皇菊、葡萄、药菊共222亩；岩窝村种植羊肚菌、蓝莓、脆红李、樱桃共330亩，实现集体分红收入2万元，群众土地流转收入16.5万元，务工收入33万元；永久村种植茯苓20亩，累计酿制小镇酒2吨，生猪存栏100头，预计实现产值69万。</w:t>
      </w:r>
      <w:r>
        <w:rPr>
          <w:rFonts w:hint="eastAsia" w:ascii="仿宋" w:hAnsi="仿宋" w:eastAsia="仿宋" w:cs="仿宋"/>
          <w:b/>
          <w:bCs/>
          <w:sz w:val="32"/>
          <w:szCs w:val="32"/>
        </w:rPr>
        <w:t>五是</w:t>
      </w:r>
      <w:r>
        <w:rPr>
          <w:rFonts w:hint="eastAsia" w:ascii="仿宋" w:hAnsi="仿宋" w:eastAsia="仿宋" w:cs="仿宋"/>
          <w:sz w:val="32"/>
          <w:szCs w:val="32"/>
        </w:rPr>
        <w:t>发展新型种养殖产业。永久村培养养殖户4户，年出栏生猪300头，种植前胡100亩；岩窝村培养养殖户3户，蛋鸡存栏500只，鸭存栏200只。</w:t>
      </w:r>
      <w:r>
        <w:rPr>
          <w:rFonts w:hint="eastAsia" w:ascii="仿宋" w:hAnsi="仿宋" w:eastAsia="仿宋" w:cs="仿宋"/>
          <w:b/>
          <w:bCs/>
          <w:sz w:val="32"/>
          <w:szCs w:val="32"/>
        </w:rPr>
        <w:t>六是</w:t>
      </w:r>
      <w:r>
        <w:rPr>
          <w:rFonts w:hint="eastAsia" w:ascii="仿宋" w:hAnsi="仿宋" w:eastAsia="仿宋" w:cs="仿宋"/>
          <w:sz w:val="32"/>
          <w:szCs w:val="32"/>
        </w:rPr>
        <w:t>结合“不忘初心、牢记使命”主题教育开展，班子成员立行立改，解决涉及帮扶群众出行、饮水、生活环境等问题7条，让群众切实感受到主题教育带来的变化。</w:t>
      </w:r>
    </w:p>
    <w:p>
      <w:pPr>
        <w:spacing w:line="576" w:lineRule="exact"/>
        <w:ind w:firstLine="640" w:firstLineChars="200"/>
        <w:rPr>
          <w:rFonts w:ascii="仿宋" w:hAnsi="仿宋" w:eastAsia="仿宋" w:cs="仿宋"/>
          <w:b/>
          <w:bCs/>
          <w:kern w:val="0"/>
          <w:sz w:val="32"/>
          <w:szCs w:val="32"/>
        </w:rPr>
      </w:pPr>
      <w:r>
        <w:rPr>
          <w:rFonts w:hint="eastAsia" w:ascii="仿宋" w:hAnsi="仿宋" w:eastAsia="仿宋" w:cs="仿宋"/>
          <w:kern w:val="0"/>
          <w:sz w:val="32"/>
          <w:szCs w:val="32"/>
        </w:rPr>
        <w:t>（六）安全监管有力有序有效。1-10月全区发生生产安全事故12起，事故总量同比减少2起，下降14.29%，死亡10人，死亡人数同比减少5人、下降33.33%，未发生较大及以上生产安全事故，</w:t>
      </w:r>
      <w:r>
        <w:rPr>
          <w:rFonts w:hint="eastAsia" w:ascii="仿宋" w:hAnsi="仿宋" w:eastAsia="仿宋" w:cs="仿宋"/>
          <w:sz w:val="32"/>
          <w:szCs w:val="32"/>
        </w:rPr>
        <w:t>安全生产形势稳中向好</w:t>
      </w:r>
      <w:r>
        <w:rPr>
          <w:rFonts w:hint="eastAsia" w:ascii="仿宋" w:hAnsi="仿宋" w:eastAsia="仿宋" w:cs="仿宋"/>
          <w:kern w:val="0"/>
          <w:sz w:val="32"/>
          <w:szCs w:val="32"/>
        </w:rPr>
        <w:t>。一</w:t>
      </w:r>
      <w:r>
        <w:rPr>
          <w:rFonts w:hint="eastAsia" w:ascii="仿宋" w:hAnsi="仿宋" w:eastAsia="仿宋" w:cs="仿宋"/>
          <w:b/>
          <w:bCs/>
          <w:kern w:val="0"/>
          <w:sz w:val="32"/>
          <w:szCs w:val="32"/>
        </w:rPr>
        <w:t>是</w:t>
      </w:r>
      <w:r>
        <w:rPr>
          <w:rFonts w:hint="eastAsia" w:ascii="仿宋" w:hAnsi="仿宋" w:eastAsia="仿宋" w:cs="仿宋"/>
          <w:kern w:val="0"/>
          <w:sz w:val="32"/>
          <w:szCs w:val="32"/>
        </w:rPr>
        <w:t>构建党政同责、一岗双责、齐抓共管“三级五覆盖”安全生产责任体系，严格督促安委会成员单位主要负责人每季度向区安办报告安全生产履职情况，压紧压实安全生产责任。</w:t>
      </w:r>
      <w:r>
        <w:rPr>
          <w:rFonts w:hint="eastAsia" w:ascii="仿宋" w:hAnsi="仿宋" w:eastAsia="仿宋" w:cs="仿宋"/>
          <w:b/>
          <w:bCs/>
          <w:kern w:val="0"/>
          <w:sz w:val="32"/>
          <w:szCs w:val="32"/>
        </w:rPr>
        <w:t>二是</w:t>
      </w:r>
      <w:r>
        <w:rPr>
          <w:rFonts w:hint="eastAsia" w:ascii="仿宋" w:hAnsi="仿宋" w:eastAsia="仿宋" w:cs="仿宋"/>
          <w:kern w:val="0"/>
          <w:sz w:val="32"/>
          <w:szCs w:val="32"/>
        </w:rPr>
        <w:t>组织开展节假日安全检查21次、专项检查5次，重点行业领域全覆盖。</w:t>
      </w:r>
      <w:r>
        <w:rPr>
          <w:rFonts w:hint="eastAsia" w:ascii="仿宋" w:hAnsi="仿宋" w:eastAsia="仿宋" w:cs="仿宋"/>
          <w:b/>
          <w:bCs/>
          <w:kern w:val="0"/>
          <w:sz w:val="32"/>
          <w:szCs w:val="32"/>
        </w:rPr>
        <w:t>三是</w:t>
      </w:r>
      <w:r>
        <w:rPr>
          <w:rFonts w:hint="eastAsia" w:ascii="仿宋" w:hAnsi="仿宋" w:eastAsia="仿宋" w:cs="仿宋"/>
          <w:kern w:val="0"/>
          <w:sz w:val="32"/>
          <w:szCs w:val="32"/>
        </w:rPr>
        <w:t>每季度召开安委会，研究安全生产领域突出问题和薄弱环节，部署安全生产工作。</w:t>
      </w:r>
      <w:r>
        <w:rPr>
          <w:rFonts w:hint="eastAsia" w:ascii="仿宋" w:hAnsi="仿宋" w:eastAsia="仿宋" w:cs="仿宋"/>
          <w:b/>
          <w:bCs/>
          <w:kern w:val="0"/>
          <w:sz w:val="32"/>
          <w:szCs w:val="32"/>
        </w:rPr>
        <w:t>四是</w:t>
      </w:r>
      <w:r>
        <w:rPr>
          <w:rFonts w:hint="eastAsia" w:ascii="仿宋" w:hAnsi="仿宋" w:eastAsia="仿宋" w:cs="仿宋"/>
          <w:sz w:val="32"/>
          <w:szCs w:val="32"/>
        </w:rPr>
        <w:t>常态</w:t>
      </w:r>
      <w:r>
        <w:rPr>
          <w:rFonts w:hint="eastAsia" w:ascii="仿宋" w:hAnsi="仿宋" w:eastAsia="仿宋" w:cs="仿宋"/>
          <w:kern w:val="0"/>
          <w:sz w:val="32"/>
          <w:szCs w:val="32"/>
        </w:rPr>
        <w:t>开展十大领域安全大检查和专项整治行动，检查企事业单位</w:t>
      </w:r>
      <w:r>
        <w:rPr>
          <w:rFonts w:hint="eastAsia" w:ascii="仿宋" w:hAnsi="仿宋" w:eastAsia="仿宋" w:cs="仿宋"/>
          <w:sz w:val="32"/>
          <w:szCs w:val="32"/>
        </w:rPr>
        <w:t>2450家，</w:t>
      </w:r>
      <w:r>
        <w:rPr>
          <w:rFonts w:hint="eastAsia" w:ascii="仿宋" w:hAnsi="仿宋" w:eastAsia="仿宋" w:cs="仿宋"/>
          <w:kern w:val="0"/>
          <w:sz w:val="32"/>
          <w:szCs w:val="32"/>
        </w:rPr>
        <w:t>查</w:t>
      </w:r>
      <w:r>
        <w:rPr>
          <w:rFonts w:hint="eastAsia" w:ascii="仿宋" w:hAnsi="仿宋" w:eastAsia="仿宋" w:cs="仿宋"/>
          <w:sz w:val="32"/>
          <w:szCs w:val="32"/>
        </w:rPr>
        <w:t>出一般</w:t>
      </w:r>
      <w:r>
        <w:rPr>
          <w:rFonts w:hint="eastAsia" w:ascii="仿宋" w:hAnsi="仿宋" w:eastAsia="仿宋" w:cs="仿宋"/>
          <w:kern w:val="0"/>
          <w:sz w:val="32"/>
          <w:szCs w:val="32"/>
        </w:rPr>
        <w:t>隐患1503条，</w:t>
      </w:r>
      <w:r>
        <w:rPr>
          <w:rFonts w:hint="eastAsia" w:ascii="仿宋" w:hAnsi="仿宋" w:eastAsia="仿宋" w:cs="仿宋"/>
          <w:sz w:val="32"/>
          <w:szCs w:val="32"/>
        </w:rPr>
        <w:t>现</w:t>
      </w:r>
      <w:r>
        <w:rPr>
          <w:rFonts w:hint="eastAsia" w:ascii="仿宋" w:hAnsi="仿宋" w:eastAsia="仿宋" w:cs="仿宋"/>
          <w:kern w:val="0"/>
          <w:sz w:val="32"/>
          <w:szCs w:val="32"/>
        </w:rPr>
        <w:t>已整改1479条，整改率</w:t>
      </w:r>
      <w:r>
        <w:rPr>
          <w:rFonts w:hint="eastAsia" w:ascii="仿宋" w:hAnsi="仿宋" w:eastAsia="仿宋" w:cs="仿宋"/>
          <w:sz w:val="32"/>
          <w:szCs w:val="32"/>
        </w:rPr>
        <w:t>达</w:t>
      </w:r>
      <w:r>
        <w:rPr>
          <w:rFonts w:hint="eastAsia" w:ascii="仿宋" w:hAnsi="仿宋" w:eastAsia="仿宋" w:cs="仿宋"/>
          <w:kern w:val="0"/>
          <w:sz w:val="32"/>
          <w:szCs w:val="32"/>
        </w:rPr>
        <w:t>98.40%。整治违规违章行为49起，打击非法违法行为5起，关闭取缔不满足安全生产条件企业5家，处罚没款14.3万元。</w:t>
      </w:r>
      <w:r>
        <w:rPr>
          <w:rFonts w:hint="eastAsia" w:ascii="仿宋" w:hAnsi="仿宋" w:eastAsia="仿宋" w:cs="仿宋"/>
          <w:b/>
          <w:bCs/>
          <w:sz w:val="32"/>
          <w:szCs w:val="32"/>
        </w:rPr>
        <w:t>五是</w:t>
      </w:r>
      <w:r>
        <w:rPr>
          <w:rFonts w:hint="eastAsia" w:ascii="仿宋" w:hAnsi="仿宋" w:eastAsia="仿宋" w:cs="仿宋"/>
          <w:sz w:val="32"/>
          <w:szCs w:val="32"/>
        </w:rPr>
        <w:t>采用宣传、检查、隐患治理等措施，抓好“冬季一氧化碳中毒”“城市既有房屋高处坠物”“城市消防安全”“节后复工安全”“2019保平安迎大庆”等专项综合防治工作。</w:t>
      </w:r>
      <w:r>
        <w:rPr>
          <w:rFonts w:hint="eastAsia" w:ascii="仿宋" w:hAnsi="仿宋" w:eastAsia="仿宋" w:cs="仿宋"/>
          <w:b/>
          <w:bCs/>
          <w:sz w:val="32"/>
          <w:szCs w:val="32"/>
        </w:rPr>
        <w:t>六是</w:t>
      </w:r>
      <w:r>
        <w:rPr>
          <w:rFonts w:hint="eastAsia" w:ascii="仿宋" w:hAnsi="仿宋" w:eastAsia="仿宋" w:cs="仿宋"/>
          <w:sz w:val="32"/>
          <w:szCs w:val="32"/>
        </w:rPr>
        <w:t>抓好驻矿安监工作，按照“每月驻矿不少于15天，下井检查不少于15次，夜晚下井不少于3次”的要求，实时监督煤矿安全生产，驻矿安监员入井排查隐患1800余条，督促整改1750余条，制止违章违法行为8起。</w:t>
      </w:r>
      <w:r>
        <w:rPr>
          <w:rFonts w:hint="eastAsia" w:ascii="仿宋" w:hAnsi="仿宋" w:eastAsia="仿宋" w:cs="仿宋"/>
          <w:b/>
          <w:bCs/>
          <w:sz w:val="32"/>
          <w:szCs w:val="32"/>
        </w:rPr>
        <w:t>七是</w:t>
      </w:r>
      <w:r>
        <w:rPr>
          <w:rFonts w:hint="eastAsia" w:ascii="仿宋" w:hAnsi="仿宋" w:eastAsia="仿宋" w:cs="仿宋"/>
          <w:sz w:val="32"/>
          <w:szCs w:val="32"/>
        </w:rPr>
        <w:t>与6个产煤乡镇、煤矿业主、矿长签订安全目标责任书，压紧压实煤矿安全责任，约谈安全管理滑坡、安全投入不到位的煤矿业主和矿长10人次。</w:t>
      </w:r>
      <w:r>
        <w:rPr>
          <w:rFonts w:hint="eastAsia" w:ascii="仿宋" w:hAnsi="仿宋" w:eastAsia="仿宋" w:cs="仿宋"/>
          <w:b/>
          <w:bCs/>
          <w:sz w:val="32"/>
          <w:szCs w:val="32"/>
        </w:rPr>
        <w:t>八是</w:t>
      </w:r>
      <w:r>
        <w:rPr>
          <w:rFonts w:hint="eastAsia" w:ascii="仿宋" w:hAnsi="仿宋" w:eastAsia="仿宋" w:cs="仿宋"/>
          <w:sz w:val="32"/>
          <w:szCs w:val="32"/>
        </w:rPr>
        <w:t>采用停供火工品、停止供电，派驻干部盯守、属地专人巡查等措施，加强停产停建关闭矿井监管，确保停产停建落到实处，关闭矿井长期安全。</w:t>
      </w:r>
      <w:r>
        <w:rPr>
          <w:rFonts w:hint="eastAsia" w:ascii="仿宋" w:hAnsi="仿宋" w:eastAsia="仿宋" w:cs="仿宋"/>
          <w:b/>
          <w:bCs/>
          <w:kern w:val="0"/>
          <w:sz w:val="32"/>
          <w:szCs w:val="32"/>
        </w:rPr>
        <w:t>九是</w:t>
      </w:r>
      <w:r>
        <w:rPr>
          <w:rFonts w:hint="eastAsia" w:ascii="仿宋" w:hAnsi="仿宋" w:eastAsia="仿宋" w:cs="仿宋"/>
          <w:sz w:val="32"/>
          <w:szCs w:val="32"/>
        </w:rPr>
        <w:t>严格责任追究，成立事故调查组7个，调查生产安全事故9起，已提交事故调查报告4起，立案查处4起，对3家企业处事故罚款97.93万元。</w:t>
      </w:r>
      <w:r>
        <w:rPr>
          <w:rFonts w:hint="eastAsia" w:ascii="仿宋" w:hAnsi="仿宋" w:eastAsia="仿宋" w:cs="仿宋"/>
          <w:b/>
          <w:bCs/>
          <w:sz w:val="32"/>
          <w:szCs w:val="32"/>
        </w:rPr>
        <w:t>十是</w:t>
      </w:r>
      <w:r>
        <w:rPr>
          <w:rFonts w:hint="eastAsia" w:ascii="仿宋" w:hAnsi="仿宋" w:eastAsia="仿宋" w:cs="仿宋"/>
          <w:sz w:val="32"/>
          <w:szCs w:val="32"/>
        </w:rPr>
        <w:t>编制消防工作任务清单，重点抓好火灾隐患防控、消防救援能力、物资装备配备等工作，协调市级相关部门和东坝街道、嘉陵街道，推进恒星城、万安旧货市场等2起重大火灾隐患整改治理，整改方案已商定，各相关单位正合力组织实施。</w:t>
      </w:r>
    </w:p>
    <w:p>
      <w:pPr>
        <w:spacing w:line="576" w:lineRule="exact"/>
        <w:ind w:firstLine="640" w:firstLineChars="200"/>
        <w:rPr>
          <w:rFonts w:ascii="仿宋" w:hAnsi="仿宋" w:eastAsia="仿宋" w:cs="仿宋"/>
          <w:b/>
          <w:bCs/>
          <w:sz w:val="32"/>
          <w:szCs w:val="32"/>
        </w:rPr>
      </w:pPr>
      <w:r>
        <w:rPr>
          <w:rFonts w:hint="eastAsia" w:ascii="仿宋" w:hAnsi="仿宋" w:eastAsia="仿宋" w:cs="仿宋"/>
          <w:kern w:val="0"/>
          <w:sz w:val="32"/>
          <w:szCs w:val="32"/>
        </w:rPr>
        <w:t>（七）聚焦安全管理水平提升。</w:t>
      </w:r>
      <w:r>
        <w:rPr>
          <w:rFonts w:hint="eastAsia" w:ascii="仿宋" w:hAnsi="仿宋" w:eastAsia="仿宋" w:cs="仿宋"/>
          <w:b/>
          <w:bCs/>
          <w:sz w:val="32"/>
          <w:szCs w:val="32"/>
        </w:rPr>
        <w:t>一是</w:t>
      </w:r>
      <w:r>
        <w:rPr>
          <w:rFonts w:hint="eastAsia" w:ascii="仿宋" w:hAnsi="仿宋" w:eastAsia="仿宋" w:cs="仿宋"/>
          <w:sz w:val="32"/>
          <w:szCs w:val="32"/>
        </w:rPr>
        <w:t>在煤矿、危险化学品、建筑施工等13个行业推行“清单制”管理，目前已开始推行试点企业共50家。</w:t>
      </w:r>
      <w:r>
        <w:rPr>
          <w:rFonts w:hint="eastAsia" w:ascii="仿宋" w:hAnsi="仿宋" w:eastAsia="仿宋" w:cs="仿宋"/>
          <w:b/>
          <w:bCs/>
          <w:sz w:val="32"/>
          <w:szCs w:val="32"/>
        </w:rPr>
        <w:t>二是</w:t>
      </w:r>
      <w:r>
        <w:rPr>
          <w:rFonts w:hint="eastAsia" w:ascii="仿宋" w:hAnsi="仿宋" w:eastAsia="仿宋" w:cs="仿宋"/>
          <w:sz w:val="32"/>
          <w:szCs w:val="32"/>
        </w:rPr>
        <w:t>组团参加全市执法大比武，获得全市第二名的好成绩。</w:t>
      </w:r>
      <w:r>
        <w:rPr>
          <w:rFonts w:hint="eastAsia" w:ascii="仿宋" w:hAnsi="仿宋" w:eastAsia="仿宋" w:cs="仿宋"/>
          <w:b/>
          <w:bCs/>
          <w:sz w:val="32"/>
          <w:szCs w:val="32"/>
        </w:rPr>
        <w:t>三是</w:t>
      </w:r>
      <w:r>
        <w:rPr>
          <w:rFonts w:hint="eastAsia" w:ascii="仿宋" w:hAnsi="仿宋" w:eastAsia="仿宋" w:cs="仿宋"/>
          <w:sz w:val="32"/>
          <w:szCs w:val="32"/>
        </w:rPr>
        <w:t>在卫健、交通等19个重点行业推行安全生产“双控机制”，已建成“双控机制”的企事业单位共计206家，占目标任务数的70%。</w:t>
      </w:r>
      <w:r>
        <w:rPr>
          <w:rFonts w:hint="eastAsia" w:ascii="仿宋" w:hAnsi="仿宋" w:eastAsia="仿宋" w:cs="仿宋"/>
          <w:b/>
          <w:bCs/>
          <w:sz w:val="32"/>
          <w:szCs w:val="32"/>
        </w:rPr>
        <w:t>四是</w:t>
      </w:r>
      <w:r>
        <w:rPr>
          <w:rFonts w:hint="eastAsia" w:ascii="仿宋" w:hAnsi="仿宋" w:eastAsia="仿宋" w:cs="仿宋"/>
          <w:sz w:val="32"/>
          <w:szCs w:val="32"/>
        </w:rPr>
        <w:t>坚决淘汰不安全落后产能，关闭非煤矿山2家。</w:t>
      </w:r>
      <w:r>
        <w:rPr>
          <w:rFonts w:hint="eastAsia" w:ascii="仿宋" w:hAnsi="仿宋" w:eastAsia="仿宋" w:cs="仿宋"/>
          <w:b/>
          <w:bCs/>
          <w:sz w:val="32"/>
          <w:szCs w:val="32"/>
        </w:rPr>
        <w:t>五是</w:t>
      </w:r>
      <w:r>
        <w:rPr>
          <w:rFonts w:hint="eastAsia" w:ascii="仿宋" w:hAnsi="仿宋" w:eastAsia="仿宋" w:cs="仿宋"/>
          <w:sz w:val="32"/>
          <w:szCs w:val="32"/>
        </w:rPr>
        <w:t>督促煤矿、非煤矿山、砖瓦企业从业人员参加安全培训，送培负责人及管理人员100人，特种作业人员58人，煤矿职工546人。</w:t>
      </w:r>
      <w:r>
        <w:rPr>
          <w:rFonts w:hint="eastAsia" w:ascii="仿宋" w:hAnsi="仿宋" w:eastAsia="仿宋" w:cs="仿宋"/>
          <w:b/>
          <w:bCs/>
          <w:sz w:val="32"/>
          <w:szCs w:val="32"/>
        </w:rPr>
        <w:t>六是</w:t>
      </w:r>
      <w:r>
        <w:rPr>
          <w:rFonts w:hint="eastAsia" w:ascii="仿宋" w:hAnsi="仿宋" w:eastAsia="仿宋" w:cs="仿宋"/>
          <w:sz w:val="32"/>
          <w:szCs w:val="32"/>
        </w:rPr>
        <w:t>指导非煤矿山企业完善应急救援预案，建立兼职救援队伍，储备应急物质和装备，开展应急救援演练20场。七</w:t>
      </w:r>
      <w:r>
        <w:rPr>
          <w:rFonts w:hint="eastAsia" w:ascii="仿宋" w:hAnsi="仿宋" w:eastAsia="仿宋" w:cs="仿宋"/>
          <w:b/>
          <w:bCs/>
          <w:kern w:val="0"/>
          <w:sz w:val="32"/>
          <w:szCs w:val="32"/>
        </w:rPr>
        <w:t>是</w:t>
      </w:r>
      <w:r>
        <w:rPr>
          <w:rFonts w:hint="eastAsia" w:ascii="仿宋" w:hAnsi="仿宋" w:eastAsia="仿宋" w:cs="仿宋"/>
          <w:sz w:val="32"/>
          <w:szCs w:val="32"/>
        </w:rPr>
        <w:t>开展危险化学品安全三年综合治理，全面摸清全区危化、油漆、农药、剧毒化学物品生产、经营、使用情况，采用划区限放、全面治放、综合管放措施把好烟花爆竹安全关，危化行业管理水平明显提升。</w:t>
      </w:r>
    </w:p>
    <w:p>
      <w:pPr>
        <w:spacing w:line="576" w:lineRule="exact"/>
        <w:ind w:firstLine="640" w:firstLineChars="200"/>
        <w:rPr>
          <w:rFonts w:ascii="仿宋" w:hAnsi="仿宋" w:eastAsia="仿宋" w:cs="仿宋"/>
          <w:b/>
          <w:bCs/>
          <w:sz w:val="32"/>
          <w:szCs w:val="32"/>
        </w:rPr>
      </w:pPr>
      <w:r>
        <w:rPr>
          <w:rFonts w:hint="eastAsia" w:ascii="仿宋" w:hAnsi="仿宋" w:eastAsia="仿宋" w:cs="仿宋"/>
          <w:kern w:val="0"/>
          <w:sz w:val="32"/>
          <w:szCs w:val="32"/>
        </w:rPr>
        <w:t>（八）营造良好安全生产氛围。</w:t>
      </w:r>
      <w:r>
        <w:rPr>
          <w:rFonts w:hint="eastAsia" w:ascii="仿宋" w:hAnsi="仿宋" w:eastAsia="仿宋" w:cs="仿宋"/>
          <w:b/>
          <w:bCs/>
          <w:sz w:val="32"/>
          <w:szCs w:val="32"/>
        </w:rPr>
        <w:t>一是</w:t>
      </w:r>
      <w:r>
        <w:rPr>
          <w:rFonts w:hint="eastAsia" w:ascii="仿宋" w:hAnsi="仿宋" w:eastAsia="仿宋" w:cs="仿宋"/>
          <w:sz w:val="32"/>
          <w:szCs w:val="32"/>
        </w:rPr>
        <w:t>开展“安全生产警示月”活动，指导乡镇（街道）、行业主管部门举办安全教育讲座150余场，播放警示教育片6部共500余场，组织集中安全宣传20余次。</w:t>
      </w:r>
      <w:r>
        <w:rPr>
          <w:rFonts w:hint="eastAsia" w:ascii="仿宋" w:hAnsi="仿宋" w:eastAsia="仿宋" w:cs="仿宋"/>
          <w:b/>
          <w:bCs/>
          <w:sz w:val="32"/>
          <w:szCs w:val="32"/>
        </w:rPr>
        <w:t>二是</w:t>
      </w:r>
      <w:r>
        <w:rPr>
          <w:rFonts w:hint="eastAsia" w:ascii="仿宋" w:hAnsi="仿宋" w:eastAsia="仿宋" w:cs="仿宋"/>
          <w:sz w:val="32"/>
          <w:szCs w:val="32"/>
        </w:rPr>
        <w:t>开展“防灾减灾”活动，发放宣传资料2万余份，展出防灾减灾展板60余张，接受咨询5000余人。</w:t>
      </w:r>
      <w:r>
        <w:rPr>
          <w:rFonts w:hint="eastAsia" w:ascii="仿宋" w:hAnsi="仿宋" w:eastAsia="仿宋" w:cs="仿宋"/>
          <w:b/>
          <w:bCs/>
          <w:sz w:val="32"/>
          <w:szCs w:val="32"/>
        </w:rPr>
        <w:t>三是</w:t>
      </w:r>
      <w:r>
        <w:rPr>
          <w:rFonts w:hint="eastAsia" w:ascii="仿宋" w:hAnsi="仿宋" w:eastAsia="仿宋" w:cs="仿宋"/>
          <w:sz w:val="32"/>
          <w:szCs w:val="32"/>
        </w:rPr>
        <w:t>在宝轮镇核工业技师学院开展全区防灾减灾应急救护综合演练，模拟地震和火灾应急疏散，组织灭火和救护技术教学，师生防灾减灾意识和避灾能力大幅提升。</w:t>
      </w:r>
      <w:r>
        <w:rPr>
          <w:rFonts w:hint="eastAsia" w:ascii="仿宋" w:hAnsi="仿宋" w:eastAsia="仿宋" w:cs="仿宋"/>
          <w:b/>
          <w:bCs/>
          <w:sz w:val="32"/>
          <w:szCs w:val="32"/>
        </w:rPr>
        <w:t>四是</w:t>
      </w:r>
      <w:r>
        <w:rPr>
          <w:rFonts w:hint="eastAsia" w:ascii="仿宋" w:hAnsi="仿宋" w:eastAsia="仿宋" w:cs="仿宋"/>
          <w:sz w:val="32"/>
          <w:szCs w:val="32"/>
        </w:rPr>
        <w:t>开展“安全生产月”系列活动，通过安全知识集中宣传、网络安全知识竞答、安全隐患大排查等方式，提升企业安全水平。</w:t>
      </w:r>
    </w:p>
    <w:p>
      <w:pPr>
        <w:spacing w:line="576" w:lineRule="exact"/>
        <w:ind w:firstLine="640" w:firstLineChars="200"/>
        <w:rPr>
          <w:rFonts w:ascii="仿宋" w:hAnsi="仿宋" w:eastAsia="仿宋" w:cs="仿宋"/>
          <w:sz w:val="32"/>
          <w:szCs w:val="32"/>
        </w:rPr>
      </w:pPr>
      <w:r>
        <w:rPr>
          <w:rFonts w:hint="eastAsia" w:ascii="仿宋" w:hAnsi="仿宋" w:eastAsia="仿宋" w:cs="仿宋"/>
          <w:kern w:val="0"/>
          <w:sz w:val="32"/>
          <w:szCs w:val="32"/>
        </w:rPr>
        <w:t>（九）抓好综合应急救援管理。</w:t>
      </w:r>
      <w:r>
        <w:rPr>
          <w:rFonts w:hint="eastAsia" w:ascii="仿宋" w:hAnsi="仿宋" w:eastAsia="仿宋" w:cs="仿宋"/>
          <w:b/>
          <w:bCs/>
          <w:sz w:val="32"/>
          <w:szCs w:val="32"/>
        </w:rPr>
        <w:t>一是</w:t>
      </w:r>
      <w:r>
        <w:rPr>
          <w:rFonts w:hint="eastAsia" w:ascii="仿宋" w:hAnsi="仿宋" w:eastAsia="仿宋" w:cs="仿宋"/>
          <w:sz w:val="32"/>
          <w:szCs w:val="32"/>
        </w:rPr>
        <w:t>成立区应急委员会，分设抗震救灾、防汛抗旱等18个专项指挥机构，应急指挥体系基本建成。</w:t>
      </w:r>
      <w:r>
        <w:rPr>
          <w:rFonts w:hint="eastAsia" w:ascii="仿宋" w:hAnsi="仿宋" w:eastAsia="仿宋" w:cs="仿宋"/>
          <w:b/>
          <w:bCs/>
          <w:sz w:val="32"/>
          <w:szCs w:val="32"/>
        </w:rPr>
        <w:t>二是</w:t>
      </w:r>
      <w:r>
        <w:rPr>
          <w:rFonts w:hint="eastAsia" w:ascii="仿宋" w:hAnsi="仿宋" w:eastAsia="仿宋" w:cs="仿宋"/>
          <w:sz w:val="32"/>
          <w:szCs w:val="32"/>
        </w:rPr>
        <w:t>建立预案管理体系，编制了区级和乡镇级综合应急预案，交通、住建等24个行业部门应急预案，防洪、抗旱等14个专项应急预案，预案体系基本满足全区应急需求。</w:t>
      </w:r>
      <w:r>
        <w:rPr>
          <w:rFonts w:hint="eastAsia" w:ascii="仿宋" w:hAnsi="仿宋" w:eastAsia="仿宋" w:cs="仿宋"/>
          <w:b/>
          <w:bCs/>
          <w:sz w:val="32"/>
          <w:szCs w:val="32"/>
        </w:rPr>
        <w:t>三是</w:t>
      </w:r>
      <w:r>
        <w:rPr>
          <w:rFonts w:hint="eastAsia" w:ascii="仿宋" w:hAnsi="仿宋" w:eastAsia="仿宋" w:cs="仿宋"/>
          <w:sz w:val="32"/>
          <w:szCs w:val="32"/>
        </w:rPr>
        <w:t>编撰《洪涝灾害应急救援行动手册》，规范洪灾救援行动，提高救援科学性。</w:t>
      </w:r>
      <w:r>
        <w:rPr>
          <w:rFonts w:hint="eastAsia" w:ascii="仿宋" w:hAnsi="仿宋" w:eastAsia="仿宋" w:cs="仿宋"/>
          <w:b/>
          <w:bCs/>
          <w:sz w:val="32"/>
          <w:szCs w:val="32"/>
        </w:rPr>
        <w:t>四是</w:t>
      </w:r>
      <w:r>
        <w:rPr>
          <w:rFonts w:hint="eastAsia" w:ascii="仿宋" w:hAnsi="仿宋" w:eastAsia="仿宋" w:cs="仿宋"/>
          <w:sz w:val="32"/>
          <w:szCs w:val="32"/>
        </w:rPr>
        <w:t>实施24小时应急值班，配备煤矿瓦斯监控人员3名、综合应急值班人员5名，全天候接受、研判、分转、报送事故灾难、安全举报、自然灾害信息，统筹协调处理突发事故10起。</w:t>
      </w:r>
      <w:r>
        <w:rPr>
          <w:rFonts w:hint="eastAsia" w:ascii="仿宋" w:hAnsi="仿宋" w:eastAsia="仿宋" w:cs="仿宋"/>
          <w:b/>
          <w:bCs/>
          <w:sz w:val="32"/>
          <w:szCs w:val="32"/>
        </w:rPr>
        <w:t>五是</w:t>
      </w:r>
      <w:r>
        <w:rPr>
          <w:rFonts w:hint="eastAsia" w:ascii="仿宋" w:hAnsi="仿宋" w:eastAsia="仿宋" w:cs="仿宋"/>
          <w:sz w:val="32"/>
          <w:szCs w:val="32"/>
        </w:rPr>
        <w:t>强化预警预报，发布各类预警信息30条，引导群众提前防灾避险。</w:t>
      </w:r>
      <w:r>
        <w:rPr>
          <w:rFonts w:hint="eastAsia" w:ascii="仿宋" w:hAnsi="仿宋" w:eastAsia="仿宋" w:cs="仿宋"/>
          <w:b/>
          <w:bCs/>
          <w:sz w:val="32"/>
          <w:szCs w:val="32"/>
        </w:rPr>
        <w:t>六是</w:t>
      </w:r>
      <w:r>
        <w:rPr>
          <w:rFonts w:hint="eastAsia" w:ascii="仿宋" w:hAnsi="仿宋" w:eastAsia="仿宋" w:cs="仿宋"/>
          <w:sz w:val="32"/>
          <w:szCs w:val="32"/>
        </w:rPr>
        <w:t>牵头组建党员综合应急抢险突击队，吸收了应急管理、民政、水利、林业等部门55名党员，接受了市安全生产应急救援大队的理论和操作培训。</w:t>
      </w:r>
      <w:r>
        <w:rPr>
          <w:rFonts w:hint="eastAsia" w:ascii="仿宋" w:hAnsi="仿宋" w:eastAsia="仿宋" w:cs="仿宋"/>
          <w:b/>
          <w:bCs/>
          <w:sz w:val="32"/>
          <w:szCs w:val="32"/>
        </w:rPr>
        <w:t>七是</w:t>
      </w:r>
      <w:r>
        <w:rPr>
          <w:rFonts w:hint="eastAsia" w:ascii="仿宋" w:hAnsi="仿宋" w:eastAsia="仿宋" w:cs="仿宋"/>
          <w:sz w:val="32"/>
          <w:szCs w:val="32"/>
        </w:rPr>
        <w:t>组织全区50名灾情报送信息员开展业务培训，进一步夯实信息员灾情收集、判断和损失评估能力。</w:t>
      </w:r>
      <w:r>
        <w:rPr>
          <w:rFonts w:hint="eastAsia" w:ascii="仿宋" w:hAnsi="仿宋" w:eastAsia="仿宋" w:cs="仿宋"/>
          <w:b/>
          <w:bCs/>
          <w:sz w:val="32"/>
          <w:szCs w:val="32"/>
        </w:rPr>
        <w:t>八是</w:t>
      </w:r>
      <w:r>
        <w:rPr>
          <w:rFonts w:hint="eastAsia" w:ascii="仿宋" w:hAnsi="仿宋" w:eastAsia="仿宋" w:cs="仿宋"/>
          <w:sz w:val="32"/>
          <w:szCs w:val="32"/>
        </w:rPr>
        <w:t>摸底排查出2019-2020年全区38500人受灾人员冬春口粮、衣被、取暖等救助需求，与发改等部门协商储备帐篷、棉被等救灾物资。</w:t>
      </w:r>
      <w:r>
        <w:rPr>
          <w:rFonts w:hint="eastAsia" w:ascii="仿宋" w:hAnsi="仿宋" w:eastAsia="仿宋" w:cs="仿宋"/>
          <w:b/>
          <w:bCs/>
          <w:sz w:val="32"/>
          <w:szCs w:val="32"/>
        </w:rPr>
        <w:t>九是</w:t>
      </w:r>
      <w:r>
        <w:rPr>
          <w:rFonts w:hint="eastAsia" w:ascii="仿宋" w:hAnsi="仿宋" w:eastAsia="仿宋" w:cs="仿宋"/>
          <w:sz w:val="32"/>
          <w:szCs w:val="32"/>
        </w:rPr>
        <w:t>调查“7.23”“7.28”“9.11”洪灾灾情，统计上报洪灾直接经济损失1.36亿元，紧急转移安置受灾人员3369人。</w:t>
      </w:r>
    </w:p>
    <w:p>
      <w:pPr>
        <w:pStyle w:val="3"/>
        <w:rPr>
          <w:rStyle w:val="23"/>
          <w:rFonts w:ascii="仿宋" w:hAnsi="仿宋" w:eastAsia="仿宋" w:cs="仿宋"/>
          <w:b w:val="0"/>
          <w:bCs w:val="0"/>
        </w:rPr>
      </w:pPr>
      <w:bookmarkStart w:id="18" w:name="_Toc15377200"/>
      <w:bookmarkStart w:id="19" w:name="_Toc15396601"/>
      <w:r>
        <w:rPr>
          <w:rFonts w:hint="eastAsia" w:ascii="仿宋" w:hAnsi="仿宋" w:eastAsia="仿宋" w:cs="仿宋"/>
          <w:color w:val="000000"/>
        </w:rPr>
        <w:t>二、机</w:t>
      </w:r>
      <w:r>
        <w:rPr>
          <w:rStyle w:val="23"/>
          <w:rFonts w:hint="eastAsia" w:ascii="仿宋" w:hAnsi="仿宋" w:eastAsia="仿宋" w:cs="仿宋"/>
          <w:b w:val="0"/>
          <w:bCs w:val="0"/>
        </w:rPr>
        <w:t>构设置</w:t>
      </w:r>
      <w:bookmarkEnd w:id="18"/>
      <w:bookmarkEnd w:id="19"/>
    </w:p>
    <w:p>
      <w:pPr>
        <w:ind w:firstLine="800" w:firstLineChars="250"/>
        <w:rPr>
          <w:rFonts w:ascii="仿宋" w:hAnsi="仿宋" w:eastAsia="仿宋" w:cs="仿宋"/>
          <w:sz w:val="32"/>
          <w:szCs w:val="32"/>
        </w:rPr>
      </w:pPr>
      <w:r>
        <w:rPr>
          <w:rFonts w:hint="eastAsia" w:ascii="仿宋" w:hAnsi="仿宋" w:eastAsia="仿宋" w:cs="仿宋"/>
          <w:sz w:val="32"/>
          <w:szCs w:val="32"/>
        </w:rPr>
        <w:t>区应急局下属二级单位6个，参照公务员法管理的事业单位</w:t>
      </w:r>
      <w:r>
        <w:rPr>
          <w:rFonts w:hint="eastAsia" w:ascii="仿宋" w:hAnsi="仿宋" w:eastAsia="仿宋" w:cs="仿宋"/>
          <w:bCs/>
          <w:sz w:val="32"/>
          <w:szCs w:val="32"/>
        </w:rPr>
        <w:t>2</w:t>
      </w:r>
      <w:r>
        <w:rPr>
          <w:rFonts w:hint="eastAsia" w:ascii="仿宋" w:hAnsi="仿宋" w:eastAsia="仿宋" w:cs="仿宋"/>
          <w:sz w:val="32"/>
          <w:szCs w:val="32"/>
        </w:rPr>
        <w:t>个，其他事业单位4个。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纳入2019年度部门决算编制范围的二级预算单位包括：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参照公务员法管理的事业单位</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其他事业单位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r>
        <w:rPr>
          <w:rFonts w:hint="eastAsia" w:ascii="黑体" w:hAnsi="黑体" w:eastAsia="黑体"/>
          <w:b w:val="0"/>
          <w:color w:val="000000"/>
        </w:rPr>
        <w:t>第二部分</w:t>
      </w:r>
      <w:r>
        <w:rPr>
          <w:rStyle w:val="25"/>
          <w:rFonts w:hint="eastAsia" w:ascii="黑体" w:hAnsi="黑体" w:eastAsia="黑体"/>
          <w:b w:val="0"/>
          <w:bCs w:val="0"/>
        </w:rPr>
        <w:t>2019年度部门决算情况说明</w:t>
      </w:r>
    </w:p>
    <w:p/>
    <w:p>
      <w:pPr>
        <w:pStyle w:val="26"/>
        <w:numPr>
          <w:ilvl w:val="0"/>
          <w:numId w:val="2"/>
        </w:numPr>
        <w:spacing w:line="600" w:lineRule="exact"/>
        <w:ind w:firstLineChars="0"/>
        <w:outlineLvl w:val="1"/>
        <w:rPr>
          <w:rStyle w:val="23"/>
          <w:rFonts w:ascii="黑体" w:hAnsi="黑体" w:eastAsia="黑体"/>
          <w:b w:val="0"/>
        </w:rPr>
      </w:pPr>
      <w:bookmarkStart w:id="20" w:name="_Toc15377205"/>
      <w:bookmarkStart w:id="21" w:name="_Toc15396603"/>
      <w:r>
        <w:rPr>
          <w:rFonts w:hint="eastAsia" w:ascii="黑体" w:hAnsi="黑体" w:eastAsia="黑体"/>
          <w:color w:val="000000"/>
          <w:sz w:val="32"/>
          <w:szCs w:val="32"/>
        </w:rPr>
        <w:t>收</w:t>
      </w:r>
      <w:r>
        <w:rPr>
          <w:rStyle w:val="23"/>
          <w:rFonts w:hint="eastAsia" w:ascii="黑体" w:hAnsi="黑体" w:eastAsia="黑体"/>
        </w:rPr>
        <w:t>入支出决算总体情况说明</w:t>
      </w:r>
      <w:bookmarkEnd w:id="20"/>
      <w:bookmarkEnd w:id="2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2019年度收入1579.87万元、总计1247.68万元。与2018年相比，原应急办、原安监局、原煤管局共计收入1405.68万元、</w:t>
      </w:r>
      <w:r>
        <w:rPr>
          <w:rFonts w:hint="eastAsia" w:ascii="仿宋" w:hAnsi="仿宋" w:eastAsia="仿宋"/>
          <w:color w:val="000000" w:themeColor="text1"/>
          <w:sz w:val="32"/>
          <w:szCs w:val="32"/>
        </w:rPr>
        <w:t>总计</w:t>
      </w:r>
      <w:r>
        <w:rPr>
          <w:rFonts w:hint="eastAsia" w:ascii="仿宋" w:hAnsi="仿宋" w:eastAsia="仿宋"/>
          <w:color w:val="000000"/>
          <w:sz w:val="32"/>
          <w:szCs w:val="32"/>
        </w:rPr>
        <w:t>2101.20万元，收入增加174.18万元，支出下降853.52万元。主要变动原因：1、因单位机构改革合并，其它单位的职责职能划转至应急局，一部份项目资金也随之划转。2、原应急办8人只调转4人到应急局，一部分项目资金划转到区政府办。</w:t>
      </w:r>
    </w:p>
    <w:p>
      <w:pPr>
        <w:spacing w:line="600" w:lineRule="exact"/>
        <w:ind w:firstLine="640" w:firstLineChars="200"/>
        <w:rPr>
          <w:rFonts w:ascii="仿宋" w:hAnsi="仿宋" w:eastAsia="仿宋"/>
          <w:color w:val="000000" w:themeColor="text1"/>
          <w:sz w:val="32"/>
          <w:szCs w:val="32"/>
        </w:rPr>
      </w:pPr>
      <w:bookmarkStart w:id="22" w:name="_Toc15396602"/>
      <w:bookmarkStart w:id="23" w:name="_Toc15377204"/>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bookmarkEnd w:id="22"/>
    <w:bookmarkEnd w:id="23"/>
    <w:p>
      <w:pPr>
        <w:rPr>
          <w:rFonts w:ascii="黑体" w:eastAsia="黑体"/>
          <w:color w:val="000000"/>
          <w:sz w:val="32"/>
          <w:szCs w:val="32"/>
        </w:rPr>
      </w:pPr>
    </w:p>
    <w:p>
      <w:pPr>
        <w:ind w:firstLine="640"/>
        <w:rPr>
          <w:rFonts w:ascii="仿宋_GB2312" w:eastAsia="仿宋_GB2312"/>
          <w:color w:val="000000"/>
          <w:sz w:val="32"/>
          <w:szCs w:val="32"/>
        </w:rPr>
      </w:pPr>
      <w:r>
        <w:rPr>
          <w:rFonts w:ascii="仿宋_GB2312" w:eastAsia="仿宋_GB2312"/>
          <w:color w:val="000000"/>
          <w:sz w:val="32"/>
          <w:szCs w:val="32"/>
        </w:rPr>
        <w:drawing>
          <wp:inline distT="0" distB="0" distL="0" distR="0">
            <wp:extent cx="4800600" cy="2181225"/>
            <wp:effectExtent l="4445" t="4445" r="14605" b="508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6"/>
        <w:numPr>
          <w:ilvl w:val="0"/>
          <w:numId w:val="2"/>
        </w:numPr>
        <w:spacing w:line="600" w:lineRule="exact"/>
        <w:ind w:firstLineChars="0"/>
        <w:outlineLvl w:val="1"/>
        <w:rPr>
          <w:rStyle w:val="23"/>
          <w:rFonts w:ascii="黑体" w:hAnsi="黑体" w:eastAsia="黑体"/>
          <w:b w:val="0"/>
        </w:rPr>
      </w:pPr>
      <w:bookmarkStart w:id="24" w:name="_Toc15396604"/>
      <w:bookmarkStart w:id="25" w:name="_Toc15377206"/>
      <w:r>
        <w:rPr>
          <w:rFonts w:hint="eastAsia" w:ascii="黑体" w:hAnsi="黑体" w:eastAsia="黑体"/>
          <w:color w:val="000000"/>
          <w:sz w:val="32"/>
          <w:szCs w:val="32"/>
        </w:rPr>
        <w:t>收</w:t>
      </w:r>
      <w:r>
        <w:rPr>
          <w:rStyle w:val="23"/>
          <w:rFonts w:hint="eastAsia" w:ascii="黑体" w:hAnsi="黑体" w:eastAsia="黑体"/>
        </w:rPr>
        <w:t>入决算情况说明</w:t>
      </w:r>
      <w:bookmarkEnd w:id="24"/>
      <w:bookmarkEnd w:id="2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9年本年收入合计1579.87万元，其中：一般公共预算财政拨款收入1579.87万元，占100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；政府性基金预算财政拨款收入零万元，占0%；</w:t>
      </w:r>
      <w:r>
        <w:rPr>
          <w:rFonts w:hint="eastAsia" w:ascii="仿宋" w:hAnsi="仿宋" w:eastAsia="仿宋"/>
          <w:color w:val="000000" w:themeColor="text1"/>
          <w:sz w:val="32"/>
          <w:szCs w:val="32"/>
        </w:rPr>
        <w:t>上级补助收入零</w:t>
      </w:r>
      <w:r>
        <w:rPr>
          <w:rFonts w:hint="eastAsia" w:ascii="仿宋" w:hAnsi="仿宋" w:eastAsia="仿宋"/>
          <w:color w:val="000000"/>
          <w:sz w:val="32"/>
          <w:szCs w:val="32"/>
        </w:rPr>
        <w:t>万元，占0%；事业收入零万元，占0%；经营收入零万元，占0%；附属单位上缴收入零万元，占0%；其他收入零万元，占0%。</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rPr>
          <w:rFonts w:ascii="仿宋_GB2312" w:eastAsia="仿宋_GB2312"/>
          <w:color w:val="000000"/>
          <w:sz w:val="32"/>
          <w:szCs w:val="32"/>
        </w:rPr>
      </w:pPr>
    </w:p>
    <w:p>
      <w:pPr>
        <w:ind w:firstLine="640" w:firstLineChars="200"/>
        <w:rPr>
          <w:rFonts w:ascii="仿宋_GB2312" w:eastAsia="仿宋_GB2312"/>
          <w:color w:val="000000"/>
          <w:sz w:val="32"/>
          <w:szCs w:val="32"/>
        </w:rPr>
      </w:pPr>
      <w:r>
        <w:rPr>
          <w:rFonts w:ascii="仿宋_GB2312" w:eastAsia="仿宋_GB2312"/>
          <w:color w:val="000000"/>
          <w:sz w:val="32"/>
          <w:szCs w:val="32"/>
        </w:rPr>
        <w:drawing>
          <wp:inline distT="0" distB="0" distL="0" distR="0">
            <wp:extent cx="4410075" cy="2185670"/>
            <wp:effectExtent l="4445" t="5080" r="5080" b="19050"/>
            <wp:docPr id="2" name="对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6"/>
        <w:numPr>
          <w:ilvl w:val="0"/>
          <w:numId w:val="2"/>
        </w:numPr>
        <w:spacing w:line="480" w:lineRule="exact"/>
        <w:ind w:firstLineChars="0"/>
        <w:outlineLvl w:val="1"/>
        <w:rPr>
          <w:rStyle w:val="23"/>
          <w:rFonts w:ascii="黑体" w:hAnsi="黑体" w:eastAsia="黑体"/>
          <w:b w:val="0"/>
        </w:rPr>
      </w:pPr>
      <w:bookmarkStart w:id="26" w:name="_Toc15396605"/>
      <w:bookmarkStart w:id="27" w:name="_Toc15377207"/>
      <w:r>
        <w:rPr>
          <w:rFonts w:hint="eastAsia" w:ascii="黑体" w:hAnsi="黑体" w:eastAsia="黑体"/>
          <w:color w:val="000000"/>
          <w:sz w:val="32"/>
          <w:szCs w:val="32"/>
        </w:rPr>
        <w:t>支</w:t>
      </w:r>
      <w:r>
        <w:rPr>
          <w:rStyle w:val="23"/>
          <w:rFonts w:hint="eastAsia" w:ascii="黑体" w:hAnsi="黑体" w:eastAsia="黑体"/>
        </w:rPr>
        <w:t>出决算情况说明</w:t>
      </w:r>
      <w:bookmarkEnd w:id="26"/>
      <w:bookmarkEnd w:id="27"/>
    </w:p>
    <w:p>
      <w:pPr>
        <w:spacing w:line="48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9年本年支出合计1247.68万元，其中：基本支出977.97万元，占78.38</w:t>
      </w:r>
      <w:r>
        <w:rPr>
          <w:rFonts w:ascii="仿宋" w:hAnsi="仿宋" w:eastAsia="仿宋"/>
          <w:color w:val="000000"/>
          <w:sz w:val="32"/>
          <w:szCs w:val="32"/>
        </w:rPr>
        <w:t>%</w:t>
      </w:r>
      <w:r>
        <w:rPr>
          <w:rFonts w:hint="eastAsia" w:ascii="仿宋" w:hAnsi="仿宋" w:eastAsia="仿宋"/>
          <w:color w:val="000000"/>
          <w:sz w:val="32"/>
          <w:szCs w:val="32"/>
        </w:rPr>
        <w:t>；项目支出269.71万元，占21.62</w:t>
      </w:r>
      <w:r>
        <w:rPr>
          <w:rFonts w:ascii="仿宋" w:hAnsi="仿宋" w:eastAsia="仿宋"/>
          <w:color w:val="000000"/>
          <w:sz w:val="32"/>
          <w:szCs w:val="32"/>
        </w:rPr>
        <w:t>%</w:t>
      </w:r>
      <w:r>
        <w:rPr>
          <w:rFonts w:hint="eastAsia" w:ascii="仿宋" w:hAnsi="仿宋" w:eastAsia="仿宋"/>
          <w:color w:val="000000"/>
          <w:sz w:val="32"/>
          <w:szCs w:val="32"/>
        </w:rPr>
        <w:t>；上缴上级支出零万元，占0%；经营支出零万元，占0%；对附属单位补助支出零万元，占0%。</w:t>
      </w:r>
    </w:p>
    <w:p>
      <w:pPr>
        <w:spacing w:line="4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rPr>
          <w:rFonts w:ascii="仿宋_GB2312" w:eastAsia="仿宋_GB2312"/>
          <w:color w:val="000000"/>
          <w:sz w:val="32"/>
          <w:szCs w:val="32"/>
        </w:rPr>
      </w:pPr>
      <w:r>
        <w:rPr>
          <w:rFonts w:ascii="仿宋_GB2312" w:eastAsia="仿宋_GB2312"/>
          <w:color w:val="000000"/>
          <w:sz w:val="32"/>
          <w:szCs w:val="32"/>
        </w:rPr>
        <w:drawing>
          <wp:inline distT="0" distB="0" distL="0" distR="0">
            <wp:extent cx="4410075" cy="2695575"/>
            <wp:effectExtent l="19050" t="0" r="9525" b="0"/>
            <wp:docPr id="14" name="对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3"/>
          <w:rFonts w:ascii="黑体" w:hAnsi="黑体" w:eastAsia="黑体"/>
          <w:b w:val="0"/>
        </w:rPr>
      </w:pPr>
      <w:bookmarkStart w:id="28" w:name="_Toc15377208"/>
      <w:bookmarkStart w:id="29" w:name="_Toc15396606"/>
      <w:r>
        <w:rPr>
          <w:rFonts w:hint="eastAsia" w:ascii="黑体" w:hAnsi="黑体" w:eastAsia="黑体"/>
          <w:color w:val="000000"/>
          <w:sz w:val="32"/>
          <w:szCs w:val="32"/>
        </w:rPr>
        <w:t>四、财</w:t>
      </w:r>
      <w:r>
        <w:rPr>
          <w:rStyle w:val="23"/>
          <w:rFonts w:hint="eastAsia" w:ascii="黑体" w:hAnsi="黑体" w:eastAsia="黑体"/>
        </w:rPr>
        <w:t>政拨款收入支出决算总体情况说明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9年财政拨款收、支总计2827.54万元。与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8年相比，财政拨款收、支总计各减少679.33万元，下降19.37</w:t>
      </w:r>
      <w:r>
        <w:rPr>
          <w:rFonts w:ascii="仿宋" w:hAnsi="仿宋" w:eastAsia="仿宋"/>
          <w:color w:val="000000"/>
          <w:sz w:val="32"/>
          <w:szCs w:val="32"/>
        </w:rPr>
        <w:t>%</w:t>
      </w:r>
      <w:r>
        <w:rPr>
          <w:rFonts w:hint="eastAsia" w:ascii="仿宋" w:hAnsi="仿宋" w:eastAsia="仿宋"/>
          <w:color w:val="000000"/>
          <w:sz w:val="32"/>
          <w:szCs w:val="32"/>
        </w:rPr>
        <w:t>。主要变动原因：1、因单位机构改革合并，其它单位的职责职能划转至应急局，一部份项目资金也随之划转。2、原应急办8人只调转4人到应急局，一部分项目资金划转到区政府办。</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ind w:firstLine="640" w:firstLineChars="200"/>
        <w:rPr>
          <w:rFonts w:ascii="仿宋_GB2312" w:eastAsia="仿宋_GB2312"/>
          <w:color w:val="000000"/>
          <w:sz w:val="32"/>
          <w:szCs w:val="32"/>
        </w:rPr>
      </w:pPr>
      <w:r>
        <w:rPr>
          <w:rFonts w:ascii="仿宋_GB2312" w:eastAsia="仿宋_GB2312"/>
          <w:color w:val="000000"/>
          <w:sz w:val="32"/>
          <w:szCs w:val="32"/>
        </w:rPr>
        <w:drawing>
          <wp:inline distT="0" distB="0" distL="0" distR="0">
            <wp:extent cx="4800600" cy="2181225"/>
            <wp:effectExtent l="19050" t="0" r="1905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3"/>
          <w:rFonts w:ascii="黑体" w:hAnsi="黑体" w:eastAsia="黑体"/>
          <w:b w:val="0"/>
        </w:rPr>
      </w:pPr>
      <w:bookmarkStart w:id="30" w:name="_Toc15396607"/>
      <w:bookmarkStart w:id="3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3"/>
          <w:rFonts w:hint="eastAsia" w:ascii="黑体" w:hAnsi="黑体" w:eastAsia="黑体"/>
        </w:rPr>
        <w:t>般公共预算财政拨款支出决算情况说明</w:t>
      </w:r>
      <w:bookmarkEnd w:id="30"/>
      <w:bookmarkEnd w:id="31"/>
    </w:p>
    <w:p>
      <w:pPr>
        <w:spacing w:line="600" w:lineRule="exact"/>
        <w:ind w:firstLine="642"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9年一般公共预算财政拨款支出1247.68万元，占本年支出合计的100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8年相比，一般公共预算财政拨款减少853.52万元，下降40.62</w:t>
      </w:r>
      <w:r>
        <w:rPr>
          <w:rFonts w:ascii="仿宋" w:hAnsi="仿宋" w:eastAsia="仿宋"/>
          <w:color w:val="000000"/>
          <w:sz w:val="32"/>
          <w:szCs w:val="32"/>
        </w:rPr>
        <w:t>%</w:t>
      </w:r>
      <w:r>
        <w:rPr>
          <w:rFonts w:hint="eastAsia" w:ascii="仿宋" w:hAnsi="仿宋" w:eastAsia="仿宋"/>
          <w:color w:val="000000"/>
          <w:sz w:val="32"/>
          <w:szCs w:val="32"/>
        </w:rPr>
        <w:t>。主要变动原因是：1、因单位机构改革合并，其它单位的职责职能划转至应急局，一部份项目资金也随之划转。2、原应急办8人只调转4人到应急局，一部分项目资金划转到区政府办。</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rPr>
          <w:rFonts w:ascii="黑体" w:eastAsia="黑体"/>
          <w:sz w:val="32"/>
          <w:szCs w:val="32"/>
        </w:rPr>
      </w:pPr>
    </w:p>
    <w:p>
      <w:pPr>
        <w:ind w:firstLine="640" w:firstLineChars="200"/>
        <w:rPr>
          <w:rFonts w:ascii="仿宋_GB2312" w:eastAsia="仿宋_GB2312"/>
          <w:color w:val="FF0000"/>
          <w:sz w:val="32"/>
          <w:szCs w:val="32"/>
        </w:rPr>
      </w:pPr>
      <w:r>
        <w:rPr>
          <w:rFonts w:ascii="仿宋_GB2312" w:eastAsia="仿宋_GB2312"/>
          <w:color w:val="FF0000"/>
          <w:sz w:val="32"/>
          <w:szCs w:val="32"/>
        </w:rPr>
        <w:drawing>
          <wp:inline distT="0" distB="0" distL="0" distR="0">
            <wp:extent cx="5343525" cy="3095625"/>
            <wp:effectExtent l="0" t="0" r="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0" w:firstLineChars="200"/>
        <w:rPr>
          <w:rFonts w:ascii="仿宋_GB2312" w:eastAsia="仿宋_GB2312"/>
          <w:sz w:val="32"/>
          <w:szCs w:val="32"/>
        </w:rPr>
      </w:pPr>
      <w:r>
        <w:rPr>
          <w:rFonts w:hint="eastAsia" w:ascii="仿宋_GB2312" w:eastAsia="仿宋_GB2312"/>
          <w:sz w:val="32"/>
          <w:szCs w:val="32"/>
        </w:rPr>
        <w:t>（二）一般公共预算财政拨款支出决算结构情况</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9年一般公共预算财政拨款支出1247.68万元，主要用于以下方面</w:t>
      </w:r>
      <w:r>
        <w:rPr>
          <w:rFonts w:ascii="仿宋_GB2312" w:eastAsia="仿宋_GB2312"/>
          <w:sz w:val="32"/>
          <w:szCs w:val="32"/>
        </w:rPr>
        <w:t>:</w:t>
      </w:r>
      <w:r>
        <w:rPr>
          <w:rFonts w:hint="eastAsia" w:ascii="仿宋_GB2312" w:eastAsia="仿宋_GB2312"/>
          <w:sz w:val="32"/>
          <w:szCs w:val="32"/>
        </w:rPr>
        <w:t>社会保障和就业支出84.63万元，占6.78</w:t>
      </w:r>
      <w:r>
        <w:rPr>
          <w:rFonts w:ascii="仿宋_GB2312" w:eastAsia="仿宋_GB2312"/>
          <w:sz w:val="32"/>
          <w:szCs w:val="32"/>
        </w:rPr>
        <w:t>%</w:t>
      </w:r>
      <w:r>
        <w:rPr>
          <w:rFonts w:hint="eastAsia" w:ascii="仿宋_GB2312" w:eastAsia="仿宋_GB2312"/>
          <w:sz w:val="32"/>
          <w:szCs w:val="32"/>
        </w:rPr>
        <w:t>；医疗卫生支出33.44万元，占2.68</w:t>
      </w:r>
      <w:r>
        <w:rPr>
          <w:rFonts w:ascii="仿宋_GB2312" w:eastAsia="仿宋_GB2312"/>
          <w:sz w:val="32"/>
          <w:szCs w:val="32"/>
        </w:rPr>
        <w:t>%</w:t>
      </w:r>
      <w:r>
        <w:rPr>
          <w:rFonts w:hint="eastAsia" w:ascii="仿宋_GB2312" w:eastAsia="仿宋_GB2312"/>
          <w:sz w:val="32"/>
          <w:szCs w:val="32"/>
        </w:rPr>
        <w:t>；住房保障支出51.02万元，占4.09</w:t>
      </w:r>
      <w:r>
        <w:rPr>
          <w:rFonts w:ascii="仿宋_GB2312" w:eastAsia="仿宋_GB2312"/>
          <w:sz w:val="32"/>
          <w:szCs w:val="32"/>
        </w:rPr>
        <w:t>%</w:t>
      </w:r>
      <w:r>
        <w:rPr>
          <w:rFonts w:hint="eastAsia" w:ascii="仿宋_GB2312" w:eastAsia="仿宋_GB2312"/>
          <w:sz w:val="32"/>
          <w:szCs w:val="32"/>
        </w:rPr>
        <w:t>；农林水支出3万元，占0.24</w:t>
      </w:r>
      <w:r>
        <w:rPr>
          <w:rFonts w:ascii="仿宋_GB2312" w:eastAsia="仿宋_GB2312"/>
          <w:sz w:val="32"/>
          <w:szCs w:val="32"/>
        </w:rPr>
        <w:t>%</w:t>
      </w:r>
      <w:r>
        <w:rPr>
          <w:rFonts w:hint="eastAsia" w:ascii="仿宋_GB2312" w:eastAsia="仿宋_GB2312"/>
          <w:sz w:val="32"/>
          <w:szCs w:val="32"/>
        </w:rPr>
        <w:t>；灾害防治及应急管理支出1075.60万元，占86.21%</w:t>
      </w:r>
    </w:p>
    <w:p>
      <w:pPr>
        <w:ind w:firstLine="640"/>
        <w:rPr>
          <w:rFonts w:ascii="仿宋_GB2312" w:eastAsia="仿宋_GB2312"/>
          <w:color w:val="000000"/>
          <w:sz w:val="32"/>
          <w:szCs w:val="32"/>
        </w:rPr>
      </w:pPr>
      <w:r>
        <w:rPr>
          <w:rFonts w:ascii="仿宋_GB2312" w:eastAsia="仿宋_GB2312"/>
          <w:color w:val="000000"/>
          <w:sz w:val="32"/>
          <w:szCs w:val="32"/>
        </w:rPr>
        <w:drawing>
          <wp:inline distT="0" distB="0" distL="0" distR="0">
            <wp:extent cx="4133850" cy="2105025"/>
            <wp:effectExtent l="19050" t="0" r="19050" b="0"/>
            <wp:docPr id="5" name="对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（三）一般公共预算财政拨款支出决算具体情况</w:t>
      </w:r>
    </w:p>
    <w:p>
      <w:pPr>
        <w:ind w:firstLine="642" w:firstLineChars="200"/>
        <w:rPr>
          <w:rStyle w:val="16"/>
          <w:rFonts w:ascii="仿宋_GB2312" w:eastAsia="仿宋_GB2312"/>
          <w:b w:val="0"/>
          <w:bCs/>
          <w:color w:val="000000"/>
          <w:sz w:val="32"/>
          <w:szCs w:val="32"/>
        </w:rPr>
      </w:pPr>
      <w:r>
        <w:rPr>
          <w:rStyle w:val="16"/>
          <w:rFonts w:ascii="仿宋_GB2312" w:eastAsia="仿宋_GB2312"/>
          <w:bCs/>
          <w:color w:val="000000"/>
          <w:sz w:val="32"/>
          <w:szCs w:val="32"/>
        </w:rPr>
        <w:t>1.</w:t>
      </w:r>
      <w:r>
        <w:rPr>
          <w:rStyle w:val="16"/>
          <w:rFonts w:hint="eastAsia" w:ascii="仿宋_GB2312" w:eastAsia="仿宋_GB2312"/>
          <w:bCs/>
          <w:color w:val="000000"/>
          <w:sz w:val="32"/>
          <w:szCs w:val="32"/>
        </w:rPr>
        <w:t>一般公共服务（类）221（款）0101（项）</w:t>
      </w:r>
      <w:r>
        <w:rPr>
          <w:rStyle w:val="16"/>
          <w:rFonts w:ascii="仿宋_GB2312" w:eastAsia="仿宋_GB2312"/>
          <w:bCs/>
          <w:color w:val="000000"/>
          <w:sz w:val="32"/>
          <w:szCs w:val="32"/>
        </w:rPr>
        <w:t>:</w:t>
      </w:r>
      <w:r>
        <w:rPr>
          <w:rStyle w:val="16"/>
          <w:rFonts w:hint="eastAsia" w:ascii="仿宋_GB2312" w:eastAsia="仿宋_GB2312"/>
          <w:b w:val="0"/>
          <w:bCs/>
          <w:color w:val="000000"/>
          <w:sz w:val="32"/>
          <w:szCs w:val="32"/>
        </w:rPr>
        <w:t>支出决算为1247.68万元，超完成预算142.91</w:t>
      </w:r>
      <w:r>
        <w:rPr>
          <w:rStyle w:val="16"/>
          <w:rFonts w:ascii="仿宋_GB2312" w:eastAsia="仿宋_GB2312"/>
          <w:b w:val="0"/>
          <w:bCs/>
          <w:color w:val="000000"/>
          <w:sz w:val="32"/>
          <w:szCs w:val="32"/>
        </w:rPr>
        <w:t>%</w:t>
      </w:r>
      <w:r>
        <w:rPr>
          <w:rStyle w:val="16"/>
          <w:rFonts w:hint="eastAsia" w:ascii="仿宋_GB2312" w:eastAsia="仿宋_GB2312"/>
          <w:b w:val="0"/>
          <w:bCs/>
          <w:color w:val="000000"/>
          <w:sz w:val="32"/>
          <w:szCs w:val="32"/>
        </w:rPr>
        <w:t>。</w:t>
      </w:r>
    </w:p>
    <w:p>
      <w:pPr>
        <w:ind w:firstLine="642" w:firstLineChars="200"/>
        <w:rPr>
          <w:rFonts w:ascii="仿宋_GB2312" w:eastAsia="仿宋_GB2312"/>
          <w:b/>
          <w:color w:val="000000"/>
          <w:sz w:val="32"/>
          <w:szCs w:val="32"/>
        </w:rPr>
      </w:pPr>
      <w:r>
        <w:rPr>
          <w:rStyle w:val="16"/>
          <w:rFonts w:ascii="仿宋_GB2312" w:eastAsia="仿宋_GB2312"/>
          <w:bCs/>
          <w:color w:val="000000"/>
          <w:sz w:val="32"/>
          <w:szCs w:val="32"/>
        </w:rPr>
        <w:t>2.</w:t>
      </w:r>
      <w:r>
        <w:rPr>
          <w:rStyle w:val="16"/>
          <w:rFonts w:hint="eastAsia" w:ascii="仿宋_GB2312" w:eastAsia="仿宋_GB2312"/>
          <w:bCs/>
          <w:color w:val="000000"/>
          <w:sz w:val="32"/>
          <w:szCs w:val="32"/>
        </w:rPr>
        <w:t>社会保障和就业</w:t>
      </w:r>
      <w:r>
        <w:rPr>
          <w:rStyle w:val="16"/>
          <w:rFonts w:ascii="仿宋_GB2312" w:eastAsia="仿宋_GB2312"/>
          <w:bCs/>
          <w:color w:val="000000"/>
          <w:sz w:val="32"/>
          <w:szCs w:val="32"/>
        </w:rPr>
        <w:t>2080505:</w:t>
      </w:r>
      <w:r>
        <w:rPr>
          <w:rStyle w:val="16"/>
          <w:rFonts w:hint="eastAsia" w:ascii="仿宋_GB2312" w:eastAsia="仿宋_GB2312"/>
          <w:b w:val="0"/>
          <w:bCs/>
          <w:color w:val="000000"/>
          <w:sz w:val="32"/>
          <w:szCs w:val="32"/>
        </w:rPr>
        <w:t xml:space="preserve">支出决算为84.63万元，完成预算100 </w:t>
      </w:r>
      <w:r>
        <w:rPr>
          <w:rStyle w:val="16"/>
          <w:rFonts w:ascii="仿宋_GB2312" w:eastAsia="仿宋_GB2312"/>
          <w:b w:val="0"/>
          <w:bCs/>
          <w:color w:val="000000"/>
          <w:sz w:val="32"/>
          <w:szCs w:val="32"/>
        </w:rPr>
        <w:t>%</w:t>
      </w:r>
      <w:r>
        <w:rPr>
          <w:rStyle w:val="16"/>
          <w:rFonts w:hint="eastAsia" w:ascii="仿宋_GB2312" w:eastAsia="仿宋_GB2312"/>
          <w:b w:val="0"/>
          <w:bCs/>
          <w:color w:val="000000"/>
          <w:sz w:val="32"/>
          <w:szCs w:val="32"/>
        </w:rPr>
        <w:t>。</w:t>
      </w:r>
    </w:p>
    <w:p>
      <w:pPr>
        <w:ind w:firstLine="642" w:firstLineChars="200"/>
        <w:rPr>
          <w:rStyle w:val="16"/>
          <w:rFonts w:ascii="仿宋_GB2312" w:eastAsia="仿宋_GB2312"/>
          <w:b w:val="0"/>
          <w:bCs/>
          <w:color w:val="000000"/>
          <w:sz w:val="32"/>
          <w:szCs w:val="32"/>
        </w:rPr>
      </w:pPr>
      <w:r>
        <w:rPr>
          <w:rStyle w:val="16"/>
          <w:rFonts w:ascii="仿宋_GB2312" w:eastAsia="仿宋_GB2312"/>
          <w:bCs/>
          <w:color w:val="000000"/>
          <w:sz w:val="32"/>
          <w:szCs w:val="32"/>
        </w:rPr>
        <w:t>3.</w:t>
      </w:r>
      <w:r>
        <w:rPr>
          <w:rStyle w:val="16"/>
          <w:rFonts w:hint="eastAsia" w:ascii="仿宋_GB2312" w:eastAsia="仿宋_GB2312"/>
          <w:bCs/>
          <w:color w:val="000000"/>
          <w:sz w:val="32"/>
          <w:szCs w:val="32"/>
        </w:rPr>
        <w:t>医疗卫生与计划生育</w:t>
      </w:r>
      <w:r>
        <w:rPr>
          <w:rStyle w:val="16"/>
          <w:rFonts w:ascii="仿宋_GB2312" w:eastAsia="仿宋_GB2312"/>
          <w:bCs/>
          <w:color w:val="000000"/>
          <w:sz w:val="32"/>
          <w:szCs w:val="32"/>
        </w:rPr>
        <w:t>2101102:</w:t>
      </w:r>
      <w:r>
        <w:rPr>
          <w:rStyle w:val="16"/>
          <w:rFonts w:hint="eastAsia" w:ascii="仿宋_GB2312" w:eastAsia="仿宋_GB2312"/>
          <w:b w:val="0"/>
          <w:bCs/>
          <w:color w:val="000000"/>
          <w:sz w:val="32"/>
          <w:szCs w:val="32"/>
        </w:rPr>
        <w:t>支出决算为33.44万元，完成预算100</w:t>
      </w:r>
      <w:r>
        <w:rPr>
          <w:rStyle w:val="16"/>
          <w:rFonts w:ascii="仿宋_GB2312" w:eastAsia="仿宋_GB2312"/>
          <w:b w:val="0"/>
          <w:bCs/>
          <w:color w:val="000000"/>
          <w:sz w:val="32"/>
          <w:szCs w:val="32"/>
        </w:rPr>
        <w:t>%</w:t>
      </w:r>
      <w:r>
        <w:rPr>
          <w:rStyle w:val="16"/>
          <w:rFonts w:hint="eastAsia" w:ascii="仿宋_GB2312" w:eastAsia="仿宋_GB2312"/>
          <w:b w:val="0"/>
          <w:bCs/>
          <w:color w:val="000000"/>
          <w:sz w:val="32"/>
          <w:szCs w:val="32"/>
        </w:rPr>
        <w:t>。</w:t>
      </w:r>
    </w:p>
    <w:p>
      <w:pPr>
        <w:ind w:firstLine="642" w:firstLineChars="200"/>
        <w:rPr>
          <w:rStyle w:val="16"/>
          <w:rFonts w:ascii="仿宋_GB2312" w:eastAsia="仿宋_GB2312"/>
          <w:b w:val="0"/>
          <w:bCs/>
          <w:color w:val="000000"/>
          <w:sz w:val="32"/>
          <w:szCs w:val="32"/>
        </w:rPr>
      </w:pPr>
      <w:r>
        <w:rPr>
          <w:rStyle w:val="16"/>
          <w:rFonts w:ascii="仿宋_GB2312" w:eastAsia="仿宋_GB2312"/>
          <w:bCs/>
          <w:color w:val="000000"/>
          <w:sz w:val="32"/>
          <w:szCs w:val="32"/>
        </w:rPr>
        <w:t xml:space="preserve">4. </w:t>
      </w:r>
      <w:r>
        <w:rPr>
          <w:rStyle w:val="16"/>
          <w:rFonts w:hint="eastAsia" w:ascii="仿宋_GB2312" w:eastAsia="仿宋_GB2312"/>
          <w:bCs/>
          <w:color w:val="000000"/>
          <w:sz w:val="32"/>
          <w:szCs w:val="32"/>
        </w:rPr>
        <w:t>农林水</w:t>
      </w:r>
      <w:r>
        <w:rPr>
          <w:rStyle w:val="16"/>
          <w:rFonts w:ascii="仿宋_GB2312" w:eastAsia="仿宋_GB2312"/>
          <w:bCs/>
          <w:color w:val="000000"/>
          <w:sz w:val="32"/>
          <w:szCs w:val="32"/>
        </w:rPr>
        <w:t>2130599</w:t>
      </w:r>
      <w:r>
        <w:rPr>
          <w:rStyle w:val="16"/>
          <w:rFonts w:hint="eastAsia" w:ascii="仿宋_GB2312" w:eastAsia="仿宋_GB2312"/>
          <w:bCs/>
          <w:color w:val="000000"/>
          <w:sz w:val="32"/>
          <w:szCs w:val="32"/>
        </w:rPr>
        <w:t>：</w:t>
      </w:r>
      <w:r>
        <w:rPr>
          <w:rStyle w:val="16"/>
          <w:rFonts w:hint="eastAsia" w:ascii="仿宋_GB2312" w:eastAsia="仿宋_GB2312"/>
          <w:b w:val="0"/>
          <w:bCs/>
          <w:color w:val="000000"/>
          <w:sz w:val="32"/>
          <w:szCs w:val="32"/>
        </w:rPr>
        <w:t>支出决算为3万元，完成预算100</w:t>
      </w:r>
      <w:r>
        <w:rPr>
          <w:rStyle w:val="16"/>
          <w:rFonts w:ascii="仿宋_GB2312" w:eastAsia="仿宋_GB2312"/>
          <w:b w:val="0"/>
          <w:bCs/>
          <w:color w:val="000000"/>
          <w:sz w:val="32"/>
          <w:szCs w:val="32"/>
        </w:rPr>
        <w:t xml:space="preserve"> %</w:t>
      </w:r>
      <w:r>
        <w:rPr>
          <w:rStyle w:val="16"/>
          <w:rFonts w:hint="eastAsia" w:ascii="仿宋_GB2312" w:eastAsia="仿宋_GB2312"/>
          <w:b w:val="0"/>
          <w:bCs/>
          <w:color w:val="000000"/>
          <w:sz w:val="32"/>
          <w:szCs w:val="32"/>
        </w:rPr>
        <w:t>，</w:t>
      </w:r>
    </w:p>
    <w:p>
      <w:pPr>
        <w:ind w:firstLine="640"/>
        <w:rPr>
          <w:rFonts w:ascii="仿宋_GB2312" w:eastAsia="仿宋_GB2312"/>
          <w:sz w:val="32"/>
          <w:szCs w:val="32"/>
        </w:rPr>
      </w:pPr>
      <w:r>
        <w:rPr>
          <w:rStyle w:val="16"/>
          <w:rFonts w:ascii="仿宋_GB2312" w:eastAsia="仿宋_GB2312"/>
          <w:b w:val="0"/>
          <w:bCs/>
          <w:sz w:val="32"/>
          <w:szCs w:val="32"/>
        </w:rPr>
        <w:t>5.</w:t>
      </w:r>
      <w:r>
        <w:rPr>
          <w:rFonts w:hint="eastAsia" w:ascii="仿宋_GB2312" w:eastAsia="仿宋_GB2312"/>
          <w:b/>
          <w:sz w:val="32"/>
          <w:szCs w:val="32"/>
        </w:rPr>
        <w:t>资源勘探信息2150606:</w:t>
      </w:r>
      <w:r>
        <w:rPr>
          <w:rFonts w:hint="eastAsia" w:ascii="仿宋_GB2312" w:eastAsia="仿宋_GB2312"/>
          <w:sz w:val="32"/>
          <w:szCs w:val="32"/>
        </w:rPr>
        <w:t>支出决算为</w:t>
      </w:r>
      <w:r>
        <w:rPr>
          <w:rFonts w:hint="eastAsia" w:ascii="仿宋" w:hAnsi="仿宋" w:eastAsia="仿宋"/>
          <w:color w:val="000000"/>
          <w:sz w:val="32"/>
          <w:szCs w:val="32"/>
        </w:rPr>
        <w:t>零</w:t>
      </w:r>
      <w:r>
        <w:rPr>
          <w:rFonts w:hint="eastAsia" w:ascii="仿宋_GB2312" w:eastAsia="仿宋_GB2312"/>
          <w:sz w:val="32"/>
          <w:szCs w:val="32"/>
        </w:rPr>
        <w:t>万元，完成预算数</w:t>
      </w:r>
      <w:r>
        <w:rPr>
          <w:rFonts w:hint="eastAsia" w:ascii="仿宋" w:hAnsi="仿宋" w:eastAsia="仿宋"/>
          <w:color w:val="000000"/>
          <w:sz w:val="32"/>
          <w:szCs w:val="32"/>
        </w:rPr>
        <w:t>0%</w:t>
      </w:r>
      <w:r>
        <w:rPr>
          <w:rFonts w:hint="eastAsia" w:ascii="仿宋_GB2312" w:eastAsia="仿宋_GB2312"/>
          <w:sz w:val="32"/>
          <w:szCs w:val="32"/>
        </w:rPr>
        <w:t>。</w:t>
      </w:r>
    </w:p>
    <w:p>
      <w:pPr>
        <w:ind w:firstLine="640"/>
        <w:rPr>
          <w:rFonts w:ascii="仿宋_GB2312" w:eastAsia="仿宋_GB2312"/>
          <w:sz w:val="32"/>
          <w:szCs w:val="32"/>
        </w:rPr>
      </w:pPr>
      <w:r>
        <w:rPr>
          <w:rFonts w:hint="eastAsia" w:ascii="仿宋_GB2312" w:eastAsia="仿宋_GB2312"/>
          <w:b/>
          <w:sz w:val="32"/>
          <w:szCs w:val="32"/>
        </w:rPr>
        <w:t>６．住房保障2210201:</w:t>
      </w:r>
      <w:r>
        <w:rPr>
          <w:rFonts w:hint="eastAsia" w:ascii="仿宋_GB2312" w:eastAsia="仿宋_GB2312"/>
          <w:sz w:val="32"/>
          <w:szCs w:val="32"/>
        </w:rPr>
        <w:t>支出决算为51.02万元,完成预算数100%。</w:t>
      </w:r>
    </w:p>
    <w:p>
      <w:pPr>
        <w:ind w:firstLine="640"/>
        <w:rPr>
          <w:rFonts w:ascii="仿宋_GB2312" w:eastAsia="仿宋_GB2312"/>
          <w:sz w:val="32"/>
          <w:szCs w:val="32"/>
        </w:rPr>
      </w:pPr>
      <w:r>
        <w:rPr>
          <w:rFonts w:hint="eastAsia" w:ascii="仿宋_GB2312" w:eastAsia="仿宋_GB2312"/>
          <w:b/>
          <w:sz w:val="32"/>
          <w:szCs w:val="32"/>
        </w:rPr>
        <w:t>7．灾害防治及应急管理2240102</w:t>
      </w:r>
      <w:r>
        <w:rPr>
          <w:rFonts w:hint="eastAsia" w:ascii="仿宋_GB2312" w:eastAsia="仿宋_GB2312"/>
          <w:sz w:val="32"/>
          <w:szCs w:val="32"/>
        </w:rPr>
        <w:t>：支出决算为1075.60万元，完成100%。</w:t>
      </w:r>
    </w:p>
    <w:p>
      <w:pPr>
        <w:tabs>
          <w:tab w:val="right" w:pos="8306"/>
        </w:tabs>
        <w:spacing w:line="600" w:lineRule="exact"/>
        <w:ind w:firstLine="640"/>
        <w:outlineLvl w:val="1"/>
        <w:rPr>
          <w:rStyle w:val="23"/>
        </w:rPr>
      </w:pPr>
      <w:bookmarkStart w:id="33" w:name="_Toc15377214"/>
      <w:bookmarkStart w:id="34"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3"/>
          <w:rFonts w:hint="eastAsia" w:ascii="黑体" w:hAnsi="黑体" w:eastAsia="黑体"/>
        </w:rPr>
        <w:t>般公共预算财政拨款基本支出决算情况说明</w:t>
      </w:r>
      <w:bookmarkEnd w:id="33"/>
      <w:bookmarkEnd w:id="34"/>
      <w:r>
        <w:rPr>
          <w:rStyle w:val="23"/>
          <w:rFonts w:ascii="黑体" w:hAnsi="黑体" w:eastAsia="黑体"/>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977.97万元，其中：人员经费860.26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244.42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w:t>
      </w:r>
      <w:r>
        <w:rPr>
          <w:rFonts w:hint="eastAsia" w:ascii="仿宋" w:hAnsi="仿宋" w:eastAsia="仿宋"/>
          <w:color w:val="000000" w:themeColor="text1"/>
          <w:sz w:val="32"/>
          <w:szCs w:val="32"/>
        </w:rPr>
        <w:t>附加。</w:t>
      </w:r>
    </w:p>
    <w:p>
      <w:pPr>
        <w:spacing w:line="600" w:lineRule="exact"/>
        <w:ind w:firstLine="640"/>
        <w:outlineLvl w:val="1"/>
        <w:rPr>
          <w:rStyle w:val="23"/>
          <w:rFonts w:ascii="黑体" w:hAnsi="黑体" w:eastAsia="黑体"/>
          <w:b w:val="0"/>
        </w:rPr>
      </w:pPr>
      <w:bookmarkStart w:id="35" w:name="_Toc15377215"/>
      <w:bookmarkStart w:id="36" w:name="_Toc15396609"/>
      <w:r>
        <w:rPr>
          <w:rFonts w:hint="eastAsia" w:ascii="黑体" w:eastAsia="黑体"/>
          <w:color w:val="000000"/>
          <w:sz w:val="32"/>
          <w:szCs w:val="32"/>
        </w:rPr>
        <w:t>七、</w:t>
      </w:r>
      <w:r>
        <w:rPr>
          <w:rStyle w:val="23"/>
          <w:rFonts w:hint="eastAsia" w:ascii="黑体" w:hAnsi="黑体" w:eastAsia="黑体"/>
        </w:rPr>
        <w:t>“三公”经费财政拨款支出决算情况说明</w:t>
      </w:r>
      <w:bookmarkEnd w:id="35"/>
      <w:bookmarkEnd w:id="36"/>
    </w:p>
    <w:p>
      <w:pPr>
        <w:spacing w:line="600" w:lineRule="exact"/>
        <w:ind w:firstLine="640"/>
        <w:outlineLvl w:val="2"/>
        <w:rPr>
          <w:rFonts w:ascii="仿宋" w:hAnsi="仿宋" w:eastAsia="仿宋"/>
          <w:b/>
          <w:color w:val="000000"/>
          <w:sz w:val="32"/>
          <w:szCs w:val="32"/>
        </w:rPr>
      </w:pPr>
      <w:bookmarkStart w:id="37" w:name="_Toc15377216"/>
      <w:r>
        <w:rPr>
          <w:rFonts w:hint="eastAsia" w:ascii="仿宋" w:hAnsi="仿宋" w:eastAsia="仿宋"/>
          <w:b/>
          <w:color w:val="000000"/>
          <w:sz w:val="32"/>
          <w:szCs w:val="32"/>
        </w:rPr>
        <w:t>（一）“三公”经费财政拨款支出决算总体情况说明</w:t>
      </w:r>
      <w:bookmarkEnd w:id="37"/>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w:t>
      </w:r>
      <w:r>
        <w:rPr>
          <w:rFonts w:hint="eastAsia" w:ascii="仿宋" w:hAnsi="仿宋" w:eastAsia="仿宋"/>
          <w:color w:val="000000" w:themeColor="text1"/>
          <w:sz w:val="32"/>
          <w:szCs w:val="32"/>
        </w:rPr>
        <w:t>4.0</w:t>
      </w:r>
      <w:r>
        <w:rPr>
          <w:rFonts w:hint="eastAsia" w:ascii="仿宋" w:hAnsi="仿宋" w:eastAsia="仿宋"/>
          <w:color w:val="000000"/>
          <w:sz w:val="32"/>
          <w:szCs w:val="32"/>
        </w:rPr>
        <w:t>5万元，完成预算99.26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38" w:name="_Toc15377217"/>
      <w:r>
        <w:rPr>
          <w:rFonts w:hint="eastAsia" w:ascii="仿宋" w:hAnsi="仿宋" w:eastAsia="仿宋"/>
          <w:b/>
          <w:color w:val="000000"/>
          <w:sz w:val="32"/>
          <w:szCs w:val="32"/>
        </w:rPr>
        <w:t>（二）“三公”经费财政拨款支出决算具体情况说明</w:t>
      </w:r>
      <w:bookmarkEnd w:id="3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9年“三公”经费财政拨款支出决算中，因公出国（境）费支出决算零万元，占0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；公务用车购置及运行维护费支出决算零万元，占0</w:t>
      </w:r>
      <w:r>
        <w:rPr>
          <w:rFonts w:ascii="仿宋" w:hAnsi="仿宋" w:eastAsia="仿宋"/>
          <w:color w:val="000000"/>
          <w:sz w:val="32"/>
          <w:szCs w:val="32"/>
        </w:rPr>
        <w:t>%</w:t>
      </w:r>
      <w:r>
        <w:rPr>
          <w:rFonts w:hint="eastAsia" w:ascii="仿宋" w:hAnsi="仿宋" w:eastAsia="仿宋"/>
          <w:color w:val="000000"/>
          <w:sz w:val="32"/>
          <w:szCs w:val="32"/>
        </w:rPr>
        <w:t>；公务接待费支出决算4.05万元，占100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ind w:firstLine="640"/>
        <w:rPr>
          <w:rFonts w:ascii="仿宋_GB2312" w:eastAsia="仿宋_GB2312"/>
          <w:color w:val="000000"/>
          <w:sz w:val="32"/>
          <w:szCs w:val="32"/>
        </w:rPr>
      </w:pPr>
      <w:r>
        <w:rPr>
          <w:rFonts w:hint="eastAsia" w:ascii="仿宋_GB2312" w:eastAsia="仿宋_GB2312"/>
          <w:color w:val="000000"/>
          <w:sz w:val="32"/>
          <w:szCs w:val="32"/>
        </w:rPr>
        <w:drawing>
          <wp:inline distT="0" distB="0" distL="0" distR="0">
            <wp:extent cx="5274310" cy="2401570"/>
            <wp:effectExtent l="5080" t="4445" r="16510" b="1333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零万元。全年安排因公出国（境）团组零次，出国（境）零人。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公务用车购置及运行维护费支出零万元。</w:t>
      </w:r>
    </w:p>
    <w:p>
      <w:pPr>
        <w:ind w:firstLine="642" w:firstLineChars="200"/>
        <w:rPr>
          <w:rFonts w:ascii="仿宋_GB2312" w:eastAsia="仿宋_GB2312"/>
          <w:b/>
          <w:color w:val="000000"/>
          <w:sz w:val="32"/>
          <w:szCs w:val="32"/>
        </w:rPr>
      </w:pPr>
      <w:r>
        <w:rPr>
          <w:rFonts w:hint="eastAsia" w:ascii="仿宋_GB2312" w:eastAsia="仿宋_GB2312"/>
          <w:b/>
          <w:color w:val="000000"/>
          <w:sz w:val="32"/>
          <w:szCs w:val="32"/>
        </w:rPr>
        <w:t>其中：公务用车购置支出零万元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月底，单位共有公务用车零辆，其中：轿车零辆、越野车零辆、载客汽车零辆。</w:t>
      </w:r>
    </w:p>
    <w:p>
      <w:pPr>
        <w:ind w:firstLine="640"/>
        <w:rPr>
          <w:rFonts w:ascii="仿宋_GB2312" w:eastAsia="仿宋_GB2312"/>
          <w:b/>
          <w:color w:val="000000"/>
          <w:sz w:val="32"/>
          <w:szCs w:val="32"/>
        </w:rPr>
      </w:pPr>
      <w:r>
        <w:rPr>
          <w:rFonts w:hint="eastAsia" w:ascii="仿宋_GB2312" w:eastAsia="仿宋_GB2312"/>
          <w:b/>
          <w:color w:val="000000"/>
          <w:sz w:val="32"/>
          <w:szCs w:val="32"/>
        </w:rPr>
        <w:t>公务用车运行维护费支出零万元。</w:t>
      </w:r>
    </w:p>
    <w:p>
      <w:pPr>
        <w:ind w:firstLine="642" w:firstLineChars="200"/>
        <w:rPr>
          <w:rFonts w:ascii="仿宋_GB2312" w:eastAsia="仿宋_GB2312"/>
          <w:color w:val="000000" w:themeColor="text1"/>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公务接待费支出4.05元，</w:t>
      </w:r>
      <w:r>
        <w:rPr>
          <w:rFonts w:hint="eastAsia" w:ascii="仿宋" w:hAnsi="仿宋" w:eastAsia="仿宋"/>
          <w:color w:val="000000"/>
          <w:sz w:val="32"/>
          <w:szCs w:val="32"/>
        </w:rPr>
        <w:t>完成预算99.26</w:t>
      </w:r>
      <w:r>
        <w:rPr>
          <w:rFonts w:ascii="仿宋" w:hAnsi="仿宋" w:eastAsia="仿宋"/>
          <w:color w:val="000000"/>
          <w:sz w:val="32"/>
          <w:szCs w:val="32"/>
        </w:rPr>
        <w:t>%</w:t>
      </w:r>
      <w:r>
        <w:rPr>
          <w:rFonts w:hint="eastAsia" w:ascii="仿宋_GB2312" w:eastAsia="仿宋_GB2312"/>
          <w:color w:val="000000"/>
          <w:sz w:val="32"/>
          <w:szCs w:val="32"/>
        </w:rPr>
        <w:t>。公务接待费支出决算比2018年增加0.45万元，</w:t>
      </w:r>
      <w:r>
        <w:rPr>
          <w:rFonts w:ascii="仿宋_GB2312" w:eastAsia="仿宋_GB2312"/>
          <w:color w:val="000000"/>
          <w:sz w:val="32"/>
          <w:szCs w:val="32"/>
        </w:rPr>
        <w:t>/</w:t>
      </w:r>
      <w:r>
        <w:rPr>
          <w:rFonts w:hint="eastAsia" w:ascii="仿宋_GB2312" w:eastAsia="仿宋_GB2312"/>
          <w:color w:val="000000"/>
          <w:sz w:val="32"/>
          <w:szCs w:val="32"/>
        </w:rPr>
        <w:t>增加12.5</w:t>
      </w:r>
      <w:r>
        <w:rPr>
          <w:rFonts w:ascii="仿宋_GB2312" w:eastAsia="仿宋_GB2312"/>
          <w:color w:val="000000"/>
          <w:sz w:val="32"/>
          <w:szCs w:val="32"/>
        </w:rPr>
        <w:t>%</w:t>
      </w:r>
      <w:r>
        <w:rPr>
          <w:rFonts w:hint="eastAsia" w:ascii="仿宋_GB2312" w:eastAsia="仿宋_GB2312"/>
          <w:color w:val="000000"/>
          <w:sz w:val="32"/>
          <w:szCs w:val="32"/>
        </w:rPr>
        <w:t>。主要原因是：因机构改革合并， 2018年接待合计数提取原合并单位时决算数。因原应急办决算时无公务接待支出。加之新单位职责职能在往年基础上有所增加，致2019年公务接待稍比往年有所增加。</w:t>
      </w:r>
      <w:r>
        <w:rPr>
          <w:rFonts w:hint="eastAsia" w:ascii="仿宋_GB2312" w:eastAsia="仿宋_GB2312"/>
          <w:sz w:val="32"/>
          <w:szCs w:val="32"/>
        </w:rPr>
        <w:t>到目前为止我局都严格控制接待标准，未超</w:t>
      </w:r>
      <w:r>
        <w:rPr>
          <w:rFonts w:hint="eastAsia" w:ascii="仿宋_GB2312" w:eastAsia="仿宋_GB2312"/>
          <w:color w:val="000000" w:themeColor="text1"/>
          <w:sz w:val="32"/>
          <w:szCs w:val="32"/>
        </w:rPr>
        <w:t>标准、未超范围接待。</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_GB2312" w:eastAsia="仿宋_GB2312"/>
          <w:color w:val="000000"/>
          <w:sz w:val="32"/>
          <w:szCs w:val="32"/>
        </w:rPr>
        <w:t>4.05元主要用于执行公务、开展业务活动开支的用餐费等。接待52批次，425人次（不包括陪同人员），共计支出4.05万元，主要用于接待：安全检查、业务衔接等开支。</w:t>
      </w:r>
    </w:p>
    <w:p>
      <w:pPr>
        <w:spacing w:line="600" w:lineRule="exact"/>
        <w:ind w:firstLine="642"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零万元</w:t>
      </w:r>
      <w:r>
        <w:rPr>
          <w:rFonts w:hint="eastAsia" w:ascii="仿宋_GB2312" w:eastAsia="仿宋_GB2312"/>
          <w:color w:val="000000" w:themeColor="text1"/>
          <w:sz w:val="32"/>
          <w:szCs w:val="32"/>
        </w:rPr>
        <w:t>，外事接待零批次，零人，共计支出零万元。</w:t>
      </w:r>
    </w:p>
    <w:p>
      <w:pPr>
        <w:spacing w:line="600" w:lineRule="exact"/>
        <w:ind w:firstLine="640"/>
        <w:outlineLvl w:val="1"/>
        <w:rPr>
          <w:rStyle w:val="23"/>
          <w:rFonts w:ascii="黑体" w:hAnsi="黑体" w:eastAsia="黑体"/>
        </w:rPr>
      </w:pPr>
      <w:r>
        <w:rPr>
          <w:rFonts w:hint="eastAsia" w:ascii="黑体" w:eastAsia="黑体"/>
          <w:color w:val="000000"/>
          <w:sz w:val="32"/>
          <w:szCs w:val="32"/>
        </w:rPr>
        <w:t>八、</w:t>
      </w:r>
      <w:r>
        <w:rPr>
          <w:rStyle w:val="23"/>
          <w:rFonts w:hint="eastAsia" w:ascii="黑体" w:hAnsi="黑体" w:eastAsia="黑体"/>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9年政府性基金预算拨款支出零万元。</w:t>
      </w:r>
    </w:p>
    <w:p>
      <w:pPr>
        <w:numPr>
          <w:ilvl w:val="0"/>
          <w:numId w:val="3"/>
        </w:numPr>
        <w:spacing w:line="600" w:lineRule="exact"/>
        <w:ind w:firstLine="640"/>
        <w:outlineLvl w:val="1"/>
        <w:rPr>
          <w:rStyle w:val="23"/>
          <w:rFonts w:ascii="黑体" w:hAnsi="黑体" w:eastAsia="黑体"/>
          <w:b w:val="0"/>
        </w:rPr>
      </w:pPr>
      <w:bookmarkStart w:id="39" w:name="_Toc15396611"/>
      <w:bookmarkStart w:id="40" w:name="_Toc15377219"/>
      <w:r>
        <w:rPr>
          <w:rStyle w:val="23"/>
          <w:rFonts w:hint="eastAsia" w:ascii="黑体" w:hAnsi="黑体" w:eastAsia="黑体"/>
        </w:rPr>
        <w:t>国有资本经营预算支出决算情况说明</w:t>
      </w:r>
      <w:bookmarkEnd w:id="39"/>
      <w:bookmarkEnd w:id="4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9年国有资本经营预算拨款支出零万元。</w:t>
      </w:r>
    </w:p>
    <w:p>
      <w:pPr>
        <w:spacing w:line="600" w:lineRule="exact"/>
        <w:ind w:firstLine="800" w:firstLineChars="250"/>
        <w:outlineLvl w:val="1"/>
        <w:rPr>
          <w:rStyle w:val="23"/>
          <w:rFonts w:ascii="黑体" w:hAnsi="黑体" w:eastAsia="黑体"/>
        </w:rPr>
      </w:pPr>
      <w:bookmarkStart w:id="41" w:name="_Toc15396612"/>
      <w:bookmarkStart w:id="42" w:name="_Toc15377221"/>
      <w:r>
        <w:rPr>
          <w:rFonts w:hint="eastAsia" w:ascii="黑体" w:hAnsi="黑体" w:eastAsia="黑体"/>
          <w:color w:val="000000"/>
          <w:sz w:val="32"/>
          <w:szCs w:val="32"/>
        </w:rPr>
        <w:t>十</w:t>
      </w:r>
      <w:r>
        <w:rPr>
          <w:rStyle w:val="23"/>
          <w:rFonts w:hint="eastAsia" w:ascii="黑体" w:hAnsi="黑体" w:eastAsia="黑体"/>
        </w:rPr>
        <w:t>、其他重要事项的情况说明</w:t>
      </w:r>
      <w:bookmarkEnd w:id="41"/>
      <w:bookmarkEnd w:id="42"/>
    </w:p>
    <w:p>
      <w:pPr>
        <w:spacing w:line="600" w:lineRule="exact"/>
        <w:ind w:firstLine="642" w:firstLineChars="200"/>
        <w:outlineLvl w:val="2"/>
        <w:rPr>
          <w:rFonts w:ascii="仿宋" w:hAnsi="仿宋" w:eastAsia="仿宋"/>
          <w:color w:val="000000"/>
          <w:sz w:val="32"/>
          <w:szCs w:val="32"/>
        </w:rPr>
      </w:pPr>
      <w:bookmarkStart w:id="43" w:name="_Toc15377222"/>
      <w:r>
        <w:rPr>
          <w:rFonts w:hint="eastAsia" w:ascii="仿宋" w:hAnsi="仿宋" w:eastAsia="仿宋"/>
          <w:b/>
          <w:color w:val="000000"/>
          <w:sz w:val="32"/>
          <w:szCs w:val="32"/>
        </w:rPr>
        <w:t>（一）机关运行经费支出情况</w:t>
      </w:r>
      <w:bookmarkEnd w:id="43"/>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9年，应急局机关运行经费支出零万元，与</w:t>
      </w:r>
      <w:r>
        <w:rPr>
          <w:rFonts w:ascii="仿宋_GB2312" w:eastAsia="仿宋_GB2312"/>
          <w:color w:val="000000"/>
          <w:sz w:val="32"/>
          <w:szCs w:val="32"/>
        </w:rPr>
        <w:t>201</w:t>
      </w:r>
      <w:r>
        <w:rPr>
          <w:rFonts w:hint="eastAsia" w:ascii="仿宋_GB2312" w:eastAsia="仿宋_GB2312"/>
          <w:color w:val="000000"/>
          <w:sz w:val="32"/>
          <w:szCs w:val="32"/>
        </w:rPr>
        <w:t>8年决算数持平。</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4" w:name="_Toc15377223"/>
      <w:r>
        <w:rPr>
          <w:rFonts w:hint="eastAsia" w:ascii="仿宋" w:hAnsi="仿宋" w:eastAsia="仿宋"/>
          <w:b/>
          <w:color w:val="000000"/>
          <w:sz w:val="32"/>
          <w:szCs w:val="32"/>
        </w:rPr>
        <w:t>（二）政府采购支出情况</w:t>
      </w:r>
      <w:bookmarkEnd w:id="4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区应急局政府采购支出总额零万元，其中：政府采购货物支出零万元、政府采购工程支出零万元、政府采购服务支出零万元。授予中小企业合同金额零万元，占政府采购支出总额的0%，其中：授予小微企业合同金额零万元，占政府采购支出总额的0%。</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5" w:name="_Toc15377224"/>
      <w:r>
        <w:rPr>
          <w:rFonts w:hint="eastAsia" w:ascii="仿宋" w:hAnsi="仿宋" w:eastAsia="仿宋"/>
          <w:b/>
          <w:color w:val="000000"/>
          <w:sz w:val="32"/>
          <w:szCs w:val="32"/>
        </w:rPr>
        <w:t>（三）国有资产占有使用情况</w:t>
      </w:r>
      <w:bookmarkEnd w:id="45"/>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日，区应急局共有车辆零辆，其中：主要领导干部用车零辆、机要通信用车零辆、应急保障用车零辆、其他用车零辆，单价</w:t>
      </w:r>
      <w:r>
        <w:rPr>
          <w:rFonts w:ascii="仿宋_GB2312" w:eastAsia="仿宋_GB2312"/>
          <w:color w:val="000000"/>
          <w:sz w:val="32"/>
          <w:szCs w:val="32"/>
        </w:rPr>
        <w:t>50</w:t>
      </w:r>
      <w:r>
        <w:rPr>
          <w:rFonts w:hint="eastAsia" w:ascii="仿宋_GB2312" w:eastAsia="仿宋_GB2312"/>
          <w:color w:val="000000"/>
          <w:sz w:val="32"/>
          <w:szCs w:val="32"/>
        </w:rPr>
        <w:t>万元以上通用设备零台（套），单价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万元以上专用设备零台（套）。</w:t>
      </w:r>
    </w:p>
    <w:p>
      <w:pPr>
        <w:numPr>
          <w:ilvl w:val="0"/>
          <w:numId w:val="4"/>
        </w:num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预算绩效管理情况。</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Theme="minorEastAsia" w:hAnsiTheme="minorEastAsia" w:eastAsiaTheme="minorEastAsia" w:cstheme="minorEastAsia"/>
          <w:sz w:val="32"/>
          <w:szCs w:val="32"/>
        </w:rPr>
        <w:t>绩效目标是预算编制的前提和基础，按照“费随事定”的原则，2020年广元市利州区应急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仿宋" w:hAnsi="仿宋" w:eastAsia="仿宋"/>
          <w:b/>
          <w:color w:val="000000"/>
          <w:sz w:val="32"/>
          <w:szCs w:val="32"/>
        </w:rPr>
        <w:t xml:space="preserve">  1.项目绩效目标完成情况</w:t>
      </w:r>
    </w:p>
    <w:p>
      <w:pPr>
        <w:autoSpaceDE w:val="0"/>
        <w:autoSpaceDN w:val="0"/>
        <w:adjustRightInd w:val="0"/>
        <w:spacing w:line="600" w:lineRule="exact"/>
        <w:ind w:firstLine="640" w:firstLineChars="200"/>
        <w:jc w:val="left"/>
        <w:outlineLvl w:val="2"/>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煤矿安全监管、安全教育项目绩效目标完成情况综述。牢固树立安全发展理念，坚持标本兼治，综合治理，源头管控的原则，从严落实监管主体责任和企业安全生产主体责任，努力建造一支素质高、业务精、作风优的监管执法队伍，为我区煤炭产业安全有序发展奠定良好的基础。项目全年预算数15万元，执行数为15万元，完成预算数100%。通过项目实施，杜绝我区各煤矿无瓦斯、煤尘、顶板、机电、运输、水害、火灾等重大事故的发生，为我区煤矿安全发展奠定扎实的基础。发现的主要问题：预算执行进度不足，受预算支出时间、支出比例等因素影响，在预算执行进度上还无法跟进。下一步改进措施：加强专项资金监管，一是切实加强对项目资金投资方向，使用范围的审核，按规定程序和方式审核拨付资金；二是建立健全单位内部财务管理制度，严格落实项目申报计划，加强资金管理，确保专项资金安全有效；三是加强项目实施过程中的监督审核，建立健全财政专项资金的公开机制，评审机制，跟踪检查机制，确保资金安全高效使用。</w:t>
      </w:r>
    </w:p>
    <w:p>
      <w:pPr>
        <w:autoSpaceDE w:val="0"/>
        <w:autoSpaceDN w:val="0"/>
        <w:adjustRightInd w:val="0"/>
        <w:spacing w:line="600" w:lineRule="exact"/>
        <w:ind w:firstLine="640" w:firstLineChars="200"/>
        <w:jc w:val="left"/>
        <w:outlineLvl w:val="2"/>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扶贫项目支出（第一书记工作经费）绩效目标完成情况综述。项目全年预算数3万元，执行数为3万元，完成预算的100%。通过项目实施，保障了第一书记的工作经费，为第一书记的各项工作提供了有力的保障，出色的完成了上级交办的各项任务，并带领全村人民发展产业及集体经济，实现脱贫摘帽。发现的主要问题：无。下一步改进措施：及时并足额的更好的保障第一书记工作经费。</w:t>
      </w:r>
    </w:p>
    <w:p>
      <w:pPr>
        <w:autoSpaceDE w:val="0"/>
        <w:autoSpaceDN w:val="0"/>
        <w:adjustRightInd w:val="0"/>
        <w:spacing w:line="600" w:lineRule="exact"/>
        <w:ind w:firstLine="640" w:firstLineChars="200"/>
        <w:jc w:val="left"/>
        <w:outlineLvl w:val="2"/>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安全生产专项资金项目绩效目标完成情况综述。牢固树立安全发展理念，坚持标本兼治，综合治理，源头管控的原则，从严落实监管主体责任和企业安全生产主体责任，重点以机械化生产替换人工作业，大力提高企业安全生产科技保障能力，通过“机械化换人、自动化减人”科技强安项目建设，基本实现矿进生产领域的机械化和自动化。项目全年预算数140万元，执行数为140万元，完成预算的100%。通过项目实施，机械设备的投入，减少人工投入，降低工人安全生产风险，提高生产效率，增加经济效益。下一步改进措施：加强专项资金监管，一是切实加强对项目资金投资方向、使用范围的审核，按规定程序和方式审核拨付资金；二是建立健全单位内部财务管理制度，严格落实项目申报计划，加强资金管理，确保专项资金安全有效；三是加强项目实施过程中的监督审核，建立健全财政专项资金的公开机制，评审机制，跟踪检查机制，确保资金安全高效使用。</w:t>
      </w:r>
    </w:p>
    <w:p>
      <w:pPr>
        <w:autoSpaceDE w:val="0"/>
        <w:autoSpaceDN w:val="0"/>
        <w:adjustRightInd w:val="0"/>
        <w:spacing w:line="600" w:lineRule="exact"/>
        <w:ind w:firstLine="640" w:firstLineChars="200"/>
        <w:jc w:val="left"/>
        <w:outlineLvl w:val="2"/>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安全监察监管资金项目绩效目标完成情况综述。坚持安全发展理念和“生命至上、安全第一”的思想，以防范遏制重特大事故为目标，以安全生产双重预防控制体系建设为抓手，大力推进安全风险防控、隐患排查治理和基础能力建设，确保全区安全生产形势持续稳定。安全监察监管项目全年预算数65万元，执行数为65万元，完成预算的100%。全年开展安全生产检查120余人次，开展“三月警示月”活动及“六月安全生产月”活动各1次，发动安全生产宣传200余人次，3.配合省市检查安全20余次，赴省局参加培训50余人次。4.开展1100家企业双重预防体系建设。下一步改进措施：加强专项资金监管，切实加强对项目资金投资方向，使用范围的审核，按规定程序和方式审核拨付资金； </w:t>
      </w:r>
    </w:p>
    <w:p>
      <w:pPr>
        <w:autoSpaceDE w:val="0"/>
        <w:autoSpaceDN w:val="0"/>
        <w:adjustRightInd w:val="0"/>
        <w:spacing w:line="600" w:lineRule="exact"/>
        <w:ind w:firstLine="640" w:firstLineChars="200"/>
        <w:jc w:val="left"/>
        <w:outlineLvl w:val="2"/>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区域自动气象站维护及天气预报播出资金项目绩效目标完成情况综述。区域自动气象站维护及天气预报播出是现代化建设的必要基础，更是气象防灾减灾、监测预警系统的组成部门之一， 目前区应急指挥</w:t>
      </w:r>
      <w:r>
        <w:rPr>
          <w:rFonts w:hint="eastAsia" w:asciiTheme="minorEastAsia" w:hAnsiTheme="minorEastAsia" w:eastAsiaTheme="minorEastAsia" w:cstheme="minorEastAsia"/>
          <w:color w:val="000000" w:themeColor="text1"/>
          <w:sz w:val="32"/>
          <w:szCs w:val="32"/>
        </w:rPr>
        <w:t>中心与市区联</w:t>
      </w:r>
      <w:r>
        <w:rPr>
          <w:rFonts w:hint="eastAsia" w:asciiTheme="minorEastAsia" w:hAnsiTheme="minorEastAsia" w:eastAsiaTheme="minorEastAsia" w:cstheme="minorEastAsia"/>
          <w:sz w:val="32"/>
          <w:szCs w:val="32"/>
        </w:rPr>
        <w:t>运指挥系统正常运行,现已完成23个自动气象站的维修维护工作。区域自动气象站维护及天气预报播出项目全年预算数9万元，执行数为9万元，完成预算的100%。主要问题：1、经费保障严重不足，2、技术保险队伍不稳定，3、维修技术能力亟得提升。</w:t>
      </w:r>
    </w:p>
    <w:p>
      <w:pPr>
        <w:autoSpaceDE w:val="0"/>
        <w:autoSpaceDN w:val="0"/>
        <w:adjustRightInd w:val="0"/>
        <w:spacing w:line="600" w:lineRule="exact"/>
        <w:ind w:firstLine="640" w:firstLineChars="200"/>
        <w:jc w:val="left"/>
        <w:outlineLvl w:val="2"/>
        <w:rPr>
          <w:rFonts w:asciiTheme="minorEastAsia" w:hAnsiTheme="minorEastAsia" w:eastAsiaTheme="minorEastAsia" w:cstheme="minorEastAsia"/>
          <w:sz w:val="32"/>
          <w:szCs w:val="32"/>
        </w:rPr>
      </w:pPr>
    </w:p>
    <w:p>
      <w:pPr>
        <w:autoSpaceDE w:val="0"/>
        <w:autoSpaceDN w:val="0"/>
        <w:adjustRightInd w:val="0"/>
        <w:spacing w:line="600" w:lineRule="exact"/>
        <w:ind w:firstLine="640" w:firstLineChars="200"/>
        <w:jc w:val="left"/>
        <w:outlineLvl w:val="2"/>
        <w:rPr>
          <w:rFonts w:asciiTheme="minorEastAsia" w:hAnsiTheme="minorEastAsia" w:eastAsiaTheme="minorEastAsia" w:cstheme="minorEastAsia"/>
          <w:sz w:val="32"/>
          <w:szCs w:val="32"/>
        </w:rPr>
      </w:pPr>
    </w:p>
    <w:p>
      <w:pPr>
        <w:autoSpaceDE w:val="0"/>
        <w:autoSpaceDN w:val="0"/>
        <w:adjustRightInd w:val="0"/>
        <w:spacing w:line="600" w:lineRule="exact"/>
        <w:ind w:firstLine="640" w:firstLineChars="200"/>
        <w:jc w:val="left"/>
        <w:outlineLvl w:val="2"/>
        <w:rPr>
          <w:rFonts w:asciiTheme="minorEastAsia" w:hAnsiTheme="minorEastAsia" w:eastAsiaTheme="minorEastAsia" w:cstheme="minorEastAsia"/>
          <w:sz w:val="32"/>
          <w:szCs w:val="32"/>
        </w:rPr>
      </w:pPr>
    </w:p>
    <w:p>
      <w:pPr>
        <w:autoSpaceDE w:val="0"/>
        <w:autoSpaceDN w:val="0"/>
        <w:adjustRightInd w:val="0"/>
        <w:spacing w:line="600" w:lineRule="exact"/>
        <w:ind w:firstLine="640" w:firstLineChars="200"/>
        <w:jc w:val="left"/>
        <w:outlineLvl w:val="2"/>
        <w:rPr>
          <w:rFonts w:asciiTheme="minorEastAsia" w:hAnsiTheme="minorEastAsia" w:eastAsiaTheme="minorEastAsia" w:cstheme="minorEastAsia"/>
          <w:sz w:val="32"/>
          <w:szCs w:val="32"/>
        </w:rPr>
      </w:pPr>
    </w:p>
    <w:p>
      <w:pPr>
        <w:autoSpaceDE w:val="0"/>
        <w:autoSpaceDN w:val="0"/>
        <w:adjustRightInd w:val="0"/>
        <w:spacing w:line="600" w:lineRule="exact"/>
        <w:ind w:firstLine="640" w:firstLineChars="200"/>
        <w:jc w:val="left"/>
        <w:outlineLvl w:val="2"/>
        <w:rPr>
          <w:rFonts w:asciiTheme="minorEastAsia" w:hAnsiTheme="minorEastAsia" w:eastAsiaTheme="minorEastAsia" w:cstheme="minorEastAsia"/>
          <w:sz w:val="32"/>
          <w:szCs w:val="32"/>
        </w:rPr>
      </w:pPr>
    </w:p>
    <w:p>
      <w:pPr>
        <w:autoSpaceDE w:val="0"/>
        <w:autoSpaceDN w:val="0"/>
        <w:adjustRightInd w:val="0"/>
        <w:spacing w:line="600" w:lineRule="exact"/>
        <w:ind w:firstLine="640" w:firstLineChars="200"/>
        <w:jc w:val="left"/>
        <w:outlineLvl w:val="2"/>
        <w:rPr>
          <w:rFonts w:asciiTheme="minorEastAsia" w:hAnsiTheme="minorEastAsia" w:eastAsiaTheme="minorEastAsia" w:cstheme="minorEastAsia"/>
          <w:sz w:val="32"/>
          <w:szCs w:val="32"/>
        </w:rPr>
      </w:pPr>
    </w:p>
    <w:p>
      <w:pPr>
        <w:autoSpaceDE w:val="0"/>
        <w:autoSpaceDN w:val="0"/>
        <w:adjustRightInd w:val="0"/>
        <w:spacing w:line="600" w:lineRule="exact"/>
        <w:ind w:firstLine="640" w:firstLineChars="200"/>
        <w:jc w:val="left"/>
        <w:outlineLvl w:val="2"/>
        <w:rPr>
          <w:rFonts w:asciiTheme="minorEastAsia" w:hAnsiTheme="minorEastAsia" w:eastAsiaTheme="minorEastAsia" w:cstheme="minorEastAsia"/>
          <w:sz w:val="32"/>
          <w:szCs w:val="32"/>
        </w:rPr>
      </w:pPr>
    </w:p>
    <w:p>
      <w:pPr>
        <w:autoSpaceDE w:val="0"/>
        <w:autoSpaceDN w:val="0"/>
        <w:adjustRightInd w:val="0"/>
        <w:spacing w:line="600" w:lineRule="exact"/>
        <w:ind w:firstLine="640" w:firstLineChars="200"/>
        <w:jc w:val="left"/>
        <w:outlineLvl w:val="2"/>
        <w:rPr>
          <w:rFonts w:asciiTheme="minorEastAsia" w:hAnsiTheme="minorEastAsia" w:eastAsiaTheme="minorEastAsia" w:cstheme="minorEastAsia"/>
          <w:sz w:val="32"/>
          <w:szCs w:val="32"/>
        </w:rPr>
      </w:pPr>
    </w:p>
    <w:p>
      <w:pPr>
        <w:autoSpaceDE w:val="0"/>
        <w:autoSpaceDN w:val="0"/>
        <w:adjustRightInd w:val="0"/>
        <w:spacing w:line="600" w:lineRule="exact"/>
        <w:ind w:firstLine="640" w:firstLineChars="200"/>
        <w:jc w:val="left"/>
        <w:outlineLvl w:val="2"/>
        <w:rPr>
          <w:rFonts w:asciiTheme="minorEastAsia" w:hAnsiTheme="minorEastAsia" w:eastAsiaTheme="minorEastAsia" w:cstheme="minorEastAsia"/>
          <w:sz w:val="32"/>
          <w:szCs w:val="32"/>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煤矿安全监管、安全教育</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广元市利州区应急局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无</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85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603"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34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数理指标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技术人员</w:t>
            </w:r>
            <w:r>
              <w:rPr>
                <w:rFonts w:hint="eastAsia" w:ascii="宋体" w:hAnsi="宋体" w:cs="宋体"/>
                <w:sz w:val="24"/>
              </w:rPr>
              <w:t>全区</w:t>
            </w:r>
            <w:r>
              <w:rPr>
                <w:rFonts w:hint="eastAsia" w:ascii="宋体" w:hAnsi="宋体" w:cs="宋体"/>
                <w:color w:val="000000"/>
                <w:sz w:val="24"/>
              </w:rPr>
              <w:t>煤矿执法检查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加强</w:t>
            </w:r>
            <w:r>
              <w:rPr>
                <w:rFonts w:hint="eastAsia" w:ascii="宋体" w:hAnsi="宋体" w:cs="宋体"/>
                <w:color w:val="000000"/>
                <w:sz w:val="24"/>
              </w:rPr>
              <w:t>安全生产监督检查每月5人次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完成5人次</w:t>
            </w:r>
          </w:p>
        </w:tc>
      </w:tr>
      <w:tr>
        <w:tblPrEx>
          <w:tblCellMar>
            <w:top w:w="0" w:type="dxa"/>
            <w:left w:w="0" w:type="dxa"/>
            <w:bottom w:w="0" w:type="dxa"/>
            <w:right w:w="0" w:type="dxa"/>
          </w:tblCellMar>
        </w:tblPrEx>
        <w:trPr>
          <w:trHeight w:val="94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全区10家煤矿，监测平台1个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提升煤矿执法人员基本素质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培养人才造就队伍，加强煤矿安全监管，加强能力建设</w:t>
            </w:r>
          </w:p>
        </w:tc>
      </w:tr>
      <w:tr>
        <w:tblPrEx>
          <w:tblCellMar>
            <w:top w:w="0" w:type="dxa"/>
            <w:left w:w="0" w:type="dxa"/>
            <w:bottom w:w="0" w:type="dxa"/>
            <w:right w:w="0" w:type="dxa"/>
          </w:tblCellMar>
        </w:tblPrEx>
        <w:trPr>
          <w:trHeight w:val="8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人员培训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color w:val="000000"/>
                <w:sz w:val="24"/>
              </w:rPr>
              <w:t>严格要求及参训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达到预期目标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安全技能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杜绝煤矿事故发生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防范重特大事故发生</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监管人员技能得到提升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确保矿井安全生产无事故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基本满意</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其他扶贫支出（第一书记工作经费）项目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利州区应急管理局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无</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第一是持续做好阻击返贫工作。第二是持续做好核桃、木耳、前胡、茯苓以及农副产品等销售工作。第三是持续加大生态猪等种养殖，壮大集体经济收入。第四是加强核桃冬季管护。第五是持续常态化的开展政策宣传。第六是持续开展好“帮扶活动周”工作。第七是持续常态化开展安全教育等工作。</w:t>
            </w:r>
          </w:p>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规范基层组织建设工程方面，对村委会阵地进行修整。做深做细群众政策宣传工作。基层工作，宣传为重，全年召开学习</w:t>
            </w:r>
            <w:r>
              <w:rPr>
                <w:rFonts w:hint="eastAsia" w:ascii="宋体" w:hAnsi="宋体" w:cs="宋体"/>
                <w:color w:val="000000"/>
                <w:sz w:val="24"/>
                <w:lang w:eastAsia="zh-CN"/>
              </w:rPr>
              <w:t>习近平总书记</w:t>
            </w:r>
            <w:r>
              <w:rPr>
                <w:rFonts w:hint="eastAsia" w:ascii="宋体" w:hAnsi="宋体" w:cs="宋体"/>
                <w:color w:val="000000"/>
                <w:sz w:val="24"/>
              </w:rPr>
              <w:t>来川讲话精神、防汛减灾、扫黑除恶、市委七届七次全会精神、区委八届六次全会精神、三会一课、农民夜校等各类大小会议56余次,与村组干部谈心谈话20人次。组织区安监局党支部与村党支部党员共建联建活动。节日组织帮扶干部到村并慰问脱贫户和非脱贫户2次。加强惠民政策落实，不断提升满意度。落实国家各项支农惠农政策，粮食直补、退耕还林补贴、公益林补贴、新农合、五保、低保、残疾、养老、临时救助等转移性收入工作落实到位。</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贫困村及非贫困村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1.脱贫户产业就业技术培训2.加强惠民政策落实，不断提升满意度.3.积极发展集体经济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为民代办事项126件次；查看项目41余次，走访贫困户累计43户，183人次，走访非贫困户102户，140人次；农网改造升级基本完成，新安装抽水机2台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ascii="宋体" w:hAnsi="宋体" w:cs="宋体"/>
                <w:color w:val="000000"/>
                <w:sz w:val="24"/>
              </w:rPr>
            </w:pPr>
            <w:r>
              <w:rPr>
                <w:rFonts w:hint="eastAsia" w:ascii="宋体" w:hAnsi="宋体" w:cs="宋体"/>
                <w:color w:val="000000"/>
                <w:sz w:val="24"/>
              </w:rPr>
              <w:t>2019年全年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已达到预期目标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经济效益</w:t>
            </w:r>
            <w:r>
              <w:rPr>
                <w:rFonts w:hint="eastAsia"/>
              </w:rPr>
              <w:br w:type="textWrapping"/>
            </w:r>
            <w:r>
              <w:rPr>
                <w:rFonts w:hint="eastAsia"/>
              </w:rPr>
              <w:t>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村集体发展经济项目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带领全村群众发展产业、集体经济等，脱贫致富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人均收入达到脱贫的要求</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全村贫困户已脱贫</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实施帮扶计划，让最贫困的群众最先得到最有力的帮扶，并且一帮到底，力求实效，既“输血”送“真金”解燃眉之急，又送“真经”帮其恢复“造血”功能。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群众脱贫奔小康</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二重岩村、岩窝村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让全村人民过上好日子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已达到预期目标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全部脱贫，幸福感指标上升。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widowControl/>
        <w:ind w:firstLine="330" w:firstLineChars="150"/>
        <w:rPr>
          <w:rFonts w:ascii="宋体" w:hAnsi="宋体" w:cs="宋体"/>
          <w:kern w:val="0"/>
          <w:sz w:val="22"/>
          <w:szCs w:val="22"/>
        </w:rPr>
      </w:pPr>
    </w:p>
    <w:p>
      <w:pPr>
        <w:spacing w:line="580" w:lineRule="exact"/>
        <w:ind w:firstLine="720" w:firstLineChars="200"/>
        <w:jc w:val="center"/>
        <w:rPr>
          <w:rFonts w:ascii="仿宋_GB2312" w:hAnsi="仿宋_GB2312" w:eastAsia="仿宋_GB2312" w:cs="仿宋_GB2312"/>
          <w:sz w:val="32"/>
          <w:szCs w:val="32"/>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bl>
      <w:tblPr>
        <w:tblStyle w:val="14"/>
        <w:tblW w:w="9244" w:type="dxa"/>
        <w:jc w:val="center"/>
        <w:tblLayout w:type="fixed"/>
        <w:tblCellMar>
          <w:top w:w="0" w:type="dxa"/>
          <w:left w:w="108" w:type="dxa"/>
          <w:bottom w:w="0" w:type="dxa"/>
          <w:right w:w="108" w:type="dxa"/>
        </w:tblCellMar>
      </w:tblPr>
      <w:tblGrid>
        <w:gridCol w:w="835"/>
        <w:gridCol w:w="918"/>
        <w:gridCol w:w="1671"/>
        <w:gridCol w:w="1597"/>
        <w:gridCol w:w="1671"/>
        <w:gridCol w:w="1028"/>
        <w:gridCol w:w="1524"/>
      </w:tblGrid>
      <w:tr>
        <w:tblPrEx>
          <w:tblCellMar>
            <w:top w:w="0" w:type="dxa"/>
            <w:left w:w="108" w:type="dxa"/>
            <w:bottom w:w="0" w:type="dxa"/>
            <w:right w:w="108" w:type="dxa"/>
          </w:tblCellMar>
        </w:tblPrEx>
        <w:trPr>
          <w:trHeight w:val="236" w:hRule="atLeast"/>
          <w:jc w:val="center"/>
        </w:trPr>
        <w:tc>
          <w:tcPr>
            <w:tcW w:w="835" w:type="dxa"/>
            <w:tcBorders>
              <w:top w:val="nil"/>
              <w:left w:val="nil"/>
              <w:bottom w:val="nil"/>
              <w:right w:val="nil"/>
            </w:tcBorders>
            <w:shd w:val="clear" w:color="auto" w:fill="auto"/>
            <w:vAlign w:val="bottom"/>
          </w:tcPr>
          <w:p>
            <w:pPr>
              <w:widowControl/>
              <w:jc w:val="left"/>
              <w:rPr>
                <w:rFonts w:ascii="宋体" w:hAnsi="宋体" w:cs="宋体"/>
                <w:color w:val="000000"/>
                <w:kern w:val="0"/>
                <w:sz w:val="22"/>
                <w:szCs w:val="22"/>
              </w:rPr>
            </w:pPr>
          </w:p>
        </w:tc>
        <w:tc>
          <w:tcPr>
            <w:tcW w:w="918" w:type="dxa"/>
            <w:tcBorders>
              <w:top w:val="nil"/>
              <w:left w:val="nil"/>
              <w:bottom w:val="nil"/>
              <w:right w:val="nil"/>
            </w:tcBorders>
            <w:shd w:val="clear" w:color="auto" w:fill="auto"/>
            <w:vAlign w:val="bottom"/>
          </w:tcPr>
          <w:p>
            <w:pPr>
              <w:widowControl/>
              <w:jc w:val="left"/>
              <w:rPr>
                <w:rFonts w:ascii="宋体" w:hAnsi="宋体" w:cs="宋体"/>
                <w:color w:val="000000"/>
                <w:kern w:val="0"/>
                <w:sz w:val="22"/>
                <w:szCs w:val="22"/>
              </w:rPr>
            </w:pPr>
          </w:p>
        </w:tc>
        <w:tc>
          <w:tcPr>
            <w:tcW w:w="1671" w:type="dxa"/>
            <w:tcBorders>
              <w:top w:val="nil"/>
              <w:left w:val="nil"/>
              <w:bottom w:val="nil"/>
              <w:right w:val="nil"/>
            </w:tcBorders>
            <w:shd w:val="clear" w:color="auto" w:fill="auto"/>
            <w:vAlign w:val="bottom"/>
          </w:tcPr>
          <w:p>
            <w:pPr>
              <w:widowControl/>
              <w:jc w:val="left"/>
              <w:rPr>
                <w:rFonts w:ascii="宋体" w:hAnsi="宋体" w:cs="宋体"/>
                <w:color w:val="000000"/>
                <w:kern w:val="0"/>
                <w:sz w:val="22"/>
                <w:szCs w:val="22"/>
              </w:rPr>
            </w:pPr>
          </w:p>
        </w:tc>
        <w:tc>
          <w:tcPr>
            <w:tcW w:w="1597" w:type="dxa"/>
            <w:tcBorders>
              <w:top w:val="nil"/>
              <w:left w:val="nil"/>
              <w:bottom w:val="nil"/>
              <w:right w:val="nil"/>
            </w:tcBorders>
            <w:shd w:val="clear" w:color="auto" w:fill="auto"/>
            <w:vAlign w:val="bottom"/>
          </w:tcPr>
          <w:p>
            <w:pPr>
              <w:widowControl/>
              <w:jc w:val="left"/>
              <w:rPr>
                <w:rFonts w:ascii="宋体" w:hAnsi="宋体" w:cs="宋体"/>
                <w:color w:val="000000"/>
                <w:kern w:val="0"/>
                <w:sz w:val="22"/>
                <w:szCs w:val="22"/>
              </w:rPr>
            </w:pPr>
          </w:p>
        </w:tc>
        <w:tc>
          <w:tcPr>
            <w:tcW w:w="1671" w:type="dxa"/>
            <w:tcBorders>
              <w:top w:val="nil"/>
              <w:left w:val="nil"/>
              <w:bottom w:val="nil"/>
              <w:right w:val="nil"/>
            </w:tcBorders>
            <w:shd w:val="clear" w:color="auto" w:fill="auto"/>
            <w:vAlign w:val="bottom"/>
          </w:tcPr>
          <w:p>
            <w:pPr>
              <w:widowControl/>
              <w:jc w:val="left"/>
              <w:rPr>
                <w:rFonts w:ascii="宋体" w:hAnsi="宋体" w:cs="宋体"/>
                <w:color w:val="000000"/>
                <w:kern w:val="0"/>
                <w:sz w:val="22"/>
                <w:szCs w:val="22"/>
              </w:rPr>
            </w:pPr>
          </w:p>
        </w:tc>
        <w:tc>
          <w:tcPr>
            <w:tcW w:w="1028" w:type="dxa"/>
            <w:tcBorders>
              <w:top w:val="nil"/>
              <w:left w:val="nil"/>
              <w:bottom w:val="nil"/>
              <w:right w:val="nil"/>
            </w:tcBorders>
            <w:shd w:val="clear" w:color="auto" w:fill="auto"/>
            <w:vAlign w:val="bottom"/>
          </w:tcPr>
          <w:p>
            <w:pPr>
              <w:widowControl/>
              <w:jc w:val="left"/>
              <w:rPr>
                <w:rFonts w:ascii="宋体" w:hAnsi="宋体" w:cs="宋体"/>
                <w:color w:val="000000"/>
                <w:kern w:val="0"/>
                <w:sz w:val="22"/>
                <w:szCs w:val="22"/>
              </w:rPr>
            </w:pPr>
          </w:p>
        </w:tc>
        <w:tc>
          <w:tcPr>
            <w:tcW w:w="1524" w:type="dxa"/>
            <w:tcBorders>
              <w:top w:val="nil"/>
              <w:left w:val="nil"/>
              <w:bottom w:val="nil"/>
              <w:right w:val="nil"/>
            </w:tcBorders>
            <w:shd w:val="clear" w:color="auto" w:fill="auto"/>
            <w:vAlign w:val="bottom"/>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36" w:hRule="atLeast"/>
          <w:jc w:val="center"/>
        </w:trPr>
        <w:tc>
          <w:tcPr>
            <w:tcW w:w="1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7491" w:type="dxa"/>
            <w:gridSpan w:val="5"/>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2019年安全生产专项资金</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（非煤矿山机械化换人、自动化减人项目）</w:t>
            </w:r>
          </w:p>
        </w:tc>
      </w:tr>
      <w:tr>
        <w:tblPrEx>
          <w:tblCellMar>
            <w:top w:w="0" w:type="dxa"/>
            <w:left w:w="108" w:type="dxa"/>
            <w:bottom w:w="0" w:type="dxa"/>
            <w:right w:w="108" w:type="dxa"/>
          </w:tblCellMar>
        </w:tblPrEx>
        <w:trPr>
          <w:trHeight w:val="473" w:hRule="atLeast"/>
          <w:jc w:val="center"/>
        </w:trPr>
        <w:tc>
          <w:tcPr>
            <w:tcW w:w="1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预算单位</w:t>
            </w:r>
          </w:p>
        </w:tc>
        <w:tc>
          <w:tcPr>
            <w:tcW w:w="3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广元市利州区应急管理局</w:t>
            </w:r>
          </w:p>
        </w:tc>
        <w:tc>
          <w:tcPr>
            <w:tcW w:w="26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实施单位</w:t>
            </w:r>
          </w:p>
        </w:tc>
        <w:tc>
          <w:tcPr>
            <w:tcW w:w="15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广元市顺发石膏有限责任公司</w:t>
            </w:r>
          </w:p>
        </w:tc>
      </w:tr>
      <w:tr>
        <w:tblPrEx>
          <w:tblCellMar>
            <w:top w:w="0" w:type="dxa"/>
            <w:left w:w="108" w:type="dxa"/>
            <w:bottom w:w="0" w:type="dxa"/>
            <w:right w:w="108" w:type="dxa"/>
          </w:tblCellMar>
        </w:tblPrEx>
        <w:trPr>
          <w:trHeight w:val="236" w:hRule="atLeast"/>
          <w:jc w:val="center"/>
        </w:trPr>
        <w:tc>
          <w:tcPr>
            <w:tcW w:w="175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资金情况（万元）</w:t>
            </w:r>
          </w:p>
        </w:tc>
        <w:tc>
          <w:tcPr>
            <w:tcW w:w="16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p>
        </w:tc>
        <w:tc>
          <w:tcPr>
            <w:tcW w:w="15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p>
        </w:tc>
        <w:tc>
          <w:tcPr>
            <w:tcW w:w="2699"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年度金额：</w:t>
            </w:r>
          </w:p>
        </w:tc>
        <w:tc>
          <w:tcPr>
            <w:tcW w:w="15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36" w:hRule="atLeast"/>
          <w:jc w:val="center"/>
        </w:trPr>
        <w:tc>
          <w:tcPr>
            <w:tcW w:w="17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其中：财政补助</w:t>
            </w:r>
          </w:p>
        </w:tc>
        <w:tc>
          <w:tcPr>
            <w:tcW w:w="15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140万元</w:t>
            </w:r>
          </w:p>
        </w:tc>
        <w:tc>
          <w:tcPr>
            <w:tcW w:w="2699"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其中：财政补助</w:t>
            </w:r>
          </w:p>
        </w:tc>
        <w:tc>
          <w:tcPr>
            <w:tcW w:w="15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140</w:t>
            </w:r>
          </w:p>
        </w:tc>
      </w:tr>
      <w:tr>
        <w:tblPrEx>
          <w:tblCellMar>
            <w:top w:w="0" w:type="dxa"/>
            <w:left w:w="108" w:type="dxa"/>
            <w:bottom w:w="0" w:type="dxa"/>
            <w:right w:w="108" w:type="dxa"/>
          </w:tblCellMar>
        </w:tblPrEx>
        <w:trPr>
          <w:trHeight w:val="236" w:hRule="atLeast"/>
          <w:jc w:val="center"/>
        </w:trPr>
        <w:tc>
          <w:tcPr>
            <w:tcW w:w="17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其他资金</w:t>
            </w:r>
          </w:p>
        </w:tc>
        <w:tc>
          <w:tcPr>
            <w:tcW w:w="15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226（企业自筹资金）</w:t>
            </w:r>
          </w:p>
        </w:tc>
        <w:tc>
          <w:tcPr>
            <w:tcW w:w="2699"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其他资金</w:t>
            </w:r>
          </w:p>
        </w:tc>
        <w:tc>
          <w:tcPr>
            <w:tcW w:w="15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36" w:hRule="atLeast"/>
          <w:jc w:val="center"/>
        </w:trPr>
        <w:tc>
          <w:tcPr>
            <w:tcW w:w="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总体目标</w:t>
            </w:r>
          </w:p>
        </w:tc>
        <w:tc>
          <w:tcPr>
            <w:tcW w:w="418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实施期目标</w:t>
            </w:r>
          </w:p>
        </w:tc>
        <w:tc>
          <w:tcPr>
            <w:tcW w:w="4223" w:type="dxa"/>
            <w:gridSpan w:val="3"/>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年度目标</w:t>
            </w:r>
          </w:p>
        </w:tc>
      </w:tr>
      <w:tr>
        <w:tblPrEx>
          <w:tblCellMar>
            <w:top w:w="0" w:type="dxa"/>
            <w:left w:w="108" w:type="dxa"/>
            <w:bottom w:w="0" w:type="dxa"/>
            <w:right w:w="108" w:type="dxa"/>
          </w:tblCellMar>
        </w:tblPrEx>
        <w:trPr>
          <w:trHeight w:val="2574"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18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根据项目进度安排，矿山项目总投资366.5万元，分两年完成，第一年计划投资239万元，主要用于巷道改造施工，购买运输转载机械、空压机械、变压器等；第二年计划投资127.5万元，用于购买挖掘机、凿岩台车、重型锤式破碎机、湿式防爆喷浆机等工程机械。</w:t>
            </w:r>
          </w:p>
        </w:tc>
        <w:tc>
          <w:tcPr>
            <w:tcW w:w="42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1、作业场所项目实施后岗位人数情况减少20人，其中装卸系统减少10人、运输系统减少8人、破碎系统减少2人。</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2、项目改造实施后，基本实现全机械化作业，预计作业效率提高80%。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3、依靠多种科技手段，增加专业机械设备，减少风险岗位人数及人工作业行为，避免因人为因素而引发的故障或事故，进一步提高了系统的安全可靠性，实现系统本质安全化。</w:t>
            </w:r>
          </w:p>
        </w:tc>
      </w:tr>
      <w:tr>
        <w:tblPrEx>
          <w:tblCellMar>
            <w:top w:w="0" w:type="dxa"/>
            <w:left w:w="108" w:type="dxa"/>
            <w:bottom w:w="0" w:type="dxa"/>
            <w:right w:w="108" w:type="dxa"/>
          </w:tblCellMar>
        </w:tblPrEx>
        <w:trPr>
          <w:trHeight w:val="565" w:hRule="atLeast"/>
          <w:jc w:val="center"/>
        </w:trPr>
        <w:tc>
          <w:tcPr>
            <w:tcW w:w="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一级指标</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3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42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指标值（包含数字及文字描述）</w:t>
            </w:r>
          </w:p>
        </w:tc>
      </w:tr>
      <w:tr>
        <w:tblPrEx>
          <w:tblCellMar>
            <w:top w:w="0" w:type="dxa"/>
            <w:left w:w="108" w:type="dxa"/>
            <w:bottom w:w="0" w:type="dxa"/>
            <w:right w:w="108" w:type="dxa"/>
          </w:tblCellMar>
        </w:tblPrEx>
        <w:trPr>
          <w:trHeight w:val="700" w:hRule="atLeast"/>
          <w:jc w:val="center"/>
        </w:trPr>
        <w:tc>
          <w:tcPr>
            <w:tcW w:w="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项目完成</w:t>
            </w:r>
          </w:p>
        </w:tc>
        <w:tc>
          <w:tcPr>
            <w:tcW w:w="9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数量指标</w:t>
            </w:r>
          </w:p>
        </w:tc>
        <w:tc>
          <w:tcPr>
            <w:tcW w:w="3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指标1：一期投入234万元</w:t>
            </w:r>
          </w:p>
        </w:tc>
        <w:tc>
          <w:tcPr>
            <w:tcW w:w="42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购买了装载机3台，工程自卸货车4台，螺杆式空压机，变压器；完成了刷扩巷道，新掘巷道系列工程。</w:t>
            </w:r>
          </w:p>
        </w:tc>
      </w:tr>
      <w:tr>
        <w:tblPrEx>
          <w:tblCellMar>
            <w:top w:w="0" w:type="dxa"/>
            <w:left w:w="108" w:type="dxa"/>
            <w:bottom w:w="0" w:type="dxa"/>
            <w:right w:w="108" w:type="dxa"/>
          </w:tblCellMar>
        </w:tblPrEx>
        <w:trPr>
          <w:trHeight w:val="368"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9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指标2：二期投入132.5万元</w:t>
            </w:r>
          </w:p>
        </w:tc>
        <w:tc>
          <w:tcPr>
            <w:tcW w:w="42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因公司资金不足，暂未投入。</w:t>
            </w:r>
          </w:p>
        </w:tc>
      </w:tr>
      <w:tr>
        <w:tblPrEx>
          <w:tblCellMar>
            <w:top w:w="0" w:type="dxa"/>
            <w:left w:w="108" w:type="dxa"/>
            <w:bottom w:w="0" w:type="dxa"/>
            <w:right w:w="108" w:type="dxa"/>
          </w:tblCellMar>
        </w:tblPrEx>
        <w:trPr>
          <w:trHeight w:val="545"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9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时效指标</w:t>
            </w:r>
          </w:p>
        </w:tc>
        <w:tc>
          <w:tcPr>
            <w:tcW w:w="3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指标1：一期投入为2018年全年</w:t>
            </w:r>
          </w:p>
        </w:tc>
        <w:tc>
          <w:tcPr>
            <w:tcW w:w="42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已在计划时间内完成。</w:t>
            </w:r>
          </w:p>
        </w:tc>
      </w:tr>
      <w:tr>
        <w:tblPrEx>
          <w:tblCellMar>
            <w:top w:w="0" w:type="dxa"/>
            <w:left w:w="108" w:type="dxa"/>
            <w:bottom w:w="0" w:type="dxa"/>
            <w:right w:w="108" w:type="dxa"/>
          </w:tblCellMar>
        </w:tblPrEx>
        <w:trPr>
          <w:trHeight w:val="525"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9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指标2：二期投入为2019年全年</w:t>
            </w:r>
          </w:p>
        </w:tc>
        <w:tc>
          <w:tcPr>
            <w:tcW w:w="42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目前已实施20%</w:t>
            </w:r>
          </w:p>
        </w:tc>
      </w:tr>
      <w:tr>
        <w:tblPrEx>
          <w:tblCellMar>
            <w:top w:w="0" w:type="dxa"/>
            <w:left w:w="108" w:type="dxa"/>
            <w:bottom w:w="0" w:type="dxa"/>
            <w:right w:w="108" w:type="dxa"/>
          </w:tblCellMar>
        </w:tblPrEx>
        <w:trPr>
          <w:trHeight w:val="525"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成本指标</w:t>
            </w:r>
          </w:p>
        </w:tc>
        <w:tc>
          <w:tcPr>
            <w:tcW w:w="3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指标1：机械设备投入，降低人工投入成本，降低生产成本。</w:t>
            </w:r>
          </w:p>
        </w:tc>
        <w:tc>
          <w:tcPr>
            <w:tcW w:w="42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已达标100%</w:t>
            </w:r>
          </w:p>
        </w:tc>
      </w:tr>
      <w:tr>
        <w:tblPrEx>
          <w:tblCellMar>
            <w:top w:w="0" w:type="dxa"/>
            <w:left w:w="108" w:type="dxa"/>
            <w:bottom w:w="0" w:type="dxa"/>
            <w:right w:w="108" w:type="dxa"/>
          </w:tblCellMar>
        </w:tblPrEx>
        <w:trPr>
          <w:trHeight w:val="594" w:hRule="atLeast"/>
          <w:jc w:val="center"/>
        </w:trPr>
        <w:tc>
          <w:tcPr>
            <w:tcW w:w="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项目效益</w:t>
            </w:r>
          </w:p>
        </w:tc>
        <w:tc>
          <w:tcPr>
            <w:tcW w:w="9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经济效益指标</w:t>
            </w:r>
          </w:p>
        </w:tc>
        <w:tc>
          <w:tcPr>
            <w:tcW w:w="3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机械设备投入，减少劳动力，提高生产效率，增加经济效益。</w:t>
            </w:r>
          </w:p>
        </w:tc>
        <w:tc>
          <w:tcPr>
            <w:tcW w:w="42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提高企业经济效益，相比机器投入前增加30%收益。</w:t>
            </w:r>
          </w:p>
        </w:tc>
      </w:tr>
      <w:tr>
        <w:tblPrEx>
          <w:tblCellMar>
            <w:top w:w="0" w:type="dxa"/>
            <w:left w:w="108" w:type="dxa"/>
            <w:bottom w:w="0" w:type="dxa"/>
            <w:right w:w="108" w:type="dxa"/>
          </w:tblCellMar>
        </w:tblPrEx>
        <w:trPr>
          <w:trHeight w:val="368"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9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指标2：</w:t>
            </w:r>
          </w:p>
        </w:tc>
        <w:tc>
          <w:tcPr>
            <w:tcW w:w="42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8"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9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w:t>
            </w:r>
          </w:p>
        </w:tc>
        <w:tc>
          <w:tcPr>
            <w:tcW w:w="42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47"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社会效益指标</w:t>
            </w:r>
          </w:p>
        </w:tc>
        <w:tc>
          <w:tcPr>
            <w:tcW w:w="3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1.减少高风险作业岗位；</w:t>
            </w:r>
          </w:p>
          <w:p>
            <w:pPr>
              <w:widowControl/>
              <w:jc w:val="left"/>
              <w:rPr>
                <w:rFonts w:ascii="宋体" w:hAnsi="宋体" w:cs="宋体"/>
                <w:kern w:val="0"/>
                <w:sz w:val="22"/>
                <w:szCs w:val="22"/>
              </w:rPr>
            </w:pPr>
            <w:r>
              <w:rPr>
                <w:rFonts w:hint="eastAsia" w:ascii="宋体" w:hAnsi="宋体" w:cs="宋体"/>
                <w:kern w:val="0"/>
                <w:sz w:val="22"/>
                <w:szCs w:val="22"/>
              </w:rPr>
              <w:t>2.降低一线工人劳动强度；</w:t>
            </w:r>
          </w:p>
          <w:p>
            <w:pPr>
              <w:widowControl/>
              <w:jc w:val="left"/>
              <w:rPr>
                <w:rFonts w:ascii="宋体" w:hAnsi="宋体" w:cs="宋体"/>
                <w:kern w:val="0"/>
                <w:sz w:val="22"/>
                <w:szCs w:val="22"/>
              </w:rPr>
            </w:pPr>
            <w:r>
              <w:rPr>
                <w:rFonts w:hint="eastAsia" w:ascii="宋体" w:hAnsi="宋体" w:cs="宋体"/>
                <w:kern w:val="0"/>
                <w:sz w:val="22"/>
                <w:szCs w:val="22"/>
              </w:rPr>
              <w:t>3.提高安全生产生产水平</w:t>
            </w:r>
          </w:p>
        </w:tc>
        <w:tc>
          <w:tcPr>
            <w:tcW w:w="42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减少高强度作业岗位18个，减少高风险作业岗位20个，节省60%劳动力。</w:t>
            </w:r>
          </w:p>
        </w:tc>
      </w:tr>
      <w:tr>
        <w:tblPrEx>
          <w:tblCellMar>
            <w:top w:w="0" w:type="dxa"/>
            <w:left w:w="108" w:type="dxa"/>
            <w:bottom w:w="0" w:type="dxa"/>
            <w:right w:w="108" w:type="dxa"/>
          </w:tblCellMar>
        </w:tblPrEx>
        <w:trPr>
          <w:trHeight w:val="630"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可持续影响指标</w:t>
            </w:r>
          </w:p>
        </w:tc>
        <w:tc>
          <w:tcPr>
            <w:tcW w:w="3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指标1：逐渐降低生产成本，增大效率，提高效益。</w:t>
            </w:r>
          </w:p>
        </w:tc>
        <w:tc>
          <w:tcPr>
            <w:tcW w:w="42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长期</w:t>
            </w:r>
          </w:p>
        </w:tc>
      </w:tr>
      <w:tr>
        <w:tblPrEx>
          <w:tblCellMar>
            <w:top w:w="0" w:type="dxa"/>
            <w:left w:w="108" w:type="dxa"/>
            <w:bottom w:w="0" w:type="dxa"/>
            <w:right w:w="108" w:type="dxa"/>
          </w:tblCellMar>
        </w:tblPrEx>
        <w:trPr>
          <w:trHeight w:val="1681" w:hRule="atLeast"/>
          <w:jc w:val="center"/>
        </w:trPr>
        <w:tc>
          <w:tcPr>
            <w:tcW w:w="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满意度指标</w:t>
            </w:r>
          </w:p>
        </w:tc>
        <w:tc>
          <w:tcPr>
            <w:tcW w:w="3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依靠多种科技手段，增加专业机械设备，减少风险岗位人数及人工作业行为，避免因人为因素而引发的故障或事故，进一步提高了系统的安全可靠性，实现系统本质安全化。</w:t>
            </w:r>
          </w:p>
        </w:tc>
        <w:tc>
          <w:tcPr>
            <w:tcW w:w="42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已达标100%</w:t>
            </w:r>
          </w:p>
        </w:tc>
      </w:tr>
    </w:tbl>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tbl>
      <w:tblPr>
        <w:tblStyle w:val="14"/>
        <w:tblpPr w:leftFromText="180" w:rightFromText="180" w:vertAnchor="text" w:horzAnchor="page" w:tblpXSpec="center" w:tblpY="423"/>
        <w:tblOverlap w:val="never"/>
        <w:tblW w:w="10028" w:type="dxa"/>
        <w:tblInd w:w="-48" w:type="dxa"/>
        <w:tblLayout w:type="fixed"/>
        <w:tblCellMar>
          <w:top w:w="0" w:type="dxa"/>
          <w:left w:w="0" w:type="dxa"/>
          <w:bottom w:w="0" w:type="dxa"/>
          <w:right w:w="0" w:type="dxa"/>
        </w:tblCellMar>
      </w:tblPr>
      <w:tblGrid>
        <w:gridCol w:w="48"/>
        <w:gridCol w:w="344"/>
        <w:gridCol w:w="46"/>
        <w:gridCol w:w="1330"/>
        <w:gridCol w:w="37"/>
        <w:gridCol w:w="995"/>
        <w:gridCol w:w="30"/>
        <w:gridCol w:w="2377"/>
        <w:gridCol w:w="15"/>
        <w:gridCol w:w="2394"/>
        <w:gridCol w:w="2412"/>
      </w:tblGrid>
      <w:tr>
        <w:tblPrEx>
          <w:tblCellMar>
            <w:top w:w="0" w:type="dxa"/>
            <w:left w:w="0" w:type="dxa"/>
            <w:bottom w:w="0" w:type="dxa"/>
            <w:right w:w="0" w:type="dxa"/>
          </w:tblCellMar>
        </w:tblPrEx>
        <w:trPr>
          <w:gridBefore w:val="1"/>
          <w:wBefore w:w="48" w:type="dxa"/>
          <w:trHeight w:val="1034" w:hRule="atLeast"/>
        </w:trPr>
        <w:tc>
          <w:tcPr>
            <w:tcW w:w="9980" w:type="dxa"/>
            <w:gridSpan w:val="10"/>
            <w:tcMar>
              <w:top w:w="15" w:type="dxa"/>
              <w:left w:w="15" w:type="dxa"/>
              <w:bottom w:w="0" w:type="dxa"/>
              <w:right w:w="15" w:type="dxa"/>
            </w:tcMar>
            <w:vAlign w:val="center"/>
          </w:tcPr>
          <w:p>
            <w:pPr>
              <w:pStyle w:val="24"/>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支出绩效项目目标完成情况表</w:t>
            </w:r>
            <w:r>
              <w:rPr>
                <w:rFonts w:ascii="宋体" w:cs="宋体"/>
                <w:b/>
                <w:bCs/>
                <w:color w:val="000000"/>
                <w:kern w:val="0"/>
                <w:sz w:val="36"/>
                <w:szCs w:val="36"/>
              </w:rPr>
              <w:br w:type="textWrapping"/>
            </w:r>
            <w:r>
              <w:rPr>
                <w:rFonts w:ascii="宋体" w:hAnsi="宋体" w:cs="宋体"/>
                <w:color w:val="000000"/>
                <w:kern w:val="0"/>
                <w:sz w:val="36"/>
                <w:szCs w:val="36"/>
              </w:rPr>
              <w:t>(201</w:t>
            </w:r>
            <w:r>
              <w:rPr>
                <w:rFonts w:hint="eastAsia" w:ascii="宋体" w:hAnsi="宋体" w:cs="宋体"/>
                <w:color w:val="000000"/>
                <w:kern w:val="0"/>
                <w:sz w:val="36"/>
                <w:szCs w:val="36"/>
              </w:rPr>
              <w:t>9年度</w:t>
            </w:r>
            <w:r>
              <w:rPr>
                <w:rFonts w:ascii="宋体" w:hAnsi="宋体" w:cs="宋体"/>
                <w:color w:val="000000"/>
                <w:kern w:val="0"/>
                <w:sz w:val="36"/>
                <w:szCs w:val="36"/>
              </w:rPr>
              <w:t>)</w:t>
            </w:r>
          </w:p>
        </w:tc>
      </w:tr>
      <w:tr>
        <w:tblPrEx>
          <w:tblCellMar>
            <w:top w:w="0" w:type="dxa"/>
            <w:left w:w="0" w:type="dxa"/>
            <w:bottom w:w="0" w:type="dxa"/>
            <w:right w:w="0" w:type="dxa"/>
          </w:tblCellMar>
        </w:tblPrEx>
        <w:trPr>
          <w:gridBefore w:val="1"/>
          <w:wBefore w:w="48"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安全监管监察专项项目</w:t>
            </w:r>
          </w:p>
        </w:tc>
      </w:tr>
      <w:tr>
        <w:tblPrEx>
          <w:tblCellMar>
            <w:top w:w="0" w:type="dxa"/>
            <w:left w:w="0" w:type="dxa"/>
            <w:bottom w:w="0" w:type="dxa"/>
            <w:right w:w="0" w:type="dxa"/>
          </w:tblCellMar>
        </w:tblPrEx>
        <w:trPr>
          <w:gridBefore w:val="1"/>
          <w:wBefore w:w="48"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利州区应急管理局</w:t>
            </w:r>
          </w:p>
        </w:tc>
      </w:tr>
      <w:tr>
        <w:tblPrEx>
          <w:tblCellMar>
            <w:top w:w="0" w:type="dxa"/>
            <w:left w:w="0" w:type="dxa"/>
            <w:bottom w:w="0" w:type="dxa"/>
            <w:right w:w="0" w:type="dxa"/>
          </w:tblCellMar>
        </w:tblPrEx>
        <w:trPr>
          <w:gridBefore w:val="1"/>
          <w:wBefore w:w="48" w:type="dxa"/>
          <w:trHeight w:val="276" w:hRule="atLeast"/>
        </w:trPr>
        <w:tc>
          <w:tcPr>
            <w:tcW w:w="39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65</w:t>
            </w:r>
          </w:p>
        </w:tc>
      </w:tr>
      <w:tr>
        <w:tblPrEx>
          <w:tblCellMar>
            <w:top w:w="0" w:type="dxa"/>
            <w:left w:w="0" w:type="dxa"/>
            <w:bottom w:w="0" w:type="dxa"/>
            <w:right w:w="0" w:type="dxa"/>
          </w:tblCellMar>
        </w:tblPrEx>
        <w:trPr>
          <w:gridBefore w:val="1"/>
          <w:wBefore w:w="48" w:type="dxa"/>
          <w:trHeight w:val="276"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65</w:t>
            </w:r>
          </w:p>
        </w:tc>
      </w:tr>
      <w:tr>
        <w:tblPrEx>
          <w:tblCellMar>
            <w:top w:w="0" w:type="dxa"/>
            <w:left w:w="0" w:type="dxa"/>
            <w:bottom w:w="0" w:type="dxa"/>
            <w:right w:w="0" w:type="dxa"/>
          </w:tblCellMar>
        </w:tblPrEx>
        <w:trPr>
          <w:gridBefore w:val="1"/>
          <w:wBefore w:w="48" w:type="dxa"/>
          <w:trHeight w:val="1511"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gridBefore w:val="1"/>
          <w:wBefore w:w="48" w:type="dxa"/>
          <w:trHeight w:val="276" w:hRule="atLeast"/>
        </w:trPr>
        <w:tc>
          <w:tcPr>
            <w:tcW w:w="39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8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gridBefore w:val="1"/>
          <w:wBefore w:w="48" w:type="dxa"/>
          <w:trHeight w:val="1159"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坚持安全发展理念和“生命至上、安全第一”的思想，以防范遏制重特大事故为目标，以安全生产双重预防控制体系建设为抓手，大力推进安全风险防控、隐患排查治理和基础能力建设，确保全区安全生产形势持续稳定。</w:t>
            </w:r>
          </w:p>
        </w:tc>
        <w:tc>
          <w:tcPr>
            <w:tcW w:w="48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有效遏制和减少安全生产事故发生，保障了综合监督管理和指导协调，非煤矿山、危险化学品、烟花爆竹三大行业以及冶金、有色、建材、机械、轻工、纺织、烟草、商贸等八大无安全生产行业主管领域和作业场所职业安全健康实施监督管理。</w:t>
            </w:r>
          </w:p>
        </w:tc>
      </w:tr>
      <w:tr>
        <w:tblPrEx>
          <w:tblCellMar>
            <w:top w:w="0" w:type="dxa"/>
            <w:left w:w="0" w:type="dxa"/>
            <w:bottom w:w="0" w:type="dxa"/>
            <w:right w:w="0" w:type="dxa"/>
          </w:tblCellMar>
        </w:tblPrEx>
        <w:trPr>
          <w:gridBefore w:val="1"/>
          <w:wBefore w:w="48" w:type="dxa"/>
          <w:trHeight w:val="1042" w:hRule="atLeast"/>
        </w:trPr>
        <w:tc>
          <w:tcPr>
            <w:tcW w:w="39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gridBefore w:val="1"/>
          <w:wBefore w:w="48" w:type="dxa"/>
          <w:trHeight w:val="953"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每年二个季度开展安全月宣传工作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全年开展安全生产检查</w:t>
            </w:r>
            <w:r>
              <w:rPr>
                <w:rFonts w:ascii="宋体" w:hAnsi="宋体" w:cs="宋体"/>
                <w:color w:val="000000"/>
                <w:sz w:val="24"/>
              </w:rPr>
              <w:t>120</w:t>
            </w:r>
            <w:r>
              <w:rPr>
                <w:rFonts w:hint="eastAsia" w:ascii="宋体" w:hAnsi="宋体" w:cs="宋体"/>
                <w:color w:val="000000"/>
                <w:sz w:val="24"/>
              </w:rPr>
              <w:t>余人次</w:t>
            </w:r>
            <w:r>
              <w:rPr>
                <w:rFonts w:ascii="宋体" w:hAnsi="宋体" w:cs="宋体"/>
                <w:color w:val="000000"/>
                <w:sz w:val="24"/>
              </w:rPr>
              <w:t>2.</w:t>
            </w:r>
            <w:r>
              <w:rPr>
                <w:rFonts w:hint="eastAsia" w:ascii="宋体" w:hAnsi="宋体" w:cs="宋体"/>
                <w:color w:val="000000"/>
                <w:sz w:val="24"/>
              </w:rPr>
              <w:t>开展“三月警示月”活动及“六月安全生产月”活动各</w:t>
            </w:r>
            <w:r>
              <w:rPr>
                <w:rFonts w:ascii="宋体" w:hAnsi="宋体" w:cs="宋体"/>
                <w:color w:val="000000"/>
                <w:sz w:val="24"/>
              </w:rPr>
              <w:t>1</w:t>
            </w:r>
            <w:r>
              <w:rPr>
                <w:rFonts w:hint="eastAsia" w:ascii="宋体" w:hAnsi="宋体" w:cs="宋体"/>
                <w:color w:val="000000"/>
                <w:sz w:val="24"/>
              </w:rPr>
              <w:t>次，发动安全生产宣传</w:t>
            </w:r>
            <w:r>
              <w:rPr>
                <w:rFonts w:ascii="宋体" w:hAnsi="宋体" w:cs="宋体"/>
                <w:color w:val="000000"/>
                <w:sz w:val="24"/>
              </w:rPr>
              <w:t>200</w:t>
            </w:r>
            <w:r>
              <w:rPr>
                <w:rFonts w:hint="eastAsia" w:ascii="宋体" w:hAnsi="宋体" w:cs="宋体"/>
                <w:color w:val="000000"/>
                <w:sz w:val="24"/>
              </w:rPr>
              <w:t>人次，</w:t>
            </w:r>
            <w:r>
              <w:rPr>
                <w:rFonts w:ascii="宋体" w:hAnsi="宋体" w:cs="宋体"/>
                <w:color w:val="000000"/>
                <w:sz w:val="24"/>
              </w:rPr>
              <w:t>3.</w:t>
            </w:r>
            <w:r>
              <w:rPr>
                <w:rFonts w:hint="eastAsia" w:ascii="宋体" w:hAnsi="宋体" w:cs="宋体"/>
                <w:color w:val="000000"/>
                <w:sz w:val="24"/>
              </w:rPr>
              <w:t>配合省市检查安全</w:t>
            </w:r>
            <w:r>
              <w:rPr>
                <w:rFonts w:ascii="宋体" w:hAnsi="宋体" w:cs="宋体"/>
                <w:color w:val="000000"/>
                <w:sz w:val="24"/>
              </w:rPr>
              <w:t>20</w:t>
            </w:r>
            <w:r>
              <w:rPr>
                <w:rFonts w:hint="eastAsia" w:ascii="宋体" w:hAnsi="宋体" w:cs="宋体"/>
                <w:color w:val="000000"/>
                <w:sz w:val="24"/>
              </w:rPr>
              <w:t>余次，赴省局参加培训</w:t>
            </w:r>
            <w:r>
              <w:rPr>
                <w:rFonts w:ascii="宋体" w:hAnsi="宋体" w:cs="宋体"/>
                <w:color w:val="000000"/>
                <w:sz w:val="24"/>
              </w:rPr>
              <w:t>50</w:t>
            </w:r>
            <w:r>
              <w:rPr>
                <w:rFonts w:hint="eastAsia" w:ascii="宋体" w:hAnsi="宋体" w:cs="宋体"/>
                <w:color w:val="000000"/>
                <w:sz w:val="24"/>
              </w:rPr>
              <w:t>余人次。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全年开展安全生产检查</w:t>
            </w:r>
            <w:r>
              <w:rPr>
                <w:rFonts w:ascii="宋体" w:hAnsi="宋体" w:cs="宋体"/>
                <w:color w:val="000000"/>
                <w:sz w:val="24"/>
              </w:rPr>
              <w:t>120</w:t>
            </w:r>
            <w:r>
              <w:rPr>
                <w:rFonts w:hint="eastAsia" w:ascii="宋体" w:hAnsi="宋体" w:cs="宋体"/>
                <w:color w:val="000000"/>
                <w:sz w:val="24"/>
              </w:rPr>
              <w:t>余人次</w:t>
            </w:r>
            <w:r>
              <w:rPr>
                <w:rFonts w:ascii="宋体" w:hAnsi="宋体" w:cs="宋体"/>
                <w:color w:val="000000"/>
                <w:sz w:val="24"/>
              </w:rPr>
              <w:t>2.</w:t>
            </w:r>
            <w:r>
              <w:rPr>
                <w:rFonts w:hint="eastAsia" w:ascii="宋体" w:hAnsi="宋体" w:cs="宋体"/>
                <w:color w:val="000000"/>
                <w:sz w:val="24"/>
              </w:rPr>
              <w:t>开展“三月警示月”活动及“六月安全生产月”活动各</w:t>
            </w:r>
            <w:r>
              <w:rPr>
                <w:rFonts w:ascii="宋体" w:hAnsi="宋体" w:cs="宋体"/>
                <w:color w:val="000000"/>
                <w:sz w:val="24"/>
              </w:rPr>
              <w:t>1</w:t>
            </w:r>
            <w:r>
              <w:rPr>
                <w:rFonts w:hint="eastAsia" w:ascii="宋体" w:hAnsi="宋体" w:cs="宋体"/>
                <w:color w:val="000000"/>
                <w:sz w:val="24"/>
              </w:rPr>
              <w:t>次，发动安全生产宣传</w:t>
            </w:r>
            <w:r>
              <w:rPr>
                <w:rFonts w:ascii="宋体" w:hAnsi="宋体" w:cs="宋体"/>
                <w:color w:val="000000"/>
                <w:sz w:val="24"/>
              </w:rPr>
              <w:t>200</w:t>
            </w:r>
            <w:r>
              <w:rPr>
                <w:rFonts w:hint="eastAsia" w:ascii="宋体" w:hAnsi="宋体" w:cs="宋体"/>
                <w:color w:val="000000"/>
                <w:sz w:val="24"/>
              </w:rPr>
              <w:t>人次，</w:t>
            </w:r>
            <w:r>
              <w:rPr>
                <w:rFonts w:ascii="宋体" w:hAnsi="宋体" w:cs="宋体"/>
                <w:color w:val="000000"/>
                <w:sz w:val="24"/>
              </w:rPr>
              <w:t>3.</w:t>
            </w:r>
            <w:r>
              <w:rPr>
                <w:rFonts w:hint="eastAsia" w:ascii="宋体" w:hAnsi="宋体" w:cs="宋体"/>
                <w:color w:val="000000"/>
                <w:sz w:val="24"/>
              </w:rPr>
              <w:t>配合省市检查安全</w:t>
            </w:r>
            <w:r>
              <w:rPr>
                <w:rFonts w:ascii="宋体" w:hAnsi="宋体" w:cs="宋体"/>
                <w:color w:val="000000"/>
                <w:sz w:val="24"/>
              </w:rPr>
              <w:t>20</w:t>
            </w:r>
            <w:r>
              <w:rPr>
                <w:rFonts w:hint="eastAsia" w:ascii="宋体" w:hAnsi="宋体" w:cs="宋体"/>
                <w:color w:val="000000"/>
                <w:sz w:val="24"/>
              </w:rPr>
              <w:t>余次，赴省局参加培训</w:t>
            </w:r>
            <w:r>
              <w:rPr>
                <w:rFonts w:ascii="宋体" w:hAnsi="宋体" w:cs="宋体"/>
                <w:color w:val="000000"/>
                <w:sz w:val="24"/>
              </w:rPr>
              <w:t>50</w:t>
            </w:r>
            <w:r>
              <w:rPr>
                <w:rFonts w:hint="eastAsia" w:ascii="宋体" w:hAnsi="宋体" w:cs="宋体"/>
                <w:color w:val="000000"/>
                <w:sz w:val="24"/>
              </w:rPr>
              <w:t>余人次。</w:t>
            </w:r>
            <w:r>
              <w:rPr>
                <w:rFonts w:ascii="宋体" w:hAnsi="宋体" w:cs="宋体"/>
                <w:color w:val="000000"/>
                <w:sz w:val="24"/>
              </w:rPr>
              <w:t>4.</w:t>
            </w:r>
            <w:r>
              <w:rPr>
                <w:rFonts w:hint="eastAsia" w:ascii="宋体" w:hAnsi="宋体" w:cs="宋体"/>
                <w:color w:val="000000"/>
                <w:sz w:val="24"/>
              </w:rPr>
              <w:t>开展企业双重预防体系建设</w:t>
            </w:r>
            <w:r>
              <w:rPr>
                <w:rFonts w:ascii="宋体" w:hAnsi="宋体" w:cs="宋体"/>
                <w:color w:val="000000"/>
                <w:sz w:val="24"/>
              </w:rPr>
              <w:t>108</w:t>
            </w:r>
            <w:r>
              <w:rPr>
                <w:rFonts w:hint="eastAsia" w:ascii="宋体" w:hAnsi="宋体" w:cs="宋体"/>
                <w:color w:val="000000"/>
                <w:sz w:val="24"/>
              </w:rPr>
              <w:t>家。</w:t>
            </w:r>
          </w:p>
        </w:tc>
      </w:tr>
      <w:tr>
        <w:tblPrEx>
          <w:tblCellMar>
            <w:top w:w="0" w:type="dxa"/>
            <w:left w:w="0" w:type="dxa"/>
            <w:bottom w:w="0" w:type="dxa"/>
            <w:right w:w="0" w:type="dxa"/>
          </w:tblCellMar>
        </w:tblPrEx>
        <w:trPr>
          <w:gridBefore w:val="1"/>
          <w:wBefore w:w="48" w:type="dxa"/>
          <w:trHeight w:val="1297"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按照时间节点完成各项工作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100%</w:t>
            </w:r>
          </w:p>
        </w:tc>
      </w:tr>
      <w:tr>
        <w:tblPrEx>
          <w:tblCellMar>
            <w:top w:w="0" w:type="dxa"/>
            <w:left w:w="0" w:type="dxa"/>
            <w:bottom w:w="0" w:type="dxa"/>
            <w:right w:w="0" w:type="dxa"/>
          </w:tblCellMar>
        </w:tblPrEx>
        <w:trPr>
          <w:gridBefore w:val="1"/>
          <w:wBefore w:w="48" w:type="dxa"/>
          <w:trHeight w:val="1042"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ascii="宋体" w:cs="宋体"/>
                <w:color w:val="000000"/>
                <w:sz w:val="24"/>
              </w:rPr>
            </w:pPr>
            <w:r>
              <w:rPr>
                <w:rFonts w:hint="eastAsia" w:ascii="宋体" w:hAnsi="宋体" w:cs="宋体"/>
                <w:color w:val="000000"/>
                <w:sz w:val="24"/>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201</w:t>
            </w:r>
            <w:r>
              <w:rPr>
                <w:rFonts w:hint="eastAsia" w:ascii="宋体" w:hAnsi="宋体" w:cs="宋体"/>
                <w:color w:val="000000"/>
                <w:sz w:val="24"/>
              </w:rPr>
              <w:t>9年全年</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201</w:t>
            </w:r>
            <w:r>
              <w:rPr>
                <w:rFonts w:hint="eastAsia" w:ascii="宋体" w:hAnsi="宋体" w:cs="宋体"/>
                <w:color w:val="000000"/>
                <w:sz w:val="24"/>
              </w:rPr>
              <w:t>9年全年</w:t>
            </w:r>
          </w:p>
        </w:tc>
      </w:tr>
      <w:tr>
        <w:tblPrEx>
          <w:tblCellMar>
            <w:top w:w="0" w:type="dxa"/>
            <w:left w:w="0" w:type="dxa"/>
            <w:bottom w:w="0" w:type="dxa"/>
            <w:right w:w="0" w:type="dxa"/>
          </w:tblCellMar>
        </w:tblPrEx>
        <w:trPr>
          <w:gridBefore w:val="1"/>
          <w:wBefore w:w="48" w:type="dxa"/>
          <w:trHeight w:val="1042"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经济效益</w:t>
            </w:r>
            <w:r>
              <w:br w:type="textWrapping"/>
            </w:r>
            <w:r>
              <w:rPr>
                <w:rFonts w:hint="eastAsia"/>
              </w:rPr>
              <w:t>指标</w:t>
            </w:r>
          </w:p>
          <w:p>
            <w:pPr>
              <w:widowControl/>
              <w:jc w:val="center"/>
              <w:textAlignment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cs="宋体"/>
                <w:color w:val="000000"/>
                <w:sz w:val="24"/>
              </w:rPr>
              <w:t>减少安全事故发生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确保全区安全生产形势稳定，保障群众生命财产安全</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遏制了重特大事故的发生，保障了人民群众的生命财产安全</w:t>
            </w:r>
          </w:p>
        </w:tc>
      </w:tr>
      <w:tr>
        <w:tblPrEx>
          <w:tblCellMar>
            <w:top w:w="0" w:type="dxa"/>
            <w:left w:w="0" w:type="dxa"/>
            <w:bottom w:w="0" w:type="dxa"/>
            <w:right w:w="0" w:type="dxa"/>
          </w:tblCellMar>
        </w:tblPrEx>
        <w:trPr>
          <w:gridBefore w:val="1"/>
          <w:wBefore w:w="48" w:type="dxa"/>
          <w:trHeight w:val="1042"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cs="宋体"/>
                <w:color w:val="000000"/>
                <w:sz w:val="24"/>
              </w:rPr>
              <w:t>宣传安全生产知识，提高安全防范意识。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进一步提高企业安全生产管理水平和企业安全能力。</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安全生产促进经济效益的提高、企业的发展，经济效益的提高增加了安全防范设施投入，进一步确保安全生产。</w:t>
            </w:r>
          </w:p>
        </w:tc>
      </w:tr>
      <w:tr>
        <w:tblPrEx>
          <w:tblCellMar>
            <w:top w:w="0" w:type="dxa"/>
            <w:left w:w="0" w:type="dxa"/>
            <w:bottom w:w="0" w:type="dxa"/>
            <w:right w:w="0" w:type="dxa"/>
          </w:tblCellMar>
        </w:tblPrEx>
        <w:trPr>
          <w:gridBefore w:val="1"/>
          <w:wBefore w:w="48" w:type="dxa"/>
          <w:trHeight w:val="1042"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可持续影响</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cs="宋体"/>
                <w:color w:val="000000"/>
                <w:sz w:val="24"/>
              </w:rPr>
              <w:t>取得较好的社会效益和公众及服务对象满意度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hAnsi="宋体" w:cs="宋体"/>
                <w:color w:val="000000"/>
                <w:sz w:val="24"/>
              </w:rPr>
              <w:t>在全社会普及安全生产与可持续发展知识，充分发挥各类媒体的宣传作用，形成“关爱生命、关注安全”的舆论氛围，提高全民安全生产与可持续发展意识。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hAnsi="宋体" w:cs="宋体"/>
                <w:color w:val="000000"/>
                <w:sz w:val="24"/>
              </w:rPr>
              <w:t>通过“三月警示月”与“六月安全生产月”活动的发动宣传，普及了群众的安全生产知识，增加了各类安全防范意识。</w:t>
            </w:r>
          </w:p>
        </w:tc>
      </w:tr>
      <w:tr>
        <w:tblPrEx>
          <w:tblCellMar>
            <w:top w:w="0" w:type="dxa"/>
            <w:left w:w="0" w:type="dxa"/>
            <w:bottom w:w="0" w:type="dxa"/>
            <w:right w:w="0" w:type="dxa"/>
          </w:tblCellMar>
        </w:tblPrEx>
        <w:trPr>
          <w:gridBefore w:val="1"/>
          <w:wBefore w:w="48" w:type="dxa"/>
          <w:trHeight w:val="1042"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保障社会稳定及群众生命财产安全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w:t>
            </w:r>
            <w:r>
              <w:rPr>
                <w:rFonts w:ascii="宋体" w:hAnsi="宋体" w:cs="宋体"/>
                <w:color w:val="000000"/>
                <w:sz w:val="24"/>
              </w:rPr>
              <w:t>100%</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w:t>
            </w:r>
            <w:r>
              <w:rPr>
                <w:rFonts w:ascii="宋体" w:hAnsi="宋体" w:cs="宋体"/>
                <w:color w:val="000000"/>
                <w:sz w:val="24"/>
              </w:rPr>
              <w:t>100%</w:t>
            </w:r>
          </w:p>
        </w:tc>
      </w:tr>
      <w:tr>
        <w:tblPrEx>
          <w:tblCellMar>
            <w:top w:w="0" w:type="dxa"/>
            <w:left w:w="0" w:type="dxa"/>
            <w:bottom w:w="0" w:type="dxa"/>
            <w:right w:w="0" w:type="dxa"/>
          </w:tblCellMar>
        </w:tblPrEx>
        <w:trPr>
          <w:trHeight w:val="1036" w:hRule="atLeast"/>
          <w:jc w:val="center"/>
        </w:trPr>
        <w:tc>
          <w:tcPr>
            <w:tcW w:w="10028"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7" w:hRule="atLeast"/>
          <w:jc w:val="center"/>
        </w:trPr>
        <w:tc>
          <w:tcPr>
            <w:tcW w:w="2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2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区域自动气象站维护维修及天气预报播出经费</w:t>
            </w:r>
          </w:p>
        </w:tc>
      </w:tr>
      <w:tr>
        <w:tblPrEx>
          <w:tblCellMar>
            <w:top w:w="0" w:type="dxa"/>
            <w:left w:w="0" w:type="dxa"/>
            <w:bottom w:w="0" w:type="dxa"/>
            <w:right w:w="0" w:type="dxa"/>
          </w:tblCellMar>
        </w:tblPrEx>
        <w:trPr>
          <w:trHeight w:val="277" w:hRule="atLeast"/>
          <w:jc w:val="center"/>
        </w:trPr>
        <w:tc>
          <w:tcPr>
            <w:tcW w:w="2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2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利州区应急管理局</w:t>
            </w:r>
          </w:p>
        </w:tc>
      </w:tr>
      <w:tr>
        <w:tblPrEx>
          <w:tblCellMar>
            <w:top w:w="0" w:type="dxa"/>
            <w:left w:w="0" w:type="dxa"/>
            <w:bottom w:w="0" w:type="dxa"/>
            <w:right w:w="0" w:type="dxa"/>
          </w:tblCellMar>
        </w:tblPrEx>
        <w:trPr>
          <w:trHeight w:val="277" w:hRule="atLeast"/>
          <w:jc w:val="center"/>
        </w:trPr>
        <w:tc>
          <w:tcPr>
            <w:tcW w:w="39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4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p>
        </w:tc>
      </w:tr>
      <w:tr>
        <w:tblPrEx>
          <w:tblCellMar>
            <w:top w:w="0" w:type="dxa"/>
            <w:left w:w="0" w:type="dxa"/>
            <w:bottom w:w="0" w:type="dxa"/>
            <w:right w:w="0" w:type="dxa"/>
          </w:tblCellMar>
        </w:tblPrEx>
        <w:trPr>
          <w:trHeight w:val="277" w:hRule="atLeast"/>
          <w:jc w:val="center"/>
        </w:trPr>
        <w:tc>
          <w:tcPr>
            <w:tcW w:w="39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4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w:t>
            </w: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w:t>
            </w:r>
          </w:p>
        </w:tc>
      </w:tr>
      <w:tr>
        <w:tblPrEx>
          <w:tblCellMar>
            <w:top w:w="0" w:type="dxa"/>
            <w:left w:w="0" w:type="dxa"/>
            <w:bottom w:w="0" w:type="dxa"/>
            <w:right w:w="0" w:type="dxa"/>
          </w:tblCellMar>
        </w:tblPrEx>
        <w:trPr>
          <w:trHeight w:val="1514" w:hRule="atLeast"/>
          <w:jc w:val="center"/>
        </w:trPr>
        <w:tc>
          <w:tcPr>
            <w:tcW w:w="39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4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7" w:hRule="atLeast"/>
          <w:jc w:val="center"/>
        </w:trPr>
        <w:tc>
          <w:tcPr>
            <w:tcW w:w="39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81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8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62" w:hRule="atLeast"/>
          <w:jc w:val="center"/>
        </w:trPr>
        <w:tc>
          <w:tcPr>
            <w:tcW w:w="39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81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区应急指挥中心市区联运指挥系统正常运行,重大突发公共事件处理及时。</w:t>
            </w:r>
          </w:p>
        </w:tc>
        <w:tc>
          <w:tcPr>
            <w:tcW w:w="48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4" w:hRule="atLeast"/>
          <w:jc w:val="center"/>
        </w:trPr>
        <w:tc>
          <w:tcPr>
            <w:tcW w:w="392"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5" w:hRule="atLeast"/>
          <w:jc w:val="center"/>
        </w:trPr>
        <w:tc>
          <w:tcPr>
            <w:tcW w:w="392"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维修维护气象站，天气预报播报</w:t>
            </w: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2019年一年的天气预报播报</w:t>
            </w:r>
          </w:p>
          <w:p>
            <w:pPr>
              <w:widowControl/>
              <w:jc w:val="center"/>
              <w:textAlignment w:val="center"/>
              <w:rPr>
                <w:rFonts w:ascii="宋体" w:hAnsi="宋体" w:cs="宋体"/>
                <w:color w:val="000000"/>
                <w:sz w:val="24"/>
              </w:rPr>
            </w:pP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完成23个自动气象站的维修维护</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300" w:hRule="atLeast"/>
          <w:jc w:val="center"/>
        </w:trPr>
        <w:tc>
          <w:tcPr>
            <w:tcW w:w="392"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气象数据准确</w:t>
            </w:r>
          </w:p>
          <w:p>
            <w:pPr>
              <w:jc w:val="center"/>
              <w:rPr>
                <w:rFonts w:ascii="宋体" w:hAnsi="宋体" w:cs="宋体"/>
                <w:sz w:val="24"/>
              </w:rPr>
            </w:pPr>
            <w:r>
              <w:rPr>
                <w:rFonts w:hint="eastAsia"/>
              </w:rPr>
              <w:t>气象数据及时</w:t>
            </w:r>
          </w:p>
          <w:p>
            <w:pPr>
              <w:widowControl/>
              <w:jc w:val="center"/>
              <w:textAlignment w:val="center"/>
              <w:rPr>
                <w:rFonts w:ascii="宋体" w:hAnsi="宋体" w:cs="宋体"/>
                <w:color w:val="000000"/>
                <w:sz w:val="24"/>
              </w:rPr>
            </w:pP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充分利用科学技术，更高、更准确预报</w:t>
            </w:r>
          </w:p>
          <w:p>
            <w:pPr>
              <w:widowControl/>
              <w:jc w:val="center"/>
              <w:textAlignment w:val="center"/>
              <w:rPr>
                <w:rFonts w:ascii="宋体" w:hAnsi="宋体" w:cs="宋体"/>
                <w:color w:val="000000"/>
                <w:sz w:val="24"/>
              </w:rPr>
            </w:pP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气象数据准确</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4" w:hRule="atLeast"/>
          <w:jc w:val="center"/>
        </w:trPr>
        <w:tc>
          <w:tcPr>
            <w:tcW w:w="392"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经费保险</w:t>
            </w: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根据技术要求及时按需要维修维护和支付费用</w:t>
            </w:r>
          </w:p>
          <w:p>
            <w:pPr>
              <w:widowControl/>
              <w:jc w:val="center"/>
              <w:textAlignment w:val="center"/>
              <w:rPr>
                <w:rFonts w:ascii="宋体" w:hAnsi="宋体" w:cs="宋体"/>
                <w:color w:val="000000"/>
                <w:sz w:val="24"/>
              </w:rPr>
            </w:pP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正常维护，提高设备使用寿命</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4" w:hRule="atLeast"/>
          <w:jc w:val="center"/>
        </w:trPr>
        <w:tc>
          <w:tcPr>
            <w:tcW w:w="392"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服务大众</w:t>
            </w:r>
          </w:p>
          <w:p>
            <w:pPr>
              <w:widowControl/>
              <w:jc w:val="center"/>
              <w:textAlignment w:val="center"/>
              <w:rPr>
                <w:rFonts w:ascii="宋体" w:hAnsi="宋体" w:cs="宋体"/>
                <w:color w:val="000000"/>
                <w:sz w:val="24"/>
              </w:rPr>
            </w:pP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及时预报，减少人民群众生命财产损失</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气象数据及时，利于区内安全、生产等多领域数据应用</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4" w:hRule="atLeast"/>
          <w:jc w:val="center"/>
        </w:trPr>
        <w:tc>
          <w:tcPr>
            <w:tcW w:w="392"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w:t>
            </w:r>
          </w:p>
        </w:tc>
        <w:tc>
          <w:tcPr>
            <w:tcW w:w="2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提高作用效益</w:t>
            </w:r>
          </w:p>
          <w:p>
            <w:pPr>
              <w:widowControl/>
              <w:jc w:val="center"/>
              <w:textAlignment w:val="center"/>
              <w:rPr>
                <w:rFonts w:ascii="宋体" w:hAnsi="宋体" w:cs="宋体"/>
                <w:color w:val="000000"/>
                <w:sz w:val="24"/>
              </w:rPr>
            </w:pP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提高科学技术能力，准确、及时预报</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正常维护，提高设备使用寿命</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4" w:hRule="atLeast"/>
          <w:jc w:val="center"/>
        </w:trPr>
        <w:tc>
          <w:tcPr>
            <w:tcW w:w="392"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p>
          <w:p>
            <w:pPr>
              <w:widowControl/>
              <w:textAlignment w:val="center"/>
              <w:rPr>
                <w:rFonts w:ascii="宋体" w:hAnsi="宋体" w:cs="宋体"/>
                <w:color w:val="000000"/>
                <w:sz w:val="24"/>
              </w:rPr>
            </w:pPr>
            <w:r>
              <w:rPr>
                <w:rFonts w:hint="eastAsia" w:ascii="宋体" w:hAnsi="宋体" w:cs="宋体"/>
                <w:color w:val="000000"/>
                <w:kern w:val="0"/>
                <w:sz w:val="24"/>
              </w:rPr>
              <w:t>效益指标</w:t>
            </w:r>
          </w:p>
        </w:tc>
        <w:tc>
          <w:tcPr>
            <w:tcW w:w="10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满意度指标</w:t>
            </w:r>
          </w:p>
          <w:p>
            <w:pPr>
              <w:widowControl/>
              <w:jc w:val="center"/>
              <w:textAlignment w:val="center"/>
              <w:rPr>
                <w:rFonts w:ascii="宋体" w:hAnsi="宋体" w:cs="宋体"/>
                <w:color w:val="000000"/>
                <w:sz w:val="24"/>
              </w:rPr>
            </w:pPr>
          </w:p>
        </w:tc>
        <w:tc>
          <w:tcPr>
            <w:tcW w:w="2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正常运行</w:t>
            </w:r>
          </w:p>
          <w:p>
            <w:pPr>
              <w:widowControl/>
              <w:jc w:val="center"/>
              <w:textAlignment w:val="center"/>
              <w:rPr>
                <w:rFonts w:ascii="宋体" w:hAnsi="宋体" w:cs="宋体"/>
                <w:color w:val="000000"/>
                <w:sz w:val="24"/>
              </w:rPr>
            </w:pP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充分利用设施设备的有效作用</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全年设备95%正常运行，气象预报按时播报</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2" w:hRule="atLeast"/>
          <w:jc w:val="center"/>
        </w:trPr>
        <w:tc>
          <w:tcPr>
            <w:tcW w:w="392"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本部门按要求对2019年部门整体支出绩效评价情况开展自评，《广元市利州区应急管理局部门2019年部门整体支出绩效评价报告》见附件。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组织对非煤矿山机械化换人自动化减人、煤矿安全检查、区域自动气象站维护维修及天气预报播出等项目开展了绩效评价，《广元市利州区应急管理局项目2019年绩效评价报告》见附件。（非涉密部门均需公开部门整体支出评价报告，部门自行组织的绩效评价情况根据部门实际公开）</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numPr>
          <w:ilvl w:val="0"/>
          <w:numId w:val="5"/>
        </w:numPr>
        <w:spacing w:line="600" w:lineRule="exact"/>
        <w:ind w:firstLine="660" w:firstLineChars="150"/>
        <w:jc w:val="center"/>
        <w:outlineLvl w:val="0"/>
        <w:rPr>
          <w:rFonts w:ascii="黑体" w:hAnsi="黑体" w:eastAsia="黑体"/>
          <w:bCs/>
          <w:kern w:val="44"/>
          <w:sz w:val="44"/>
          <w:szCs w:val="44"/>
        </w:rPr>
      </w:pPr>
      <w:bookmarkStart w:id="46" w:name="_Toc15396613"/>
      <w:bookmarkStart w:id="47" w:name="_Toc15377225"/>
      <w:r>
        <w:rPr>
          <w:rFonts w:hint="eastAsia" w:ascii="黑体" w:hAnsi="黑体" w:eastAsia="黑体"/>
          <w:color w:val="000000"/>
          <w:sz w:val="44"/>
          <w:szCs w:val="44"/>
        </w:rPr>
        <w:t>名</w:t>
      </w:r>
      <w:r>
        <w:rPr>
          <w:rStyle w:val="25"/>
          <w:rFonts w:hint="eastAsia" w:ascii="黑体" w:hAnsi="黑体" w:eastAsia="黑体"/>
        </w:rPr>
        <w:t>词解释</w:t>
      </w:r>
      <w:bookmarkEnd w:id="46"/>
      <w:bookmarkEnd w:id="47"/>
    </w:p>
    <w:p>
      <w:pPr>
        <w:pStyle w:val="21"/>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财政拨款收入：指单位从同级财政部门当年取得的财政预算资金。</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一般公共服务（类）224（款）0101（项）：指机关</w:t>
      </w:r>
      <w:r>
        <w:rPr>
          <w:rFonts w:ascii="仿宋_GB2312" w:eastAsia="仿宋_GB2312"/>
          <w:color w:val="000000"/>
          <w:sz w:val="32"/>
          <w:szCs w:val="32"/>
        </w:rPr>
        <w:t>为保障行政单位（含参照公务员法管理的事业单位）运行用于</w:t>
      </w:r>
      <w:r>
        <w:rPr>
          <w:rFonts w:hint="eastAsia" w:ascii="仿宋_GB2312" w:eastAsia="仿宋_GB2312"/>
          <w:color w:val="000000"/>
          <w:sz w:val="32"/>
          <w:szCs w:val="32"/>
        </w:rPr>
        <w:t>人员工资、津贴、绩效、奖金等及</w:t>
      </w:r>
      <w:r>
        <w:rPr>
          <w:rFonts w:ascii="仿宋_GB2312" w:eastAsia="仿宋_GB2312"/>
          <w:color w:val="000000"/>
          <w:sz w:val="32"/>
          <w:szCs w:val="32"/>
        </w:rPr>
        <w:t>购买货物和服务的各项资金，包括办公及印刷费、邮电费、差旅费、会议费、福利费、日常维修费、专用材料及一般设备购置费、办公用房水电费、办公用房取暖费、办公用房物业管理费、公务用车运行维护费</w:t>
      </w:r>
      <w:r>
        <w:rPr>
          <w:rFonts w:hint="eastAsia" w:ascii="仿宋_GB2312" w:eastAsia="仿宋_GB2312"/>
          <w:color w:val="000000"/>
          <w:sz w:val="32"/>
          <w:szCs w:val="32"/>
        </w:rPr>
        <w:t>等</w:t>
      </w:r>
      <w:r>
        <w:rPr>
          <w:rFonts w:ascii="仿宋_GB2312" w:eastAsia="仿宋_GB2312"/>
          <w:color w:val="000000"/>
          <w:sz w:val="32"/>
          <w:szCs w:val="32"/>
        </w:rPr>
        <w:t>以及其他费用</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外交（类）零（款）零（项）：指……。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公共安全（类）零（款）零（项）：指……。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教育（类）零（款）零（项）：指……。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科学技术（类）零（款）零（项）：指……。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文化体育与传媒（类）零（款）零（项）：指……。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社会保障和就业（类）208（款）0505（项）：</w:t>
      </w:r>
      <w:r>
        <w:rPr>
          <w:rFonts w:ascii="仿宋_GB2312" w:eastAsia="仿宋_GB2312"/>
          <w:color w:val="000000"/>
          <w:sz w:val="32"/>
          <w:szCs w:val="32"/>
        </w:rPr>
        <w:t>反映机关事业单位实施养老保险制度由单位缴纳的基本养老保险支出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医疗卫生与计划生育（类）210（款）1101（项）：指</w:t>
      </w:r>
      <w:r>
        <w:rPr>
          <w:rFonts w:ascii="仿宋_GB2312" w:eastAsia="仿宋_GB2312"/>
          <w:color w:val="000000"/>
          <w:sz w:val="32"/>
          <w:szCs w:val="32"/>
        </w:rPr>
        <w:t>反映财政部门集中安排的</w:t>
      </w:r>
      <w:r>
        <w:rPr>
          <w:rFonts w:hint="eastAsia" w:ascii="仿宋_GB2312" w:eastAsia="仿宋_GB2312"/>
          <w:color w:val="000000"/>
          <w:sz w:val="32"/>
          <w:szCs w:val="32"/>
        </w:rPr>
        <w:t>行政</w:t>
      </w:r>
      <w:r>
        <w:rPr>
          <w:rFonts w:ascii="仿宋_GB2312" w:eastAsia="仿宋_GB2312"/>
          <w:color w:val="000000"/>
          <w:sz w:val="32"/>
          <w:szCs w:val="32"/>
        </w:rPr>
        <w:t>事业单位基本医疗保险缴费经费</w:t>
      </w:r>
      <w:r>
        <w:rPr>
          <w:rFonts w:hint="eastAsia" w:ascii="仿宋_GB2312" w:eastAsia="仿宋_GB2312"/>
          <w:color w:val="000000"/>
          <w:sz w:val="32"/>
          <w:szCs w:val="32"/>
        </w:rPr>
        <w:t>支出。</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节能环保（类）零（款）零（项）：指……。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城乡社区（类）零（款）零（项）：指……。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农林水（类）213（款）0599（项）：指</w:t>
      </w:r>
      <w:r>
        <w:rPr>
          <w:rFonts w:ascii="仿宋_GB2312" w:eastAsia="仿宋_GB2312"/>
          <w:color w:val="000000"/>
          <w:sz w:val="32"/>
          <w:szCs w:val="32"/>
        </w:rPr>
        <w:t>反映用于农村</w:t>
      </w:r>
      <w:r>
        <w:rPr>
          <w:rFonts w:hint="eastAsia" w:ascii="仿宋_GB2312" w:eastAsia="仿宋_GB2312"/>
          <w:color w:val="000000"/>
          <w:sz w:val="32"/>
          <w:szCs w:val="32"/>
        </w:rPr>
        <w:t>贫困村及非贫困村</w:t>
      </w:r>
      <w:r>
        <w:rPr>
          <w:rFonts w:ascii="仿宋_GB2312" w:eastAsia="仿宋_GB2312"/>
          <w:color w:val="000000"/>
          <w:sz w:val="32"/>
          <w:szCs w:val="32"/>
        </w:rPr>
        <w:t>扶贫开发等方面的支出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交通运输（类）零（款）零（项）：指……。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资源勘探信息等（类）215（款）999（项）：指反映财政部门</w:t>
      </w:r>
      <w:r>
        <w:rPr>
          <w:rFonts w:hint="eastAsia" w:ascii="仿宋_GB2312" w:eastAsia="仿宋_GB2312"/>
          <w:color w:val="000000" w:themeColor="text1"/>
          <w:sz w:val="32"/>
          <w:szCs w:val="32"/>
        </w:rPr>
        <w:t>用于煤矿企业化解过剩产能补助方面</w:t>
      </w:r>
      <w:r>
        <w:rPr>
          <w:rFonts w:hint="eastAsia" w:ascii="仿宋_GB2312" w:eastAsia="仿宋_GB2312"/>
          <w:color w:val="000000"/>
          <w:sz w:val="32"/>
          <w:szCs w:val="32"/>
        </w:rPr>
        <w:t>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商业服务业（类）零（款）零（项）：指……。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金融（类）零（款）零（项）：指……。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国土海洋气象等（类）零（款）零（项）：指……。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住房保障（类）221（款）0201（项）：指</w:t>
      </w:r>
      <w:r>
        <w:rPr>
          <w:rFonts w:ascii="仿宋_GB2312" w:eastAsia="仿宋_GB2312"/>
          <w:color w:val="000000"/>
          <w:sz w:val="32"/>
          <w:szCs w:val="32"/>
        </w:rPr>
        <w:t>反映行政事业单位按人力资源和社会保障部、财政部规定的基本工资和津补贴以及规定比例为职工缴纳的住房公积金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粮油物资储备（类）零（款）零（项）：指……。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27</w:t>
      </w:r>
      <w:r>
        <w:rPr>
          <w:rFonts w:ascii="仿宋_GB2312" w:eastAsia="仿宋_GB2312"/>
          <w:color w:val="000000"/>
          <w:sz w:val="32"/>
          <w:szCs w:val="32"/>
        </w:rPr>
        <w:t>.</w:t>
      </w:r>
      <w:r>
        <w:rPr>
          <w:rFonts w:hint="eastAsia" w:ascii="仿宋_GB2312" w:eastAsia="仿宋_GB2312"/>
          <w:color w:val="000000"/>
          <w:sz w:val="32"/>
          <w:szCs w:val="32"/>
        </w:rPr>
        <w:t>灾害防治及应急管理（类）224（款）0102（项）：指反映灾害预警运行、应急指挥中心工作运行、应急会商系统维护、安全常态化巡查督查、区域自动气象站维护维修及天气预报播出等方面的支出。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28.煤矿安全监察事务（类）224（款）0404（项）指反映财政部门用于煤矿安全检查、煤矿监察人员及驻矿安监人员到省市业务培训等方面支出。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29.自然灾害救灾及恢复重建（类）224（款）0701（项）：指反映社会群众在自然灾害中受灾（冬令春荒）生活补助方面的支出。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1"/>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1"/>
        <w:spacing w:line="560" w:lineRule="exact"/>
        <w:ind w:firstLine="640" w:firstLineChars="200"/>
        <w:rPr>
          <w:rFonts w:ascii="仿宋_GB2312" w:eastAsia="仿宋_GB2312" w:cs="黑体"/>
          <w:sz w:val="32"/>
          <w:szCs w:val="32"/>
        </w:rPr>
      </w:pPr>
    </w:p>
    <w:p>
      <w:pPr>
        <w:spacing w:line="600" w:lineRule="exact"/>
        <w:jc w:val="center"/>
        <w:outlineLvl w:val="0"/>
        <w:rPr>
          <w:rFonts w:ascii="黑体" w:hAnsi="黑体" w:eastAsia="黑体"/>
          <w:bCs/>
          <w:kern w:val="44"/>
          <w:sz w:val="44"/>
          <w:szCs w:val="44"/>
        </w:rPr>
      </w:pPr>
      <w:bookmarkStart w:id="48" w:name="_Toc15377226"/>
      <w:r>
        <w:rPr>
          <w:rFonts w:ascii="宋体"/>
          <w:b/>
          <w:color w:val="000000"/>
          <w:sz w:val="44"/>
          <w:szCs w:val="44"/>
        </w:rPr>
        <w:br w:type="page"/>
      </w:r>
      <w:r>
        <w:rPr>
          <w:rFonts w:hint="eastAsia" w:ascii="黑体" w:hAnsi="黑体" w:eastAsia="黑体"/>
          <w:color w:val="000000"/>
          <w:sz w:val="44"/>
          <w:szCs w:val="44"/>
        </w:rPr>
        <w:t>第</w:t>
      </w:r>
      <w:r>
        <w:rPr>
          <w:rStyle w:val="25"/>
          <w:rFonts w:hint="eastAsia" w:ascii="黑体" w:hAnsi="黑体" w:eastAsia="黑体"/>
        </w:rPr>
        <w:t>四部分 附件</w:t>
      </w:r>
    </w:p>
    <w:p>
      <w:pPr>
        <w:spacing w:line="58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附件1</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应急局</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76" w:lineRule="exact"/>
        <w:ind w:firstLine="800" w:firstLineChars="250"/>
        <w:rPr>
          <w:rFonts w:ascii="仿宋_GB2312" w:eastAsia="仿宋_GB2312"/>
          <w:bCs/>
          <w:color w:val="000000"/>
          <w:kern w:val="0"/>
          <w:sz w:val="32"/>
          <w:szCs w:val="32"/>
        </w:rPr>
      </w:pPr>
      <w:r>
        <w:rPr>
          <w:rFonts w:hint="eastAsia" w:ascii="仿宋_GB2312" w:eastAsia="仿宋_GB2312"/>
          <w:bCs/>
          <w:color w:val="000000"/>
          <w:kern w:val="0"/>
          <w:sz w:val="32"/>
          <w:szCs w:val="32"/>
        </w:rPr>
        <w:t>局机关行政编制13名，实有人数12人，工勤编制2名，实有人数5人。局下属事业单位6个，其中参照公务员法管理的事业单位2个，编制数13人，实有人数7人，其他事业单位编制数42人。实有人数40人。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spacing w:line="576" w:lineRule="exact"/>
        <w:ind w:left="798" w:leftChars="380"/>
        <w:rPr>
          <w:rFonts w:ascii="仿宋_GB2312" w:eastAsia="仿宋_GB2312"/>
          <w:bCs/>
          <w:color w:val="000000"/>
          <w:kern w:val="0"/>
          <w:sz w:val="32"/>
          <w:szCs w:val="32"/>
        </w:rPr>
      </w:pPr>
      <w:r>
        <w:rPr>
          <w:rFonts w:ascii="仿宋_GB2312" w:eastAsia="仿宋_GB2312"/>
          <w:bCs/>
          <w:color w:val="000000"/>
          <w:kern w:val="0"/>
          <w:sz w:val="32"/>
          <w:szCs w:val="32"/>
        </w:rPr>
        <w:t>各下属事业单位职能职责：</w:t>
      </w:r>
    </w:p>
    <w:p>
      <w:pPr>
        <w:spacing w:line="576" w:lineRule="exact"/>
        <w:ind w:firstLine="640" w:firstLineChars="200"/>
        <w:rPr>
          <w:rFonts w:ascii="仿宋_GB2312" w:eastAsia="仿宋_GB2312"/>
          <w:bCs/>
          <w:color w:val="000000" w:themeColor="text1"/>
          <w:kern w:val="0"/>
          <w:sz w:val="32"/>
          <w:szCs w:val="32"/>
        </w:rPr>
      </w:pPr>
      <w:r>
        <w:rPr>
          <w:rFonts w:hint="eastAsia" w:ascii="仿宋_GB2312" w:eastAsia="仿宋_GB2312"/>
          <w:bCs/>
          <w:color w:val="000000"/>
          <w:kern w:val="0"/>
          <w:sz w:val="32"/>
          <w:szCs w:val="32"/>
        </w:rPr>
        <w:t>一、</w:t>
      </w:r>
      <w:r>
        <w:rPr>
          <w:rFonts w:ascii="仿宋_GB2312" w:eastAsia="仿宋_GB2312"/>
          <w:bCs/>
          <w:color w:val="000000"/>
          <w:kern w:val="0"/>
          <w:sz w:val="32"/>
          <w:szCs w:val="32"/>
        </w:rPr>
        <w:t>利州区应急和信息中心主要职能：承担全区生产安全事故统计、行政执法统计、隐患排查治理统计、煤矿安全监督相关统计和生产安全事故统计认定工作；</w:t>
      </w:r>
      <w:r>
        <w:rPr>
          <w:rFonts w:ascii="仿宋_GB2312" w:eastAsia="仿宋_GB2312"/>
          <w:bCs/>
          <w:color w:val="000000"/>
          <w:kern w:val="0"/>
          <w:sz w:val="32"/>
          <w:szCs w:val="32"/>
        </w:rPr>
        <w:br w:type="textWrapping"/>
      </w:r>
      <w:r>
        <w:rPr>
          <w:rFonts w:hint="eastAsia" w:ascii="仿宋_GB2312" w:eastAsia="仿宋_GB2312"/>
          <w:bCs/>
          <w:color w:val="000000"/>
          <w:kern w:val="0"/>
          <w:sz w:val="32"/>
          <w:szCs w:val="32"/>
        </w:rPr>
        <w:t xml:space="preserve">   </w:t>
      </w:r>
      <w:r>
        <w:rPr>
          <w:rFonts w:ascii="仿宋_GB2312" w:eastAsia="仿宋_GB2312"/>
          <w:bCs/>
          <w:color w:val="000000"/>
          <w:kern w:val="0"/>
          <w:sz w:val="32"/>
          <w:szCs w:val="32"/>
        </w:rPr>
        <w:t>二、利州区应急指挥</w:t>
      </w:r>
      <w:r>
        <w:rPr>
          <w:rFonts w:hint="eastAsia" w:ascii="仿宋_GB2312" w:eastAsia="仿宋_GB2312"/>
          <w:bCs/>
          <w:color w:val="000000"/>
          <w:kern w:val="0"/>
          <w:sz w:val="32"/>
          <w:szCs w:val="32"/>
        </w:rPr>
        <w:t>保障中心</w:t>
      </w:r>
      <w:r>
        <w:rPr>
          <w:rFonts w:ascii="仿宋_GB2312" w:eastAsia="仿宋_GB2312"/>
          <w:bCs/>
          <w:color w:val="000000"/>
          <w:kern w:val="0"/>
          <w:sz w:val="32"/>
          <w:szCs w:val="32"/>
        </w:rPr>
        <w:t>主要职能：承担辖区内突发事件（自然灾害、生产安全事故）的监控、联络、报告等</w:t>
      </w:r>
      <w:r>
        <w:rPr>
          <w:rFonts w:ascii="仿宋_GB2312" w:eastAsia="仿宋_GB2312"/>
          <w:bCs/>
          <w:color w:val="000000" w:themeColor="text1"/>
          <w:kern w:val="0"/>
          <w:sz w:val="32"/>
          <w:szCs w:val="32"/>
        </w:rPr>
        <w:t>工作，对突发事件处置提供视频、语音、网络、通讯等应急指挥保障。</w:t>
      </w:r>
      <w:r>
        <w:rPr>
          <w:rFonts w:hint="eastAsia" w:ascii="仿宋_GB2312" w:eastAsia="仿宋_GB2312"/>
          <w:bCs/>
          <w:color w:val="000000" w:themeColor="text1"/>
          <w:kern w:val="0"/>
          <w:sz w:val="32"/>
          <w:szCs w:val="32"/>
        </w:rPr>
        <w:t>负责全区煤矿安全生产和各类预警平台检测工作。负责全区防灾减灾救灾的数据信息管理，承担各类自然灾害的查灾、核灾及灾害损失评估、灾情会商；负责全区防灾减灾和救灾知识宣传、灾害信息员培训；负责区级应急避难场所建设与管理。</w:t>
      </w:r>
      <w:r>
        <w:rPr>
          <w:rFonts w:ascii="仿宋_GB2312" w:eastAsia="仿宋_GB2312"/>
          <w:bCs/>
          <w:color w:val="000000" w:themeColor="text1"/>
          <w:kern w:val="0"/>
          <w:sz w:val="32"/>
          <w:szCs w:val="32"/>
        </w:rPr>
        <w:br w:type="textWrapping"/>
      </w:r>
      <w:r>
        <w:rPr>
          <w:rFonts w:hint="eastAsia" w:ascii="仿宋_GB2312" w:eastAsia="仿宋_GB2312"/>
          <w:bCs/>
          <w:color w:val="000000"/>
          <w:kern w:val="0"/>
          <w:sz w:val="32"/>
          <w:szCs w:val="32"/>
        </w:rPr>
        <w:t xml:space="preserve">   </w:t>
      </w:r>
      <w:r>
        <w:rPr>
          <w:rFonts w:ascii="仿宋_GB2312" w:eastAsia="仿宋_GB2312"/>
          <w:bCs/>
          <w:color w:val="000000"/>
          <w:kern w:val="0"/>
          <w:sz w:val="32"/>
          <w:szCs w:val="32"/>
        </w:rPr>
        <w:t>三、利州区煤矿安全培训中心主要职能：负责对全区煤矿企业的全员职工进行安全技能培训、考核、鉴定工作，负</w:t>
      </w:r>
      <w:r>
        <w:rPr>
          <w:rFonts w:ascii="仿宋_GB2312" w:eastAsia="仿宋_GB2312"/>
          <w:bCs/>
          <w:color w:val="000000" w:themeColor="text1"/>
          <w:kern w:val="0"/>
          <w:sz w:val="32"/>
          <w:szCs w:val="32"/>
        </w:rPr>
        <w:t>责组织实施对从事煤矿技术工种人员的持证上岗</w:t>
      </w:r>
      <w:r>
        <w:rPr>
          <w:rFonts w:hint="eastAsia" w:ascii="仿宋_GB2312" w:eastAsia="仿宋_GB2312"/>
          <w:bCs/>
          <w:color w:val="000000" w:themeColor="text1"/>
          <w:kern w:val="0"/>
          <w:sz w:val="32"/>
          <w:szCs w:val="32"/>
        </w:rPr>
        <w:t>指导</w:t>
      </w:r>
      <w:r>
        <w:rPr>
          <w:rFonts w:ascii="仿宋_GB2312" w:eastAsia="仿宋_GB2312"/>
          <w:bCs/>
          <w:color w:val="000000" w:themeColor="text1"/>
          <w:kern w:val="0"/>
          <w:sz w:val="32"/>
          <w:szCs w:val="32"/>
        </w:rPr>
        <w:t>。</w:t>
      </w:r>
      <w:r>
        <w:rPr>
          <w:rFonts w:ascii="仿宋_GB2312" w:eastAsia="仿宋_GB2312"/>
          <w:bCs/>
          <w:color w:val="000000" w:themeColor="text1"/>
          <w:kern w:val="0"/>
          <w:sz w:val="32"/>
          <w:szCs w:val="32"/>
        </w:rPr>
        <w:br w:type="textWrapping"/>
      </w:r>
      <w:r>
        <w:rPr>
          <w:rFonts w:hint="eastAsia" w:ascii="仿宋_GB2312" w:eastAsia="仿宋_GB2312"/>
          <w:bCs/>
          <w:color w:val="000000" w:themeColor="text1"/>
          <w:kern w:val="0"/>
          <w:sz w:val="32"/>
          <w:szCs w:val="32"/>
        </w:rPr>
        <w:t xml:space="preserve">   </w:t>
      </w:r>
      <w:r>
        <w:rPr>
          <w:rFonts w:ascii="仿宋_GB2312" w:eastAsia="仿宋_GB2312"/>
          <w:bCs/>
          <w:color w:val="000000" w:themeColor="text1"/>
          <w:kern w:val="0"/>
          <w:sz w:val="32"/>
          <w:szCs w:val="32"/>
        </w:rPr>
        <w:t>四、利州区</w:t>
      </w:r>
      <w:r>
        <w:rPr>
          <w:rFonts w:hint="eastAsia" w:ascii="仿宋_GB2312" w:eastAsia="仿宋_GB2312"/>
          <w:bCs/>
          <w:color w:val="000000" w:themeColor="text1"/>
          <w:kern w:val="0"/>
          <w:sz w:val="32"/>
          <w:szCs w:val="32"/>
        </w:rPr>
        <w:t>矿山安全技术指导站</w:t>
      </w:r>
      <w:r>
        <w:rPr>
          <w:rFonts w:ascii="仿宋_GB2312" w:eastAsia="仿宋_GB2312"/>
          <w:bCs/>
          <w:color w:val="000000" w:themeColor="text1"/>
          <w:kern w:val="0"/>
          <w:sz w:val="32"/>
          <w:szCs w:val="32"/>
        </w:rPr>
        <w:t>主要职能：负责全区</w:t>
      </w:r>
      <w:r>
        <w:rPr>
          <w:rFonts w:hint="eastAsia" w:ascii="仿宋_GB2312" w:eastAsia="仿宋_GB2312"/>
          <w:bCs/>
          <w:color w:val="000000" w:themeColor="text1"/>
          <w:kern w:val="0"/>
          <w:sz w:val="32"/>
          <w:szCs w:val="32"/>
        </w:rPr>
        <w:t>矿山科技知识宣传，先进实用技术普及、安全生产技术指导。负责全区矿山新技术、新产品、新成果的引进、试验、示范和推广。</w:t>
      </w:r>
    </w:p>
    <w:p>
      <w:pPr>
        <w:spacing w:line="576" w:lineRule="exact"/>
        <w:rPr>
          <w:rFonts w:ascii="仿宋_GB2312" w:eastAsia="仿宋_GB2312"/>
          <w:bCs/>
          <w:color w:val="000000"/>
          <w:kern w:val="0"/>
          <w:sz w:val="32"/>
          <w:szCs w:val="32"/>
        </w:rPr>
      </w:pPr>
      <w:r>
        <w:rPr>
          <w:rFonts w:hint="eastAsia" w:ascii="仿宋_GB2312" w:eastAsia="仿宋_GB2312"/>
          <w:bCs/>
          <w:color w:val="000000" w:themeColor="text1"/>
          <w:kern w:val="0"/>
          <w:sz w:val="32"/>
          <w:szCs w:val="32"/>
        </w:rPr>
        <w:t xml:space="preserve">   </w:t>
      </w:r>
      <w:r>
        <w:rPr>
          <w:rFonts w:ascii="仿宋_GB2312" w:eastAsia="仿宋_GB2312"/>
          <w:bCs/>
          <w:color w:val="000000" w:themeColor="text1"/>
          <w:kern w:val="0"/>
          <w:sz w:val="32"/>
          <w:szCs w:val="32"/>
        </w:rPr>
        <w:t>五、利州区煤矿驻矿安全监督工作站主要职能：对煤矿</w:t>
      </w:r>
      <w:r>
        <w:rPr>
          <w:rFonts w:ascii="仿宋_GB2312" w:eastAsia="仿宋_GB2312"/>
          <w:bCs/>
          <w:color w:val="000000"/>
          <w:kern w:val="0"/>
          <w:sz w:val="32"/>
          <w:szCs w:val="32"/>
        </w:rPr>
        <w:t>企业安全生产实施日常监督检查；参加监管监察部门的安全检查，督促煤矿企业落实上级安全监管监察部门下达的监管监察指令和处理决定；监督煤矿企业按要求给职工配发合格的劳动保护用品，督促煤矿企业按要求开展职业危害防治相关工作；及时反馈煤矿企业安全生产的各类信息；完成煤矿安全监管部门临时交办的任务。</w:t>
      </w:r>
      <w:r>
        <w:rPr>
          <w:rFonts w:ascii="仿宋_GB2312" w:eastAsia="仿宋_GB2312"/>
          <w:bCs/>
          <w:color w:val="000000"/>
          <w:kern w:val="0"/>
          <w:sz w:val="32"/>
          <w:szCs w:val="32"/>
        </w:rPr>
        <w:br w:type="textWrapping"/>
      </w:r>
      <w:r>
        <w:rPr>
          <w:rFonts w:hint="eastAsia" w:ascii="仿宋_GB2312" w:eastAsia="仿宋_GB2312"/>
          <w:bCs/>
          <w:color w:val="000000"/>
          <w:kern w:val="0"/>
          <w:sz w:val="32"/>
          <w:szCs w:val="32"/>
        </w:rPr>
        <w:t xml:space="preserve">    六</w:t>
      </w:r>
      <w:r>
        <w:rPr>
          <w:rFonts w:ascii="仿宋_GB2312" w:eastAsia="仿宋_GB2312"/>
          <w:bCs/>
          <w:color w:val="000000"/>
          <w:kern w:val="0"/>
          <w:sz w:val="32"/>
          <w:szCs w:val="32"/>
        </w:rPr>
        <w:t>、利州区安全生产监察执法大队主要职能：负责本行政区域直接监管范围内安全生产违法行为的查处、行政处罚、行政强制工作和重大危险源监控措施的落实情况进行执法监察；参与一般事故的调查处理；组织、指导乡镇（街道）安全生产巡查和委托执法工作，受理有关安全生产的举报。</w:t>
      </w:r>
      <w:r>
        <w:rPr>
          <w:rFonts w:ascii="仿宋_GB2312" w:eastAsia="仿宋_GB2312"/>
          <w:bCs/>
          <w:color w:val="000000"/>
          <w:kern w:val="0"/>
          <w:sz w:val="32"/>
          <w:szCs w:val="32"/>
        </w:rPr>
        <w:br w:type="textWrapping"/>
      </w:r>
      <w:r>
        <w:rPr>
          <w:rFonts w:hint="eastAsia" w:ascii="仿宋_GB2312" w:eastAsia="仿宋_GB2312"/>
          <w:bCs/>
          <w:color w:val="000000"/>
          <w:kern w:val="0"/>
          <w:sz w:val="32"/>
          <w:szCs w:val="32"/>
        </w:rPr>
        <w:t xml:space="preserve">    七</w:t>
      </w:r>
      <w:r>
        <w:rPr>
          <w:rFonts w:ascii="仿宋_GB2312" w:eastAsia="仿宋_GB2312"/>
          <w:bCs/>
          <w:color w:val="000000"/>
          <w:kern w:val="0"/>
          <w:sz w:val="32"/>
          <w:szCs w:val="32"/>
        </w:rPr>
        <w:t>、利州区煤炭安全监察执法中队主要职能：负责对职责范围内生产经营单位进行执法检查；参与生产安全事故调查和处理；负责安全生产举报查处；负责重大事故隐患排查报告的受理、登记建档、跟踪监控、督促整改。</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spacing w:line="576"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年末实有人数机关行政实有人数12人，工勤事业实有人数5人，参照公务管理人数9人，其他事业单位人数40人。截止2019年12月31日共有在职人员66人、退休人员21人。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9年度财政拨款收入1579.87万元，与</w:t>
      </w:r>
      <w:r>
        <w:rPr>
          <w:rFonts w:ascii="仿宋_GB2312" w:eastAsia="仿宋_GB2312"/>
          <w:color w:val="000000"/>
          <w:sz w:val="32"/>
          <w:szCs w:val="32"/>
        </w:rPr>
        <w:t>201</w:t>
      </w:r>
      <w:r>
        <w:rPr>
          <w:rFonts w:hint="eastAsia" w:ascii="仿宋_GB2312" w:eastAsia="仿宋_GB2312"/>
          <w:color w:val="000000"/>
          <w:sz w:val="32"/>
          <w:szCs w:val="32"/>
        </w:rPr>
        <w:t>8年相比，财政拨款收入增加174.2万元，增加12.39</w:t>
      </w:r>
      <w:r>
        <w:rPr>
          <w:rFonts w:ascii="仿宋_GB2312" w:eastAsia="仿宋_GB2312"/>
          <w:color w:val="000000"/>
          <w:sz w:val="32"/>
          <w:szCs w:val="32"/>
        </w:rPr>
        <w:t>%</w:t>
      </w:r>
      <w:r>
        <w:rPr>
          <w:rFonts w:hint="eastAsia" w:ascii="仿宋_GB2312" w:eastAsia="仿宋_GB2312"/>
          <w:color w:val="000000"/>
          <w:sz w:val="32"/>
          <w:szCs w:val="32"/>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9年度财政拨款支出1247.68万元，与</w:t>
      </w:r>
      <w:r>
        <w:rPr>
          <w:rFonts w:ascii="仿宋_GB2312" w:eastAsia="仿宋_GB2312"/>
          <w:color w:val="000000"/>
          <w:sz w:val="32"/>
          <w:szCs w:val="32"/>
        </w:rPr>
        <w:t>201</w:t>
      </w:r>
      <w:r>
        <w:rPr>
          <w:rFonts w:hint="eastAsia" w:ascii="仿宋_GB2312" w:eastAsia="仿宋_GB2312"/>
          <w:color w:val="000000"/>
          <w:sz w:val="32"/>
          <w:szCs w:val="32"/>
        </w:rPr>
        <w:t>8年相比，财政拨款支出减少853.52万元，减少40.62</w:t>
      </w:r>
      <w:r>
        <w:rPr>
          <w:rFonts w:ascii="仿宋_GB2312" w:eastAsia="仿宋_GB2312"/>
          <w:color w:val="000000"/>
          <w:sz w:val="32"/>
          <w:szCs w:val="32"/>
        </w:rPr>
        <w:t>%</w:t>
      </w:r>
      <w:r>
        <w:rPr>
          <w:rFonts w:hint="eastAsia" w:ascii="仿宋_GB2312" w:eastAsia="仿宋_GB2312"/>
          <w:color w:val="000000"/>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eastAsia="仿宋_GB2312"/>
          <w:bCs/>
          <w:color w:val="000000"/>
          <w:kern w:val="0"/>
          <w:sz w:val="32"/>
          <w:szCs w:val="32"/>
        </w:rPr>
      </w:pPr>
      <w:r>
        <w:rPr>
          <w:rFonts w:hint="eastAsia" w:ascii="仿宋_GB2312" w:eastAsia="仿宋_GB2312"/>
          <w:bCs/>
          <w:color w:val="000000"/>
          <w:kern w:val="0"/>
          <w:sz w:val="32"/>
          <w:szCs w:val="32"/>
        </w:rPr>
        <w:t>2019年利州区应急局部门整体支出资金绩效评价总体良好，主要体现在：预算编制及时，认真执行各项财经纪律，财务管理内控制度健全，资金使用规范，无乱发津补贴、奖金现象。</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（二）专项预算管理。</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我局专项资金按照文件规定申请申报；所提交的文件、材料符合相关要求，事前经过内部控制领导小组审核，分管财务领导审核、局长审批，并达到预期效果。同时，我局严格按照上级部门及本级财政专项工作资金的相关规定办法进行开支，做到专款专用，无挪用、占用、套取的现象发生。</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（三）结果应用情况。</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根据自评结果，2019年度部门整体预算绩效质量好，既保障了本单位职工正常办公和生活秩序，工资薪金正常发放，又顺利完成各项统计工作任务，同时严肃预算管理，保障各项工作顺利开展，严格履行法定职责，圆满完成了区委、区政府部署的工作任务，准确评价了各项指标的完成情况，群众满意度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2019年度，本部门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（二）存在问题。</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在资金使用计划上有待进一步加强,要进一步细化预算编制,编制范围尽可能全面，不漏项。进一步提高预算编制的科学性、合理性、严谨性和可控性。</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（三）改进建议。</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加强预算编制的前瞻性，进一步优化预算编制，避免项目支出与基本支出划分不准或预算支出与实际执行出现较大偏差的情况，执行中确需调剂预算的，按规定程序报经批准。</w:t>
      </w:r>
    </w:p>
    <w:p>
      <w:pPr>
        <w:spacing w:line="576" w:lineRule="exact"/>
        <w:jc w:val="left"/>
        <w:rPr>
          <w:rFonts w:ascii="方正小标宋简体" w:hAnsi="仿宋" w:eastAsia="方正小标宋简体"/>
          <w:sz w:val="44"/>
          <w:szCs w:val="44"/>
        </w:rPr>
      </w:pPr>
    </w:p>
    <w:p>
      <w:pPr>
        <w:spacing w:line="576" w:lineRule="exact"/>
        <w:jc w:val="left"/>
        <w:rPr>
          <w:rFonts w:ascii="方正小标宋简体" w:hAnsi="仿宋" w:eastAsia="方正小标宋简体"/>
          <w:sz w:val="44"/>
          <w:szCs w:val="44"/>
        </w:rPr>
      </w:pPr>
    </w:p>
    <w:p>
      <w:pPr>
        <w:spacing w:line="576" w:lineRule="exact"/>
        <w:jc w:val="left"/>
        <w:rPr>
          <w:rFonts w:ascii="方正小标宋简体" w:hAnsi="仿宋" w:eastAsia="方正小标宋简体"/>
          <w:sz w:val="44"/>
          <w:szCs w:val="44"/>
        </w:rPr>
      </w:pPr>
      <w:r>
        <w:rPr>
          <w:rFonts w:hint="eastAsia" w:ascii="方正小标宋简体" w:hAnsi="仿宋" w:eastAsia="方正小标宋简体"/>
          <w:sz w:val="44"/>
          <w:szCs w:val="44"/>
        </w:rPr>
        <w:t>附件2：</w:t>
      </w:r>
    </w:p>
    <w:p>
      <w:pPr>
        <w:spacing w:line="580" w:lineRule="exact"/>
        <w:ind w:firstLine="640" w:firstLineChars="200"/>
        <w:rPr>
          <w:rFonts w:ascii="仿宋_GB2312" w:hAnsi="仿宋_GB2312" w:eastAsia="仿宋_GB2312" w:cs="仿宋_GB2312"/>
          <w:sz w:val="32"/>
          <w:szCs w:val="32"/>
        </w:rPr>
      </w:pPr>
    </w:p>
    <w:p>
      <w:pPr>
        <w:spacing w:line="576"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关于煤矿安全监管、安全教育绩效评价</w:t>
      </w:r>
    </w:p>
    <w:p>
      <w:pPr>
        <w:spacing w:line="576"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自 评 报 告</w:t>
      </w:r>
    </w:p>
    <w:p>
      <w:pPr>
        <w:spacing w:line="576" w:lineRule="exact"/>
        <w:ind w:firstLine="640" w:firstLineChars="200"/>
        <w:rPr>
          <w:rFonts w:ascii="仿宋" w:hAnsi="仿宋" w:eastAsia="仿宋"/>
          <w:sz w:val="32"/>
          <w:szCs w:val="32"/>
        </w:rPr>
      </w:pPr>
    </w:p>
    <w:p>
      <w:pPr>
        <w:spacing w:line="576" w:lineRule="exact"/>
        <w:ind w:firstLine="640" w:firstLineChars="200"/>
        <w:rPr>
          <w:rFonts w:ascii="仿宋" w:hAnsi="仿宋" w:eastAsia="仿宋"/>
          <w:sz w:val="32"/>
          <w:szCs w:val="32"/>
        </w:rPr>
      </w:pPr>
      <w:r>
        <w:rPr>
          <w:rFonts w:hint="eastAsia" w:ascii="仿宋" w:hAnsi="仿宋" w:eastAsia="仿宋"/>
          <w:sz w:val="32"/>
          <w:szCs w:val="32"/>
        </w:rPr>
        <w:t>根据《</w:t>
      </w:r>
      <w:r>
        <w:rPr>
          <w:rFonts w:ascii="仿宋" w:hAnsi="仿宋" w:eastAsia="仿宋"/>
          <w:sz w:val="32"/>
          <w:szCs w:val="32"/>
        </w:rPr>
        <w:t>2016</w:t>
      </w:r>
      <w:r>
        <w:rPr>
          <w:rFonts w:hint="eastAsia" w:ascii="仿宋" w:hAnsi="仿宋" w:eastAsia="仿宋"/>
          <w:sz w:val="32"/>
          <w:szCs w:val="32"/>
        </w:rPr>
        <w:t>年财政支出绩效评价工作方案的通知》（广利财绩〔</w:t>
      </w:r>
      <w:r>
        <w:rPr>
          <w:rFonts w:ascii="仿宋" w:hAnsi="仿宋" w:eastAsia="仿宋"/>
          <w:sz w:val="32"/>
          <w:szCs w:val="32"/>
        </w:rPr>
        <w:t>2016</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号）文件的要求，我局高度重视，针对绩效考评的内容，结合资金使用实际，认真的进行绩效自我评价。现将自评情况报告如下。</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主管部门管理职能。牢固树立安全发展理念，坚持标本兼治，综合治理，源头管控的原则，从严落实监管主责任和企业安全生产主体责任，努力建造一支素质高、业务精、作风优的监管执法队伍，为我区煤炭产业安全有序发展奠定良好的基础。</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二、部门财政资金收支情况</w:t>
      </w:r>
    </w:p>
    <w:p>
      <w:pPr>
        <w:spacing w:line="576" w:lineRule="exact"/>
        <w:ind w:firstLine="640" w:firstLineChars="200"/>
        <w:rPr>
          <w:rFonts w:ascii="楷体" w:hAnsi="楷体" w:eastAsia="楷体"/>
          <w:sz w:val="32"/>
          <w:szCs w:val="32"/>
        </w:rPr>
      </w:pPr>
      <w:r>
        <w:rPr>
          <w:rFonts w:hint="eastAsia" w:ascii="楷体" w:hAnsi="楷体" w:eastAsia="楷体"/>
          <w:sz w:val="32"/>
          <w:szCs w:val="32"/>
        </w:rPr>
        <w:t>（一）财政资金收入情况</w:t>
      </w:r>
    </w:p>
    <w:p>
      <w:pPr>
        <w:spacing w:line="576"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资金计划及到位。区级专项资金每年年初预算15万元， 2019年该项目主要用于煤矿安全检查、煤矿执法取证、监管人员培训费、煤矿维稳等</w:t>
      </w:r>
      <w:r>
        <w:rPr>
          <w:rFonts w:hint="eastAsia" w:ascii="仿宋" w:hAnsi="仿宋" w:eastAsia="仿宋"/>
          <w:sz w:val="32"/>
          <w:szCs w:val="32"/>
          <w:lang w:eastAsia="zh-CN"/>
        </w:rPr>
        <w:t>方面</w:t>
      </w:r>
      <w:r>
        <w:rPr>
          <w:rFonts w:hint="eastAsia" w:ascii="仿宋" w:hAnsi="仿宋" w:eastAsia="仿宋"/>
          <w:sz w:val="32"/>
          <w:szCs w:val="32"/>
        </w:rPr>
        <w:t>的资金。</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（二）财政资金支出情况：2019年1-12月拨付资金共计15万元资金到位100%。</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（三）资金管理及使用范围。我局财务人员严格监管资金使用，做到专款专用，跟踪资金使用必须建立专户进行管理，并接受国家、地方有关部门的监督、审计、稽查。</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四）专项预算管理：为进一步提高财政预算管理精细化水平，加强基本建设预算管理，提高预算编制科学性，合理性，更好地发挥财政资金使用效益，区级专项资金到位后，我局严格按照专款专用的原则，实行单独建账，独立核算，专人专账，专项管理，严格按财务审批手续制度审核。严禁</w:t>
      </w:r>
      <w:r>
        <w:rPr>
          <w:rFonts w:hint="eastAsia" w:ascii="仿宋" w:hAnsi="仿宋" w:eastAsia="仿宋"/>
          <w:sz w:val="32"/>
          <w:szCs w:val="32"/>
          <w:lang w:eastAsia="zh-CN"/>
        </w:rPr>
        <w:t>挪作他用</w:t>
      </w:r>
      <w:r>
        <w:rPr>
          <w:rFonts w:hint="eastAsia" w:ascii="仿宋" w:hAnsi="仿宋" w:eastAsia="仿宋"/>
          <w:sz w:val="32"/>
          <w:szCs w:val="32"/>
        </w:rPr>
        <w:t>和资金截留。</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的实施有利于推进企业安全生产标准化建设，进一步提高企业安全生产管理水平和企业本质安全能力，强化安全生产应急救援保障工作，进一步降低企业发生生产安全事故的机率，及时调查和处理各类生产安全事故，确保全</w:t>
      </w:r>
      <w:r>
        <w:rPr>
          <w:rFonts w:hint="eastAsia" w:ascii="仿宋" w:hAnsi="仿宋" w:eastAsia="仿宋" w:cs="仿宋_GB2312"/>
          <w:sz w:val="32"/>
          <w:szCs w:val="32"/>
        </w:rPr>
        <w:t>区</w:t>
      </w:r>
      <w:r>
        <w:rPr>
          <w:rFonts w:ascii="仿宋" w:hAnsi="仿宋" w:eastAsia="仿宋" w:cs="仿宋_GB2312"/>
          <w:sz w:val="32"/>
          <w:szCs w:val="32"/>
        </w:rPr>
        <w:t>安全生产持续保持稳定。通过开展安全生产宣传</w:t>
      </w:r>
      <w:r>
        <w:rPr>
          <w:rFonts w:hint="eastAsia" w:ascii="仿宋" w:hAnsi="仿宋" w:eastAsia="仿宋" w:cs="仿宋_GB2312"/>
          <w:sz w:val="32"/>
          <w:szCs w:val="32"/>
        </w:rPr>
        <w:t>、检查</w:t>
      </w:r>
      <w:r>
        <w:rPr>
          <w:rFonts w:ascii="仿宋" w:hAnsi="仿宋" w:eastAsia="仿宋" w:cs="仿宋_GB2312"/>
          <w:sz w:val="32"/>
          <w:szCs w:val="32"/>
        </w:rPr>
        <w:t>、培训、有利于提高全民安全意识，进一步促进安全生产工作顺利开展。</w:t>
      </w:r>
      <w:r>
        <w:rPr>
          <w:rFonts w:hint="eastAsia" w:ascii="仿宋" w:hAnsi="仿宋" w:eastAsia="仿宋" w:cs="仿宋_GB2312"/>
          <w:sz w:val="32"/>
          <w:szCs w:val="32"/>
        </w:rPr>
        <w:t>根据中共中央办公厅 国务院办公厅印发《地方党政领导干部安全生产责任制规定》 及中共四川省委办公厅、四川省人民政府办公厅关于党政领导干部安全生产责任制实施细则（川委办〔2018〕27号），设立安全生产专项资金并列入本级财政预算、与财政收入保持同步增长。</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该笔专项资金使用、管理,程序规范、结果透明。资金到位率高、到位基本及时、资金专用率高、基本无挤占、挪用。通过该项目的实施,增强了全民安全意识, 进一步夯实了全区安全生产基础工作,提升了应急管理水平和应急救援能力,有效地降低、遏制了事故的发生,提高了安全监管工作的科学化、精细化、标准化和信息化水平,取得了明显的经济收益和社会效益。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项目评价通过数量指标、质量指标、时效指标、经济效益指标、社会效益指标、群众满意度指标进行评价。项目资金到位率高、到位基本及时、资金专用率高、基本无挤占、挪用。</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三、目标完成情况</w:t>
      </w:r>
    </w:p>
    <w:p>
      <w:pPr>
        <w:spacing w:line="576" w:lineRule="exact"/>
        <w:ind w:firstLine="640" w:firstLineChars="200"/>
        <w:rPr>
          <w:rFonts w:ascii="楷体" w:hAnsi="楷体" w:eastAsia="楷体"/>
          <w:sz w:val="32"/>
          <w:szCs w:val="32"/>
        </w:rPr>
      </w:pPr>
      <w:r>
        <w:rPr>
          <w:rFonts w:hint="eastAsia" w:ascii="楷体" w:hAnsi="楷体" w:eastAsia="楷体"/>
          <w:sz w:val="32"/>
          <w:szCs w:val="32"/>
        </w:rPr>
        <w:t>（一）目标任务量完成情况</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对照计划目标，预计</w:t>
      </w:r>
      <w:r>
        <w:rPr>
          <w:rFonts w:ascii="仿宋" w:hAnsi="仿宋" w:eastAsia="仿宋"/>
          <w:sz w:val="32"/>
          <w:szCs w:val="32"/>
        </w:rPr>
        <w:t>201</w:t>
      </w:r>
      <w:r>
        <w:rPr>
          <w:rFonts w:hint="eastAsia" w:ascii="仿宋" w:hAnsi="仿宋" w:eastAsia="仿宋"/>
          <w:sz w:val="32"/>
          <w:szCs w:val="32"/>
        </w:rPr>
        <w:t>9年底完成任务。</w:t>
      </w:r>
    </w:p>
    <w:p>
      <w:pPr>
        <w:spacing w:line="576" w:lineRule="exact"/>
        <w:ind w:firstLine="640" w:firstLineChars="200"/>
        <w:rPr>
          <w:rFonts w:ascii="楷体" w:hAnsi="楷体" w:eastAsia="楷体"/>
          <w:sz w:val="32"/>
          <w:szCs w:val="32"/>
        </w:rPr>
      </w:pPr>
      <w:r>
        <w:rPr>
          <w:rFonts w:hint="eastAsia" w:ascii="楷体" w:hAnsi="楷体" w:eastAsia="楷体"/>
          <w:sz w:val="32"/>
          <w:szCs w:val="32"/>
        </w:rPr>
        <w:t>（二）目标进度完成情况</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对照计划目标，按照预期进度安排，于</w:t>
      </w:r>
      <w:r>
        <w:rPr>
          <w:rFonts w:ascii="仿宋" w:hAnsi="仿宋" w:eastAsia="仿宋"/>
          <w:sz w:val="32"/>
          <w:szCs w:val="32"/>
        </w:rPr>
        <w:t>201</w:t>
      </w:r>
      <w:r>
        <w:rPr>
          <w:rFonts w:hint="eastAsia" w:ascii="仿宋" w:hAnsi="仿宋" w:eastAsia="仿宋"/>
          <w:sz w:val="32"/>
          <w:szCs w:val="32"/>
        </w:rPr>
        <w:t>9年年底完成目标任务。</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存在的问题及建议：进一步改进管理措施，提高管理水平，二是将绩效评价结果作为以后安排预算的依据，优化资源配置，三是将才评价结果按照政府信息公开的方式进行公开，加强社会公众对财政资金使用效益的监督。</w:t>
      </w:r>
    </w:p>
    <w:p>
      <w:pPr>
        <w:spacing w:line="580" w:lineRule="exact"/>
        <w:rPr>
          <w:rFonts w:ascii="仿宋_GB2312" w:hAnsi="仿宋_GB2312" w:eastAsia="仿宋_GB2312" w:cs="仿宋_GB2312"/>
          <w:sz w:val="32"/>
          <w:szCs w:val="32"/>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2019年其他扶贫项目（第一书记工作经费）支出绩效评价报告</w:t>
      </w:r>
    </w:p>
    <w:p>
      <w:pPr>
        <w:spacing w:line="580" w:lineRule="exact"/>
        <w:ind w:firstLine="642" w:firstLineChars="200"/>
        <w:rPr>
          <w:rFonts w:ascii="仿宋" w:hAnsi="仿宋" w:eastAsia="仿宋" w:cs="仿宋_GB2312"/>
          <w:b/>
          <w:sz w:val="32"/>
          <w:szCs w:val="32"/>
        </w:rPr>
      </w:pP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一</w:t>
      </w:r>
      <w:r>
        <w:rPr>
          <w:rFonts w:ascii="仿宋" w:hAnsi="仿宋" w:eastAsia="仿宋" w:cs="仿宋_GB2312"/>
          <w:b/>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局共有帮扶村4个（其中贫困村2个，荣山二重岩村；白朝永久村，非贫困村2个，荣山岩窝村，白朝白朝村），2019年区财政预算安排第一书记工作经费专项资金3万元，该资金主要用于第一书记购买办公用品，资料印刷等，慰问困难党员群众，订购第一书记提升能力、党员群众教育的各类报刊资料，开展党组织活动，以及其他与第一书记工作相关的支出。</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二</w:t>
      </w:r>
      <w:r>
        <w:rPr>
          <w:rFonts w:ascii="仿宋" w:hAnsi="仿宋" w:eastAsia="仿宋" w:cs="仿宋_GB2312"/>
          <w:b/>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600" w:lineRule="exact"/>
        <w:ind w:firstLine="640" w:firstLineChars="200"/>
        <w:rPr>
          <w:rFonts w:ascii="仿宋_GB2312" w:hAnsi="仿宋_GB2312" w:eastAsia="仿宋_GB2312" w:cs="仿宋_GB2312"/>
          <w:color w:val="000000"/>
          <w:sz w:val="32"/>
          <w:szCs w:val="32"/>
        </w:rPr>
      </w:pPr>
      <w:r>
        <w:rPr>
          <w:rFonts w:hint="eastAsia" w:ascii="仿宋" w:hAnsi="仿宋" w:eastAsia="仿宋" w:cs="仿宋_GB2312"/>
          <w:sz w:val="32"/>
          <w:szCs w:val="32"/>
        </w:rPr>
        <w:t>项目评价通过数量指标、时效指标、经济效益指标、社会效益指标、群众满意度指标进行评价。通过采取数量和文字相结合的方法对项目进行评价，确保能实际反映项目实际完成情况。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根据广利组通〔2015〕146号文件要求，要切实落实第一书记的生活工作保障，足额保障第一书记的工作经费。按照分级负责、分级保障的原则，列入年度单位预算。</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笔专项资金使用、管理,程序规范、结果透明。资金到位率高、到位基本及时、资金专用率高、无挤占、挪用。通过该项目的实施，保障了第一书记的工作经费，为第一书记的各项工作提供了有力的保障，出色的完成了上级交办的各项任务，并带领全村人民发展产业及集体经济，实现脱贫摘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项目评价通过数量指标、质量指标、时效指标、成本指标、经济效益指标、社会效益指标、群众满意度指标进行评价。项目资金到位率高、到位基本及时、资金专用率高、基本无挤占、挪用。</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三</w:t>
      </w:r>
      <w:r>
        <w:rPr>
          <w:rFonts w:ascii="仿宋" w:hAnsi="仿宋" w:eastAsia="仿宋" w:cs="仿宋_GB2312"/>
          <w:b/>
          <w:sz w:val="32"/>
          <w:szCs w:val="32"/>
        </w:rPr>
        <w:t>、存在主要问题</w:t>
      </w:r>
    </w:p>
    <w:p>
      <w:pPr>
        <w:pStyle w:val="13"/>
        <w:spacing w:before="93"/>
        <w:ind w:left="0" w:leftChars="0" w:firstLine="640"/>
        <w:rPr>
          <w:rFonts w:ascii="仿宋" w:hAnsi="仿宋" w:eastAsia="仿宋" w:cs="仿宋_GB2312"/>
          <w:sz w:val="32"/>
          <w:szCs w:val="32"/>
        </w:rPr>
      </w:pPr>
      <w:r>
        <w:rPr>
          <w:rFonts w:hint="eastAsia" w:ascii="仿宋" w:hAnsi="仿宋" w:eastAsia="仿宋" w:cs="仿宋_GB2312"/>
          <w:sz w:val="32"/>
          <w:szCs w:val="32"/>
        </w:rPr>
        <w:t>项目资金预算不够，机关经费严重不足。</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四</w:t>
      </w:r>
      <w:r>
        <w:rPr>
          <w:rFonts w:ascii="仿宋" w:hAnsi="仿宋" w:eastAsia="仿宋" w:cs="仿宋_GB2312"/>
          <w:b/>
          <w:sz w:val="32"/>
          <w:szCs w:val="32"/>
        </w:rPr>
        <w:t>、相关措施建议</w:t>
      </w:r>
    </w:p>
    <w:p>
      <w:pPr>
        <w:pStyle w:val="13"/>
        <w:spacing w:before="93"/>
        <w:ind w:left="0" w:leftChars="0" w:firstLine="640"/>
        <w:rPr>
          <w:rFonts w:ascii="仿宋" w:hAnsi="仿宋" w:eastAsia="仿宋" w:cs="仿宋_GB2312"/>
          <w:sz w:val="32"/>
          <w:szCs w:val="32"/>
        </w:rPr>
      </w:pPr>
      <w:r>
        <w:rPr>
          <w:rFonts w:hint="eastAsia" w:ascii="仿宋" w:hAnsi="仿宋" w:eastAsia="仿宋" w:cs="仿宋_GB2312"/>
          <w:sz w:val="32"/>
          <w:szCs w:val="32"/>
        </w:rPr>
        <w:t>建议增加预算资金。</w:t>
      </w:r>
    </w:p>
    <w:p>
      <w:pPr>
        <w:spacing w:line="600" w:lineRule="exact"/>
        <w:rPr>
          <w:rFonts w:ascii="宋体" w:hAnsi="宋体"/>
          <w:sz w:val="32"/>
          <w:szCs w:val="32"/>
          <w:lang w:val="zh-CN"/>
        </w:rPr>
      </w:pPr>
    </w:p>
    <w:p>
      <w:pPr>
        <w:widowControl/>
        <w:jc w:val="left"/>
        <w:rPr>
          <w:rStyle w:val="25"/>
          <w:rFonts w:ascii="黑体" w:hAnsi="黑体" w:eastAsia="黑体"/>
          <w:b w:val="0"/>
        </w:rPr>
      </w:pPr>
    </w:p>
    <w:p>
      <w:pPr>
        <w:spacing w:line="580" w:lineRule="exact"/>
        <w:jc w:val="left"/>
        <w:rPr>
          <w:rFonts w:ascii="仿宋" w:hAnsi="仿宋" w:eastAsia="仿宋"/>
          <w:sz w:val="32"/>
          <w:szCs w:val="32"/>
        </w:rPr>
      </w:pPr>
      <w:r>
        <w:rPr>
          <w:rStyle w:val="25"/>
          <w:rFonts w:ascii="黑体" w:hAnsi="黑体" w:eastAsia="黑体"/>
        </w:rPr>
        <w:br w:type="page"/>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2019年区域自动气象站维护及天气预报播出项目支出绩效评价报告</w:t>
      </w:r>
    </w:p>
    <w:p>
      <w:pPr>
        <w:jc w:val="left"/>
        <w:rPr>
          <w:rFonts w:ascii="仿宋" w:hAnsi="仿宋" w:eastAsia="仿宋"/>
          <w:sz w:val="32"/>
          <w:szCs w:val="32"/>
        </w:rPr>
      </w:pP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一</w:t>
      </w:r>
      <w:r>
        <w:rPr>
          <w:rFonts w:ascii="仿宋" w:hAnsi="仿宋" w:eastAsia="仿宋" w:cs="仿宋_GB2312"/>
          <w:b/>
          <w:sz w:val="32"/>
          <w:szCs w:val="32"/>
        </w:rPr>
        <w:t>、评价工作开展及项目情况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区域自动气象站维护及天气预报播出资金项目绩效目标完成情况综述。该项目</w:t>
      </w:r>
      <w:r>
        <w:rPr>
          <w:rFonts w:hint="eastAsia" w:ascii="仿宋" w:hAnsi="仿宋" w:eastAsia="仿宋"/>
          <w:color w:val="000000" w:themeColor="text1"/>
          <w:sz w:val="32"/>
          <w:szCs w:val="32"/>
        </w:rPr>
        <w:t>主要用于信息传输和设备维护维修费及天气预报、气象预警信</w:t>
      </w:r>
      <w:r>
        <w:rPr>
          <w:rFonts w:hint="eastAsia" w:ascii="仿宋" w:hAnsi="仿宋" w:eastAsia="仿宋"/>
          <w:sz w:val="32"/>
          <w:szCs w:val="32"/>
        </w:rPr>
        <w:t>号、森林防火等信息发布。项目总体目标：保障气象业务的正常运行，气象防灾减灾工作的正常有序开展，有利于获得连续性气象要素，更好地为社会公众及政府提供有价值的气象信息。提高政府部门联运能力，更好地为气象防灾减灾工作提供政府决策气象服务，增加气象防灾减灾能力，增加气象为农服务，减少因气象灾害造成的经济损失。</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二</w:t>
      </w:r>
      <w:r>
        <w:rPr>
          <w:rFonts w:ascii="仿宋" w:hAnsi="仿宋" w:eastAsia="仿宋" w:cs="仿宋_GB2312"/>
          <w:b/>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项目评价通过数量指标、时效指标、经济效益指标、社会效益指标、群众满意度指标进行评价。通过采取数量和文字相结合的方法对项目进行评价，确保能实际反映项目实际完成情况。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气象业务正常运作，有利于准确监测预报预警气象灾害发生发展的强降水灾害性天气，及时发布预警服务信息，有利于最大限度地减少灾害造成的人员伤亡和财产损失，减少受灾人口，有利于社会稳定，保证社会正常生产和生活活动，从而促进当地社会的可持续发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该笔专项资金使用、管理,程序规范、结果透明。资金到位率高、到位基本及时、资金专用率高、无挤占、挪用等情况。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项目评价通过数量指标、质量指标、时效指标、成本指标、经济效益指标、社会效益指标、群众满意度指标进行评价。项目资金到位率高、到位基本及时、资金专用率高、基本无挤占、挪用。</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三</w:t>
      </w:r>
      <w:r>
        <w:rPr>
          <w:rFonts w:ascii="仿宋" w:hAnsi="仿宋" w:eastAsia="仿宋" w:cs="仿宋_GB2312"/>
          <w:b/>
          <w:sz w:val="32"/>
          <w:szCs w:val="32"/>
        </w:rPr>
        <w:t>、存在主要问题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1、项目执行虽按预期进度和目标完成，但是略显效率低。2、项目各细化资金实际支出金额与预算存在有些差异。</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四</w:t>
      </w:r>
      <w:r>
        <w:rPr>
          <w:rFonts w:ascii="仿宋" w:hAnsi="仿宋" w:eastAsia="仿宋" w:cs="仿宋_GB2312"/>
          <w:b/>
          <w:sz w:val="32"/>
          <w:szCs w:val="32"/>
        </w:rPr>
        <w:t>、相关措施建议</w:t>
      </w:r>
    </w:p>
    <w:p>
      <w:pPr>
        <w:pStyle w:val="13"/>
        <w:spacing w:before="93"/>
        <w:ind w:left="0" w:leftChars="0" w:firstLine="640"/>
        <w:rPr>
          <w:rFonts w:ascii="仿宋" w:hAnsi="仿宋" w:eastAsia="仿宋" w:cs="仿宋_GB2312"/>
          <w:sz w:val="32"/>
          <w:szCs w:val="32"/>
        </w:rPr>
      </w:pPr>
      <w:r>
        <w:rPr>
          <w:rFonts w:hint="eastAsia" w:ascii="仿宋" w:hAnsi="仿宋" w:eastAsia="仿宋" w:cs="仿宋_GB2312"/>
          <w:sz w:val="32"/>
          <w:szCs w:val="32"/>
        </w:rPr>
        <w:t>1、加大对执行过程中沟通、工作督察、指导、及时纠偏、提高资金使用效益。</w:t>
      </w:r>
    </w:p>
    <w:p>
      <w:pPr>
        <w:pStyle w:val="13"/>
        <w:spacing w:before="93"/>
        <w:ind w:left="0" w:leftChars="0" w:firstLine="640"/>
        <w:rPr>
          <w:rFonts w:ascii="仿宋" w:hAnsi="仿宋" w:eastAsia="仿宋" w:cs="仿宋_GB2312"/>
          <w:sz w:val="32"/>
          <w:szCs w:val="32"/>
        </w:rPr>
      </w:pPr>
      <w:r>
        <w:rPr>
          <w:rFonts w:hint="eastAsia" w:ascii="仿宋" w:hAnsi="仿宋" w:eastAsia="仿宋" w:cs="仿宋_GB2312"/>
          <w:sz w:val="32"/>
          <w:szCs w:val="32"/>
        </w:rPr>
        <w:t>2、逐步细化完善绩效管理功能，提高项目管理水平。</w:t>
      </w:r>
    </w:p>
    <w:p>
      <w:pPr>
        <w:pStyle w:val="13"/>
        <w:spacing w:before="93"/>
        <w:ind w:left="0" w:leftChars="0" w:firstLine="640"/>
        <w:rPr>
          <w:rFonts w:ascii="仿宋" w:hAnsi="仿宋" w:eastAsia="仿宋" w:cs="仿宋_GB2312"/>
          <w:bCs/>
          <w:sz w:val="32"/>
          <w:szCs w:val="32"/>
        </w:rPr>
      </w:pPr>
    </w:p>
    <w:p>
      <w:pPr>
        <w:pStyle w:val="13"/>
        <w:spacing w:before="93"/>
        <w:ind w:left="0" w:leftChars="0" w:firstLine="640"/>
        <w:rPr>
          <w:rFonts w:ascii="仿宋" w:hAnsi="仿宋" w:eastAsia="仿宋" w:cs="仿宋_GB2312"/>
          <w:bCs/>
          <w:sz w:val="32"/>
          <w:szCs w:val="32"/>
        </w:rPr>
      </w:pPr>
    </w:p>
    <w:p>
      <w:pPr>
        <w:pStyle w:val="13"/>
        <w:spacing w:before="93"/>
        <w:ind w:left="0" w:leftChars="0" w:firstLine="640"/>
        <w:rPr>
          <w:rFonts w:ascii="仿宋" w:hAnsi="仿宋" w:eastAsia="仿宋" w:cs="仿宋_GB2312"/>
          <w:bCs/>
          <w:sz w:val="32"/>
          <w:szCs w:val="32"/>
        </w:rPr>
      </w:pPr>
    </w:p>
    <w:p>
      <w:pPr>
        <w:widowControl/>
        <w:jc w:val="center"/>
        <w:rPr>
          <w:rFonts w:ascii="宋体" w:hAnsi="宋体" w:cs="宋体"/>
          <w:b/>
          <w:color w:val="000000"/>
          <w:sz w:val="44"/>
          <w:szCs w:val="44"/>
        </w:rPr>
      </w:pPr>
      <w:r>
        <w:rPr>
          <w:rFonts w:hint="eastAsia" w:ascii="宋体" w:hAnsi="宋体" w:cs="宋体"/>
          <w:b/>
          <w:color w:val="000000"/>
          <w:sz w:val="44"/>
          <w:szCs w:val="44"/>
        </w:rPr>
        <w:t>2019年安全监管监察专项</w:t>
      </w:r>
    </w:p>
    <w:p>
      <w:pPr>
        <w:widowControl/>
        <w:jc w:val="center"/>
        <w:rPr>
          <w:rFonts w:ascii="仿宋" w:hAnsi="仿宋" w:eastAsia="仿宋"/>
          <w:b/>
          <w:sz w:val="44"/>
          <w:szCs w:val="44"/>
        </w:rPr>
      </w:pPr>
      <w:r>
        <w:rPr>
          <w:rFonts w:hint="eastAsia" w:ascii="宋体" w:hAnsi="宋体" w:cs="宋体"/>
          <w:b/>
          <w:color w:val="000000"/>
          <w:sz w:val="44"/>
          <w:szCs w:val="44"/>
        </w:rPr>
        <w:t>项目</w:t>
      </w:r>
      <w:r>
        <w:rPr>
          <w:rFonts w:hint="eastAsia" w:ascii="黑体" w:hAnsi="黑体" w:eastAsia="黑体" w:cs="方正小标宋简体"/>
          <w:sz w:val="44"/>
          <w:szCs w:val="44"/>
        </w:rPr>
        <w:t>支出绩效评价报告</w:t>
      </w:r>
    </w:p>
    <w:p>
      <w:pPr>
        <w:spacing w:line="580" w:lineRule="exact"/>
        <w:ind w:firstLine="642" w:firstLineChars="200"/>
        <w:rPr>
          <w:rFonts w:ascii="仿宋" w:hAnsi="仿宋" w:eastAsia="仿宋" w:cs="仿宋_GB2312"/>
          <w:b/>
          <w:sz w:val="32"/>
          <w:szCs w:val="32"/>
        </w:rPr>
      </w:pP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一</w:t>
      </w:r>
      <w:r>
        <w:rPr>
          <w:rFonts w:ascii="仿宋" w:hAnsi="仿宋" w:eastAsia="仿宋" w:cs="仿宋_GB2312"/>
          <w:b/>
          <w:sz w:val="32"/>
          <w:szCs w:val="32"/>
        </w:rPr>
        <w:t>、评价工作开展及项目情况</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1.项目概况：为了构建“政府统一领导，部门依法执法，企业全面负责、群众监督与参与、全社会广泛参与”的安全生产格局，消除安全重大隐患，改善安全生产条件，防止重特大事故的发生。</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体实施范围：坚持安全发展理念和“生命至上、安全第一”的思想，以防范遏制重特大事故为目标，以安全生产双重预防控制体系建设为抓手，大力推进安全风险防控、隐患排查治理和基础能力建设，确保全区安全生产形势持续稳定。</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二</w:t>
      </w:r>
      <w:r>
        <w:rPr>
          <w:rFonts w:ascii="仿宋" w:hAnsi="仿宋" w:eastAsia="仿宋" w:cs="仿宋_GB2312"/>
          <w:b/>
          <w:sz w:val="32"/>
          <w:szCs w:val="32"/>
        </w:rPr>
        <w:t>、评价结论及绩效分析</w:t>
      </w:r>
    </w:p>
    <w:p>
      <w:pPr>
        <w:spacing w:line="68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1.绩效评价目的</w:t>
      </w:r>
    </w:p>
    <w:p>
      <w:pPr>
        <w:spacing w:line="6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组织开展对应急管理局2019年度“安全监管监察”项目专项资金财政支出绩效评价工作主要是为了：</w:t>
      </w:r>
    </w:p>
    <w:p>
      <w:pPr>
        <w:spacing w:line="6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（1）通过了解专项资金使用情况、项目组织管理实施情况、预期目标管理及完成等情况，着重了解专项资金支出带来的经济效益、社会效益及可持续影响。</w:t>
      </w:r>
    </w:p>
    <w:p>
      <w:pPr>
        <w:spacing w:line="6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项目的预期绩效目标与实际绩效目标进行比较，得出既定绩效目标的完成情况。对进行目标与实际工作不一致的内容进行原因分析，指出存在的问题，提出改进、完善的意见和建议，要求项目实施单位限期整改，从而提高项目综合效益。</w:t>
      </w:r>
    </w:p>
    <w:p>
      <w:pPr>
        <w:spacing w:line="6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（3）通过绩效评价使得财政部门在组织安排财政专项资金时，能改进资金的管理办法，合理规划资金分配，进而提高资金的使用效率。</w:t>
      </w:r>
    </w:p>
    <w:p>
      <w:pPr>
        <w:spacing w:line="68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三、绩效评价指标分析情况</w:t>
      </w:r>
    </w:p>
    <w:p>
      <w:pPr>
        <w:spacing w:line="6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（一）项目实施管理情况</w:t>
      </w:r>
    </w:p>
    <w:p>
      <w:pPr>
        <w:spacing w:line="6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局对于“安全监管监察项目”的申报、审核、审批符合资金使用流程，对于具体项目的管理较好的完成了年初目标。采用划行业排查、全闭环管理模式，帮助企业防范、化解安全风险；安全隐患治理和应急救援演练、安全生产监管等支出中，对于下拨经费的项目实施存在重支出、轻绩、监管不到位的现象。</w:t>
      </w:r>
    </w:p>
    <w:p>
      <w:pPr>
        <w:spacing w:line="6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（二）财务管理情况</w:t>
      </w:r>
    </w:p>
    <w:p>
      <w:pPr>
        <w:spacing w:line="6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使用和管理，较好的执行了专项财务管理制度，基本能按照年初目标使用专项资金。评价过程中没有发现挤占、截留、挪用、虚报、瞒报等违纪情况，审批程序和核算程序符合财务制度的规定，但对于下拨资金的支出进度及资金效益缺乏监督。</w:t>
      </w:r>
    </w:p>
    <w:p>
      <w:pPr>
        <w:spacing w:line="6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（三）项目绩效情况分析</w:t>
      </w:r>
    </w:p>
    <w:p>
      <w:pPr>
        <w:spacing w:line="6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（1）通过对该项目的绩效评价，该项目的实施，在消除隐患、改善安全生产条件、防止重特大事故、加强民众安全风险防范等方面起到了良好的社会效益，同时也保障了地方、企业的经济效益。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根据项目的申报绩效目标与实际绩效目标进行比较，该项目基本按照年初申报目标实施，但也有所偏离，通过和项目实施单位核实情况，建议在年初经费预算和绩效目标申报时进行调整。项目专项资金的管理还需精细化，项目实施单位作为预算绩效管理的责任主体，必须对下拨资金的使用全程跟踪负责，确保下拨每一笔资金花得安全、用得高效。</w:t>
      </w:r>
    </w:p>
    <w:p>
      <w:pPr>
        <w:spacing w:line="6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（四）下一步改进措施</w:t>
      </w:r>
    </w:p>
    <w:p>
      <w:pPr>
        <w:spacing w:line="6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加强专项资金监管，切实加强对项目资金投资方向，使用范围的审核，按规定程序和方式审核拨付资金。 </w:t>
      </w:r>
    </w:p>
    <w:p>
      <w:pPr>
        <w:spacing w:line="68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w:t>
      </w:r>
      <w:r>
        <w:rPr>
          <w:rFonts w:ascii="仿宋_GB2312" w:hAnsi="仿宋_GB2312" w:eastAsia="仿宋_GB2312" w:cs="仿宋_GB2312"/>
          <w:b/>
          <w:bCs/>
          <w:sz w:val="32"/>
          <w:szCs w:val="32"/>
        </w:rPr>
        <w:t>、相关措施建议</w:t>
      </w:r>
    </w:p>
    <w:p>
      <w:pPr>
        <w:spacing w:line="6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1、加大对执行过程中沟通、工作督察、指导、及时纠偏、提高资金使用效益。</w:t>
      </w:r>
    </w:p>
    <w:p>
      <w:pPr>
        <w:spacing w:line="6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2、逐步细化完善绩效管理功能，提高项目管理水平。</w:t>
      </w:r>
    </w:p>
    <w:p>
      <w:pPr>
        <w:widowControl/>
        <w:jc w:val="center"/>
        <w:rPr>
          <w:rFonts w:ascii="黑体" w:hAnsi="黑体" w:eastAsia="黑体" w:cs="方正小标宋简体"/>
          <w:sz w:val="36"/>
          <w:szCs w:val="36"/>
        </w:rPr>
      </w:pPr>
      <w:r>
        <w:rPr>
          <w:rFonts w:hint="eastAsia" w:ascii="黑体" w:hAnsi="黑体" w:eastAsia="黑体" w:cs="方正小标宋简体"/>
          <w:sz w:val="36"/>
          <w:szCs w:val="36"/>
        </w:rPr>
        <w:t>2019年“机械化换人、自动化减人”专项</w:t>
      </w:r>
    </w:p>
    <w:p>
      <w:pPr>
        <w:widowControl/>
        <w:jc w:val="center"/>
        <w:rPr>
          <w:rFonts w:ascii="仿宋" w:hAnsi="仿宋" w:eastAsia="仿宋" w:cs="仿宋_GB2312"/>
          <w:b/>
          <w:sz w:val="32"/>
          <w:szCs w:val="32"/>
        </w:rPr>
      </w:pPr>
      <w:r>
        <w:rPr>
          <w:rFonts w:hint="eastAsia" w:ascii="宋体" w:hAnsi="宋体" w:cs="宋体"/>
          <w:b/>
          <w:color w:val="000000"/>
          <w:sz w:val="36"/>
          <w:szCs w:val="36"/>
        </w:rPr>
        <w:t>项目</w:t>
      </w:r>
      <w:r>
        <w:rPr>
          <w:rFonts w:hint="eastAsia" w:ascii="黑体" w:hAnsi="黑体" w:eastAsia="黑体" w:cs="方正小标宋简体"/>
          <w:sz w:val="36"/>
          <w:szCs w:val="36"/>
        </w:rPr>
        <w:t>支出绩效评价报告</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一</w:t>
      </w:r>
      <w:r>
        <w:rPr>
          <w:rFonts w:ascii="仿宋" w:hAnsi="仿宋" w:eastAsia="仿宋" w:cs="仿宋_GB2312"/>
          <w:b/>
          <w:sz w:val="32"/>
          <w:szCs w:val="32"/>
        </w:rPr>
        <w:t>、评价工作开展及项目情况</w:t>
      </w:r>
    </w:p>
    <w:p>
      <w:pPr>
        <w:widowControl/>
        <w:spacing w:line="500" w:lineRule="exact"/>
        <w:ind w:firstLine="640" w:firstLineChars="200"/>
        <w:rPr>
          <w:rFonts w:ascii="仿宋" w:hAnsi="仿宋" w:eastAsia="仿宋"/>
          <w:sz w:val="32"/>
          <w:szCs w:val="32"/>
        </w:rPr>
      </w:pPr>
      <w:r>
        <w:rPr>
          <w:rFonts w:hint="eastAsia" w:ascii="仿宋" w:hAnsi="仿宋" w:eastAsia="仿宋"/>
          <w:sz w:val="32"/>
          <w:szCs w:val="32"/>
        </w:rPr>
        <w:t>安全生产专项资金项目绩效目标完成情况综述。牢固树立安全发展理念，坚持标本兼治，综合治理，源头管控的原则，从严落实监管主体责任和企业安全生产主体责任，重点以机械化生产替换人工作业，大力提高企业安全生产科技保障能力，通过“机械化换人、自动化减人”科技强安项目建设，基本实现矿进生产领域的机械化和自动化项目。</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二</w:t>
      </w:r>
      <w:r>
        <w:rPr>
          <w:rFonts w:ascii="仿宋" w:hAnsi="仿宋" w:eastAsia="仿宋" w:cs="仿宋_GB2312"/>
          <w:b/>
          <w:sz w:val="32"/>
          <w:szCs w:val="32"/>
        </w:rPr>
        <w:t>、评价结论及绩效分析</w:t>
      </w:r>
    </w:p>
    <w:p>
      <w:pPr>
        <w:widowControl/>
        <w:ind w:firstLine="640" w:firstLineChars="200"/>
        <w:rPr>
          <w:rFonts w:ascii="仿宋" w:hAnsi="仿宋" w:eastAsia="仿宋"/>
          <w:sz w:val="32"/>
          <w:szCs w:val="32"/>
        </w:rPr>
      </w:pPr>
      <w:r>
        <w:rPr>
          <w:rFonts w:hint="eastAsia" w:ascii="仿宋" w:hAnsi="仿宋" w:eastAsia="仿宋"/>
          <w:sz w:val="32"/>
          <w:szCs w:val="32"/>
        </w:rPr>
        <w:t>通过项目实施，机械设备的投入，减少人工投入，降低工人安全生产风险，提高生产效率，增加经济效益。</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三、下一步改进措施</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加强专项资金监管，一是切实加强对项目资金投资方向，使用范围的审核，按规定程序和方式审核拨付资金；二是建立健全单位内部财务管理制度，严格落实项目申报计划，加强资金管理，确保专项资金安全有效；三是加强项目实施过程中的监督审核，建立健全财政专项资金的公开机制，评审机制，跟踪检查机制，确保资金安全高效使用。</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四</w:t>
      </w:r>
      <w:r>
        <w:rPr>
          <w:rFonts w:ascii="仿宋" w:hAnsi="仿宋" w:eastAsia="仿宋" w:cs="仿宋_GB2312"/>
          <w:b/>
          <w:sz w:val="32"/>
          <w:szCs w:val="32"/>
        </w:rPr>
        <w:t>、相关措施建议</w:t>
      </w:r>
    </w:p>
    <w:p>
      <w:pPr>
        <w:pStyle w:val="13"/>
        <w:spacing w:before="93"/>
        <w:ind w:left="0" w:leftChars="0" w:firstLine="640"/>
        <w:rPr>
          <w:rFonts w:ascii="仿宋" w:hAnsi="仿宋" w:eastAsia="仿宋" w:cs="仿宋_GB2312"/>
          <w:sz w:val="32"/>
          <w:szCs w:val="32"/>
        </w:rPr>
      </w:pPr>
      <w:r>
        <w:rPr>
          <w:rFonts w:hint="eastAsia" w:ascii="仿宋" w:hAnsi="仿宋" w:eastAsia="仿宋" w:cs="仿宋_GB2312"/>
          <w:sz w:val="32"/>
          <w:szCs w:val="32"/>
        </w:rPr>
        <w:t>1、加大对执行过程中沟通、工作督察、指导、及时纠偏、提高资金使用效益。</w:t>
      </w:r>
    </w:p>
    <w:p>
      <w:pPr>
        <w:pStyle w:val="13"/>
        <w:spacing w:before="93"/>
        <w:ind w:left="0" w:leftChars="0" w:firstLine="640"/>
        <w:rPr>
          <w:rFonts w:ascii="仿宋_GB2312" w:hAnsi="仿宋_GB2312" w:eastAsia="仿宋_GB2312" w:cs="仿宋_GB2312"/>
          <w:sz w:val="32"/>
          <w:szCs w:val="32"/>
        </w:rPr>
      </w:pPr>
      <w:r>
        <w:rPr>
          <w:rFonts w:hint="eastAsia" w:ascii="仿宋" w:hAnsi="仿宋" w:eastAsia="仿宋" w:cs="仿宋_GB2312"/>
          <w:sz w:val="32"/>
          <w:szCs w:val="32"/>
        </w:rPr>
        <w:t>2、逐步细化完善绩效管理功能，提高项目管理水平。</w:t>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rPr>
        <w:t>五部分 附表</w:t>
      </w:r>
      <w:bookmarkEnd w:id="48"/>
    </w:p>
    <w:p>
      <w:pPr>
        <w:pStyle w:val="3"/>
        <w:rPr>
          <w:rFonts w:ascii="仿宋" w:hAnsi="仿宋" w:eastAsia="仿宋"/>
          <w:color w:val="000000"/>
        </w:rPr>
      </w:pPr>
      <w:r>
        <w:rPr>
          <w:rFonts w:hint="eastAsia" w:ascii="仿宋" w:hAnsi="仿宋" w:eastAsia="仿宋"/>
          <w:b w:val="0"/>
          <w:color w:val="000000"/>
        </w:rPr>
        <w:t>一、收</w:t>
      </w:r>
      <w:r>
        <w:rPr>
          <w:rStyle w:val="23"/>
          <w:rFonts w:hint="eastAsia" w:ascii="仿宋" w:hAnsi="仿宋" w:eastAsia="仿宋"/>
          <w:b w:val="0"/>
          <w:bCs w:val="0"/>
        </w:rPr>
        <w:t>入支出决算总表</w:t>
      </w:r>
    </w:p>
    <w:p>
      <w:pPr>
        <w:pStyle w:val="3"/>
        <w:rPr>
          <w:rFonts w:ascii="仿宋" w:hAnsi="仿宋" w:eastAsia="仿宋"/>
          <w:color w:val="000000"/>
        </w:rPr>
      </w:pPr>
      <w:r>
        <w:rPr>
          <w:rFonts w:hint="eastAsia" w:ascii="仿宋" w:hAnsi="仿宋" w:eastAsia="仿宋"/>
          <w:b w:val="0"/>
          <w:color w:val="000000"/>
        </w:rPr>
        <w:t>二、收</w:t>
      </w:r>
      <w:r>
        <w:rPr>
          <w:rStyle w:val="23"/>
          <w:rFonts w:hint="eastAsia" w:ascii="仿宋" w:hAnsi="仿宋" w:eastAsia="仿宋"/>
          <w:b w:val="0"/>
          <w:bCs w:val="0"/>
        </w:rPr>
        <w:t>入决算表</w:t>
      </w:r>
    </w:p>
    <w:p>
      <w:pPr>
        <w:pStyle w:val="3"/>
        <w:rPr>
          <w:rFonts w:ascii="仿宋" w:hAnsi="仿宋" w:eastAsia="仿宋"/>
          <w:color w:val="000000"/>
        </w:rPr>
      </w:pPr>
      <w:r>
        <w:rPr>
          <w:rStyle w:val="23"/>
          <w:rFonts w:hint="eastAsia" w:ascii="仿宋" w:hAnsi="仿宋" w:eastAsia="仿宋"/>
          <w:b w:val="0"/>
          <w:bCs w:val="0"/>
        </w:rPr>
        <w:t>三、</w:t>
      </w:r>
      <w:r>
        <w:rPr>
          <w:rFonts w:hint="eastAsia" w:ascii="仿宋" w:hAnsi="仿宋" w:eastAsia="仿宋"/>
          <w:b w:val="0"/>
          <w:color w:val="000000"/>
        </w:rPr>
        <w:t>支</w:t>
      </w:r>
      <w:r>
        <w:rPr>
          <w:rStyle w:val="23"/>
          <w:rFonts w:hint="eastAsia" w:ascii="仿宋" w:hAnsi="仿宋" w:eastAsia="仿宋"/>
          <w:b w:val="0"/>
          <w:bCs w:val="0"/>
        </w:rPr>
        <w:t>出决算表</w:t>
      </w:r>
    </w:p>
    <w:p>
      <w:pPr>
        <w:pStyle w:val="3"/>
        <w:rPr>
          <w:rFonts w:ascii="仿宋" w:hAnsi="仿宋" w:eastAsia="仿宋"/>
          <w:b w:val="0"/>
          <w:color w:val="000000"/>
        </w:rPr>
      </w:pPr>
      <w:r>
        <w:rPr>
          <w:rStyle w:val="23"/>
          <w:rFonts w:hint="eastAsia" w:ascii="仿宋" w:hAnsi="仿宋" w:eastAsia="仿宋"/>
          <w:b w:val="0"/>
          <w:bCs w:val="0"/>
        </w:rPr>
        <w:t>四、</w:t>
      </w:r>
      <w:r>
        <w:rPr>
          <w:rFonts w:hint="eastAsia" w:ascii="仿宋" w:hAnsi="仿宋" w:eastAsia="仿宋"/>
          <w:b w:val="0"/>
          <w:color w:val="000000"/>
        </w:rPr>
        <w:t>财</w:t>
      </w:r>
      <w:r>
        <w:rPr>
          <w:rStyle w:val="23"/>
          <w:rFonts w:hint="eastAsia" w:ascii="仿宋" w:hAnsi="仿宋" w:eastAsia="仿宋"/>
          <w:b w:val="0"/>
          <w:bCs w:val="0"/>
        </w:rPr>
        <w:t>政拨款收入支出决算总表</w:t>
      </w:r>
    </w:p>
    <w:p>
      <w:pPr>
        <w:pStyle w:val="3"/>
        <w:rPr>
          <w:rStyle w:val="23"/>
          <w:rFonts w:ascii="仿宋" w:hAnsi="仿宋" w:eastAsia="仿宋"/>
          <w:b w:val="0"/>
          <w:bCs w:val="0"/>
        </w:rPr>
      </w:pPr>
      <w:r>
        <w:rPr>
          <w:rStyle w:val="23"/>
          <w:rFonts w:hint="eastAsia" w:ascii="仿宋" w:hAnsi="仿宋" w:eastAsia="仿宋"/>
          <w:b w:val="0"/>
          <w:bCs w:val="0"/>
        </w:rPr>
        <w:t>五、</w:t>
      </w:r>
      <w:r>
        <w:rPr>
          <w:rFonts w:hint="eastAsia" w:ascii="仿宋" w:hAnsi="仿宋" w:eastAsia="仿宋"/>
          <w:b w:val="0"/>
          <w:color w:val="000000"/>
        </w:rPr>
        <w:t>财</w:t>
      </w:r>
      <w:r>
        <w:rPr>
          <w:rStyle w:val="23"/>
          <w:rFonts w:hint="eastAsia" w:ascii="仿宋" w:hAnsi="仿宋" w:eastAsia="仿宋"/>
          <w:b w:val="0"/>
          <w:bCs w:val="0"/>
        </w:rPr>
        <w:t>政拨款支出决算明细表</w:t>
      </w:r>
    </w:p>
    <w:p>
      <w:pPr>
        <w:pStyle w:val="3"/>
        <w:rPr>
          <w:rFonts w:ascii="仿宋" w:hAnsi="仿宋" w:eastAsia="仿宋"/>
          <w:color w:val="000000"/>
        </w:rPr>
      </w:pPr>
      <w:r>
        <w:rPr>
          <w:rStyle w:val="23"/>
          <w:rFonts w:hint="eastAsia" w:ascii="仿宋" w:hAnsi="仿宋" w:eastAsia="仿宋"/>
          <w:b w:val="0"/>
          <w:bCs w:val="0"/>
        </w:rPr>
        <w:t>六、</w:t>
      </w:r>
      <w:r>
        <w:rPr>
          <w:rFonts w:hint="eastAsia" w:ascii="仿宋" w:hAnsi="仿宋" w:eastAsia="仿宋"/>
          <w:b w:val="0"/>
          <w:color w:val="000000"/>
        </w:rPr>
        <w:t>一</w:t>
      </w:r>
      <w:r>
        <w:rPr>
          <w:rStyle w:val="23"/>
          <w:rFonts w:hint="eastAsia" w:ascii="仿宋" w:hAnsi="仿宋" w:eastAsia="仿宋"/>
          <w:b w:val="0"/>
          <w:bCs w:val="0"/>
        </w:rPr>
        <w:t>般公共预算财政拨款支出决算表</w:t>
      </w:r>
    </w:p>
    <w:p>
      <w:pPr>
        <w:pStyle w:val="3"/>
        <w:rPr>
          <w:rFonts w:ascii="仿宋" w:hAnsi="仿宋" w:eastAsia="仿宋"/>
          <w:color w:val="000000"/>
        </w:rPr>
      </w:pPr>
      <w:r>
        <w:rPr>
          <w:rStyle w:val="23"/>
          <w:rFonts w:hint="eastAsia" w:ascii="仿宋" w:hAnsi="仿宋" w:eastAsia="仿宋"/>
          <w:b w:val="0"/>
          <w:bCs w:val="0"/>
        </w:rPr>
        <w:t>七、</w:t>
      </w:r>
      <w:r>
        <w:rPr>
          <w:rFonts w:hint="eastAsia" w:ascii="仿宋" w:hAnsi="仿宋" w:eastAsia="仿宋"/>
          <w:b w:val="0"/>
          <w:color w:val="000000"/>
        </w:rPr>
        <w:t>一</w:t>
      </w:r>
      <w:r>
        <w:rPr>
          <w:rStyle w:val="23"/>
          <w:rFonts w:hint="eastAsia" w:ascii="仿宋" w:hAnsi="仿宋" w:eastAsia="仿宋"/>
          <w:b w:val="0"/>
          <w:bCs w:val="0"/>
        </w:rPr>
        <w:t>般公共预算财政拨款支出决算明细表</w:t>
      </w:r>
    </w:p>
    <w:p>
      <w:pPr>
        <w:pStyle w:val="3"/>
        <w:rPr>
          <w:rFonts w:ascii="仿宋" w:hAnsi="仿宋" w:eastAsia="仿宋"/>
          <w:color w:val="000000"/>
        </w:rPr>
      </w:pPr>
      <w:r>
        <w:rPr>
          <w:rStyle w:val="23"/>
          <w:rFonts w:hint="eastAsia" w:ascii="仿宋" w:hAnsi="仿宋" w:eastAsia="仿宋"/>
          <w:b w:val="0"/>
          <w:bCs w:val="0"/>
        </w:rPr>
        <w:t>八、</w:t>
      </w:r>
      <w:r>
        <w:rPr>
          <w:rFonts w:hint="eastAsia" w:ascii="仿宋" w:hAnsi="仿宋" w:eastAsia="仿宋"/>
          <w:b w:val="0"/>
          <w:color w:val="000000"/>
        </w:rPr>
        <w:t>一</w:t>
      </w:r>
      <w:r>
        <w:rPr>
          <w:rStyle w:val="23"/>
          <w:rFonts w:hint="eastAsia" w:ascii="仿宋" w:hAnsi="仿宋" w:eastAsia="仿宋"/>
          <w:b w:val="0"/>
          <w:bCs w:val="0"/>
        </w:rPr>
        <w:t>般公共预算财政拨款基本支出决算表</w:t>
      </w:r>
    </w:p>
    <w:p>
      <w:pPr>
        <w:pStyle w:val="3"/>
        <w:rPr>
          <w:rFonts w:ascii="仿宋" w:hAnsi="仿宋" w:eastAsia="仿宋"/>
          <w:color w:val="000000"/>
        </w:rPr>
      </w:pPr>
      <w:r>
        <w:rPr>
          <w:rStyle w:val="23"/>
          <w:rFonts w:hint="eastAsia" w:ascii="仿宋" w:hAnsi="仿宋" w:eastAsia="仿宋"/>
          <w:b w:val="0"/>
          <w:bCs w:val="0"/>
        </w:rPr>
        <w:t>九、</w:t>
      </w:r>
      <w:r>
        <w:rPr>
          <w:rFonts w:hint="eastAsia" w:ascii="仿宋" w:hAnsi="仿宋" w:eastAsia="仿宋"/>
          <w:b w:val="0"/>
          <w:color w:val="000000"/>
        </w:rPr>
        <w:t>一</w:t>
      </w:r>
      <w:r>
        <w:rPr>
          <w:rStyle w:val="23"/>
          <w:rFonts w:hint="eastAsia" w:ascii="仿宋" w:hAnsi="仿宋" w:eastAsia="仿宋"/>
          <w:b w:val="0"/>
          <w:bCs w:val="0"/>
        </w:rPr>
        <w:t>般公共预算财政拨款项目支出决算表</w:t>
      </w:r>
    </w:p>
    <w:p>
      <w:pPr>
        <w:pStyle w:val="3"/>
        <w:rPr>
          <w:rFonts w:ascii="仿宋" w:hAnsi="仿宋" w:eastAsia="仿宋"/>
          <w:color w:val="000000"/>
        </w:rPr>
      </w:pPr>
      <w:r>
        <w:rPr>
          <w:rStyle w:val="23"/>
          <w:rFonts w:hint="eastAsia" w:ascii="仿宋" w:hAnsi="仿宋" w:eastAsia="仿宋"/>
          <w:b w:val="0"/>
          <w:bCs w:val="0"/>
        </w:rPr>
        <w:t>十、</w:t>
      </w:r>
      <w:r>
        <w:rPr>
          <w:rFonts w:hint="eastAsia" w:ascii="仿宋" w:hAnsi="仿宋" w:eastAsia="仿宋"/>
          <w:b w:val="0"/>
          <w:color w:val="000000"/>
        </w:rPr>
        <w:t>一</w:t>
      </w:r>
      <w:r>
        <w:rPr>
          <w:rStyle w:val="23"/>
          <w:rFonts w:hint="eastAsia" w:ascii="仿宋" w:hAnsi="仿宋" w:eastAsia="仿宋"/>
          <w:b w:val="0"/>
          <w:bCs w:val="0"/>
        </w:rPr>
        <w:t>般公共预算财政拨款“三公”经费支出决算表</w:t>
      </w:r>
    </w:p>
    <w:p>
      <w:pPr>
        <w:pStyle w:val="3"/>
        <w:rPr>
          <w:rFonts w:ascii="仿宋" w:hAnsi="仿宋" w:eastAsia="仿宋"/>
          <w:color w:val="000000"/>
        </w:rPr>
      </w:pPr>
      <w:r>
        <w:rPr>
          <w:rStyle w:val="23"/>
          <w:rFonts w:hint="eastAsia" w:ascii="仿宋" w:hAnsi="仿宋" w:eastAsia="仿宋"/>
          <w:b w:val="0"/>
          <w:bCs w:val="0"/>
        </w:rPr>
        <w:t>十一、</w:t>
      </w:r>
      <w:r>
        <w:rPr>
          <w:rFonts w:hint="eastAsia" w:ascii="仿宋" w:hAnsi="仿宋" w:eastAsia="仿宋"/>
          <w:b w:val="0"/>
          <w:color w:val="000000"/>
        </w:rPr>
        <w:t>政</w:t>
      </w:r>
      <w:r>
        <w:rPr>
          <w:rStyle w:val="23"/>
          <w:rFonts w:hint="eastAsia" w:ascii="仿宋" w:hAnsi="仿宋" w:eastAsia="仿宋"/>
          <w:b w:val="0"/>
          <w:bCs w:val="0"/>
        </w:rPr>
        <w:t>府性基金预算财政拨款收入支出决算表</w:t>
      </w:r>
    </w:p>
    <w:p>
      <w:pPr>
        <w:pStyle w:val="3"/>
        <w:rPr>
          <w:rFonts w:ascii="仿宋" w:hAnsi="仿宋" w:eastAsia="仿宋"/>
          <w:color w:val="000000"/>
        </w:rPr>
      </w:pPr>
      <w:r>
        <w:rPr>
          <w:rStyle w:val="23"/>
          <w:rFonts w:hint="eastAsia" w:ascii="仿宋" w:hAnsi="仿宋" w:eastAsia="仿宋"/>
          <w:b w:val="0"/>
          <w:bCs w:val="0"/>
        </w:rPr>
        <w:t>十二、</w:t>
      </w:r>
      <w:r>
        <w:rPr>
          <w:rFonts w:hint="eastAsia" w:ascii="仿宋" w:hAnsi="仿宋" w:eastAsia="仿宋"/>
          <w:b w:val="0"/>
          <w:color w:val="000000"/>
        </w:rPr>
        <w:t>政</w:t>
      </w:r>
      <w:r>
        <w:rPr>
          <w:rStyle w:val="23"/>
          <w:rFonts w:hint="eastAsia" w:ascii="仿宋" w:hAnsi="仿宋" w:eastAsia="仿宋"/>
          <w:b w:val="0"/>
          <w:bCs w:val="0"/>
        </w:rPr>
        <w:t>府性基金预算财政拨款“三公”经费支出决算表</w:t>
      </w:r>
    </w:p>
    <w:p>
      <w:pPr>
        <w:pStyle w:val="3"/>
        <w:rPr>
          <w:rFonts w:ascii="仿宋" w:hAnsi="仿宋" w:eastAsia="仿宋"/>
          <w:color w:val="000000" w:themeColor="text1"/>
        </w:rPr>
      </w:pPr>
      <w:r>
        <w:rPr>
          <w:rStyle w:val="23"/>
          <w:rFonts w:hint="eastAsia" w:ascii="仿宋" w:hAnsi="仿宋" w:eastAsia="仿宋"/>
          <w:b w:val="0"/>
          <w:bCs w:val="0"/>
        </w:rPr>
        <w:t>十三、</w:t>
      </w:r>
      <w:r>
        <w:rPr>
          <w:rFonts w:hint="eastAsia" w:ascii="仿宋" w:hAnsi="仿宋" w:eastAsia="仿宋"/>
          <w:b w:val="0"/>
          <w:color w:val="000000"/>
        </w:rPr>
        <w:t>国</w:t>
      </w:r>
      <w:r>
        <w:rPr>
          <w:rStyle w:val="23"/>
          <w:rFonts w:hint="eastAsia" w:ascii="仿宋" w:hAnsi="仿宋" w:eastAsia="仿宋"/>
          <w:b w:val="0"/>
          <w:bCs w:val="0"/>
        </w:rPr>
        <w:t>有资本经营预算支出决算表</w:t>
      </w:r>
    </w:p>
    <w:p>
      <w:pPr>
        <w:rPr>
          <w:rFonts w:ascii="黑体" w:eastAsia="黑体"/>
          <w:color w:val="00000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10</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F603695"/>
    <w:multiLevelType w:val="singleLevel"/>
    <w:tmpl w:val="5F603695"/>
    <w:lvl w:ilvl="0" w:tentative="0">
      <w:start w:val="4"/>
      <w:numFmt w:val="chineseCounting"/>
      <w:suff w:val="nothing"/>
      <w:lvlText w:val="（%1）"/>
      <w:lvlJc w:val="left"/>
    </w:lvl>
  </w:abstractNum>
  <w:abstractNum w:abstractNumId="4">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hideSpellingErrors/>
  <w:hideGrammaticalError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939DD"/>
    <w:rsid w:val="00011974"/>
    <w:rsid w:val="00014235"/>
    <w:rsid w:val="00014451"/>
    <w:rsid w:val="000166D5"/>
    <w:rsid w:val="000202A8"/>
    <w:rsid w:val="0003255E"/>
    <w:rsid w:val="00036AB2"/>
    <w:rsid w:val="00040CC7"/>
    <w:rsid w:val="00044EAA"/>
    <w:rsid w:val="00046259"/>
    <w:rsid w:val="000571BD"/>
    <w:rsid w:val="00060067"/>
    <w:rsid w:val="000639EA"/>
    <w:rsid w:val="0006487A"/>
    <w:rsid w:val="00064881"/>
    <w:rsid w:val="00064DC4"/>
    <w:rsid w:val="00066ACF"/>
    <w:rsid w:val="00067D05"/>
    <w:rsid w:val="00075409"/>
    <w:rsid w:val="00075770"/>
    <w:rsid w:val="00075B45"/>
    <w:rsid w:val="00077715"/>
    <w:rsid w:val="000807C2"/>
    <w:rsid w:val="00095747"/>
    <w:rsid w:val="00097C33"/>
    <w:rsid w:val="00097F02"/>
    <w:rsid w:val="000A20A9"/>
    <w:rsid w:val="000A58B1"/>
    <w:rsid w:val="000A7554"/>
    <w:rsid w:val="000B047F"/>
    <w:rsid w:val="000B0940"/>
    <w:rsid w:val="000B5A48"/>
    <w:rsid w:val="000C251F"/>
    <w:rsid w:val="000C3CA6"/>
    <w:rsid w:val="000C4540"/>
    <w:rsid w:val="000C5179"/>
    <w:rsid w:val="000D3F13"/>
    <w:rsid w:val="000D5782"/>
    <w:rsid w:val="000D704A"/>
    <w:rsid w:val="000E090B"/>
    <w:rsid w:val="000E117C"/>
    <w:rsid w:val="000E12E0"/>
    <w:rsid w:val="000E1FAB"/>
    <w:rsid w:val="000F6C53"/>
    <w:rsid w:val="0010135A"/>
    <w:rsid w:val="00104D8B"/>
    <w:rsid w:val="00107B18"/>
    <w:rsid w:val="00117592"/>
    <w:rsid w:val="0012049B"/>
    <w:rsid w:val="00121077"/>
    <w:rsid w:val="00122491"/>
    <w:rsid w:val="0012641B"/>
    <w:rsid w:val="00134901"/>
    <w:rsid w:val="00142420"/>
    <w:rsid w:val="00142E7A"/>
    <w:rsid w:val="00143E28"/>
    <w:rsid w:val="0014729F"/>
    <w:rsid w:val="001474D0"/>
    <w:rsid w:val="00152A03"/>
    <w:rsid w:val="001543DC"/>
    <w:rsid w:val="001562B6"/>
    <w:rsid w:val="00157487"/>
    <w:rsid w:val="00161C8D"/>
    <w:rsid w:val="00166336"/>
    <w:rsid w:val="001748B0"/>
    <w:rsid w:val="001877A7"/>
    <w:rsid w:val="00191536"/>
    <w:rsid w:val="00195103"/>
    <w:rsid w:val="00196687"/>
    <w:rsid w:val="001971D9"/>
    <w:rsid w:val="001A15DF"/>
    <w:rsid w:val="001A3B3B"/>
    <w:rsid w:val="001A678F"/>
    <w:rsid w:val="001B795C"/>
    <w:rsid w:val="001B7F18"/>
    <w:rsid w:val="001C5431"/>
    <w:rsid w:val="001D042E"/>
    <w:rsid w:val="001D12C0"/>
    <w:rsid w:val="001D3AA5"/>
    <w:rsid w:val="001D7038"/>
    <w:rsid w:val="001E40CF"/>
    <w:rsid w:val="001E6F00"/>
    <w:rsid w:val="001E737D"/>
    <w:rsid w:val="001F593C"/>
    <w:rsid w:val="001F7506"/>
    <w:rsid w:val="00202B36"/>
    <w:rsid w:val="00203E81"/>
    <w:rsid w:val="00206D58"/>
    <w:rsid w:val="00211707"/>
    <w:rsid w:val="00213267"/>
    <w:rsid w:val="002142CA"/>
    <w:rsid w:val="00216738"/>
    <w:rsid w:val="00221B3C"/>
    <w:rsid w:val="0022384E"/>
    <w:rsid w:val="00230A29"/>
    <w:rsid w:val="00230D09"/>
    <w:rsid w:val="00230F9F"/>
    <w:rsid w:val="00235629"/>
    <w:rsid w:val="00235A7D"/>
    <w:rsid w:val="00237276"/>
    <w:rsid w:val="002404FF"/>
    <w:rsid w:val="00240898"/>
    <w:rsid w:val="002436EE"/>
    <w:rsid w:val="002464B5"/>
    <w:rsid w:val="00251E35"/>
    <w:rsid w:val="00255198"/>
    <w:rsid w:val="00260C38"/>
    <w:rsid w:val="002616C0"/>
    <w:rsid w:val="00263BFD"/>
    <w:rsid w:val="00263C7A"/>
    <w:rsid w:val="002662AA"/>
    <w:rsid w:val="00266BFF"/>
    <w:rsid w:val="00267581"/>
    <w:rsid w:val="0027039C"/>
    <w:rsid w:val="00270495"/>
    <w:rsid w:val="00270FAB"/>
    <w:rsid w:val="00273D5A"/>
    <w:rsid w:val="002750B9"/>
    <w:rsid w:val="00284289"/>
    <w:rsid w:val="002946C1"/>
    <w:rsid w:val="00296957"/>
    <w:rsid w:val="00297769"/>
    <w:rsid w:val="002A14BF"/>
    <w:rsid w:val="002A3ADB"/>
    <w:rsid w:val="002B4AEE"/>
    <w:rsid w:val="002B672E"/>
    <w:rsid w:val="002C5DD5"/>
    <w:rsid w:val="002C6B9B"/>
    <w:rsid w:val="002E3A7A"/>
    <w:rsid w:val="002E69C4"/>
    <w:rsid w:val="002E6C65"/>
    <w:rsid w:val="00300A2E"/>
    <w:rsid w:val="0030506E"/>
    <w:rsid w:val="00311E3F"/>
    <w:rsid w:val="00314026"/>
    <w:rsid w:val="0032180A"/>
    <w:rsid w:val="00321E58"/>
    <w:rsid w:val="0033064C"/>
    <w:rsid w:val="00330E70"/>
    <w:rsid w:val="00333423"/>
    <w:rsid w:val="00340770"/>
    <w:rsid w:val="00344B6E"/>
    <w:rsid w:val="003456C3"/>
    <w:rsid w:val="0034603B"/>
    <w:rsid w:val="00347ABA"/>
    <w:rsid w:val="003506F6"/>
    <w:rsid w:val="00350A4F"/>
    <w:rsid w:val="00355F94"/>
    <w:rsid w:val="0035603C"/>
    <w:rsid w:val="003613B5"/>
    <w:rsid w:val="003654F3"/>
    <w:rsid w:val="0037013F"/>
    <w:rsid w:val="00370515"/>
    <w:rsid w:val="0037117E"/>
    <w:rsid w:val="0037527F"/>
    <w:rsid w:val="0038331D"/>
    <w:rsid w:val="003A27B4"/>
    <w:rsid w:val="003A4562"/>
    <w:rsid w:val="003A484F"/>
    <w:rsid w:val="003A715F"/>
    <w:rsid w:val="003B0C1B"/>
    <w:rsid w:val="003B0CB9"/>
    <w:rsid w:val="003B331E"/>
    <w:rsid w:val="003B4E58"/>
    <w:rsid w:val="003B6B2F"/>
    <w:rsid w:val="003C0291"/>
    <w:rsid w:val="003C6D4A"/>
    <w:rsid w:val="003D09AE"/>
    <w:rsid w:val="003D1A63"/>
    <w:rsid w:val="003D2146"/>
    <w:rsid w:val="003D37AE"/>
    <w:rsid w:val="003D43E0"/>
    <w:rsid w:val="003D7FE8"/>
    <w:rsid w:val="003E1B97"/>
    <w:rsid w:val="003E668F"/>
    <w:rsid w:val="0040031D"/>
    <w:rsid w:val="00406241"/>
    <w:rsid w:val="00415A9B"/>
    <w:rsid w:val="00417A90"/>
    <w:rsid w:val="00422B29"/>
    <w:rsid w:val="0042499B"/>
    <w:rsid w:val="00424F74"/>
    <w:rsid w:val="0044069F"/>
    <w:rsid w:val="00440F87"/>
    <w:rsid w:val="00443880"/>
    <w:rsid w:val="00452C93"/>
    <w:rsid w:val="00472837"/>
    <w:rsid w:val="00472BA6"/>
    <w:rsid w:val="00472E3C"/>
    <w:rsid w:val="00475144"/>
    <w:rsid w:val="004852BC"/>
    <w:rsid w:val="00485E0F"/>
    <w:rsid w:val="004875D1"/>
    <w:rsid w:val="00487C3A"/>
    <w:rsid w:val="00487E5D"/>
    <w:rsid w:val="0049251F"/>
    <w:rsid w:val="004A4635"/>
    <w:rsid w:val="004B3BEF"/>
    <w:rsid w:val="004B4690"/>
    <w:rsid w:val="004C5A03"/>
    <w:rsid w:val="004C6C7F"/>
    <w:rsid w:val="004D1830"/>
    <w:rsid w:val="004D529F"/>
    <w:rsid w:val="004D5959"/>
    <w:rsid w:val="004E206B"/>
    <w:rsid w:val="004E2625"/>
    <w:rsid w:val="004F4234"/>
    <w:rsid w:val="0050198E"/>
    <w:rsid w:val="00502DD3"/>
    <w:rsid w:val="00503540"/>
    <w:rsid w:val="00505A47"/>
    <w:rsid w:val="00511877"/>
    <w:rsid w:val="00512FDA"/>
    <w:rsid w:val="00515312"/>
    <w:rsid w:val="00521E6F"/>
    <w:rsid w:val="0052391D"/>
    <w:rsid w:val="0052399D"/>
    <w:rsid w:val="005239E0"/>
    <w:rsid w:val="00532A95"/>
    <w:rsid w:val="00533EB2"/>
    <w:rsid w:val="005409F7"/>
    <w:rsid w:val="00542109"/>
    <w:rsid w:val="005434A5"/>
    <w:rsid w:val="0054716A"/>
    <w:rsid w:val="00547AE0"/>
    <w:rsid w:val="005637B5"/>
    <w:rsid w:val="00564DF2"/>
    <w:rsid w:val="0056586A"/>
    <w:rsid w:val="005664BB"/>
    <w:rsid w:val="00575815"/>
    <w:rsid w:val="00576848"/>
    <w:rsid w:val="0058486E"/>
    <w:rsid w:val="005858CA"/>
    <w:rsid w:val="00594179"/>
    <w:rsid w:val="00594660"/>
    <w:rsid w:val="005A0CB7"/>
    <w:rsid w:val="005A1993"/>
    <w:rsid w:val="005A4321"/>
    <w:rsid w:val="005A7085"/>
    <w:rsid w:val="005B0DA4"/>
    <w:rsid w:val="005B1339"/>
    <w:rsid w:val="005C099B"/>
    <w:rsid w:val="005C30F1"/>
    <w:rsid w:val="005D12E8"/>
    <w:rsid w:val="005D5CED"/>
    <w:rsid w:val="005E1620"/>
    <w:rsid w:val="005E39B2"/>
    <w:rsid w:val="005F288C"/>
    <w:rsid w:val="005F32B3"/>
    <w:rsid w:val="005F4EB3"/>
    <w:rsid w:val="005F63C0"/>
    <w:rsid w:val="006060E9"/>
    <w:rsid w:val="00607E6C"/>
    <w:rsid w:val="00612290"/>
    <w:rsid w:val="00615E15"/>
    <w:rsid w:val="00620BBF"/>
    <w:rsid w:val="006210DF"/>
    <w:rsid w:val="00623BA0"/>
    <w:rsid w:val="00625F24"/>
    <w:rsid w:val="006275A8"/>
    <w:rsid w:val="00630A29"/>
    <w:rsid w:val="006325F8"/>
    <w:rsid w:val="0064019F"/>
    <w:rsid w:val="00646990"/>
    <w:rsid w:val="0065005E"/>
    <w:rsid w:val="00651769"/>
    <w:rsid w:val="00652EB4"/>
    <w:rsid w:val="0066068C"/>
    <w:rsid w:val="00660736"/>
    <w:rsid w:val="0066343B"/>
    <w:rsid w:val="00664CEE"/>
    <w:rsid w:val="00666C34"/>
    <w:rsid w:val="00670D1E"/>
    <w:rsid w:val="006748F7"/>
    <w:rsid w:val="00683CB9"/>
    <w:rsid w:val="00683E73"/>
    <w:rsid w:val="00684AC2"/>
    <w:rsid w:val="00684E3F"/>
    <w:rsid w:val="00685B0D"/>
    <w:rsid w:val="00686F66"/>
    <w:rsid w:val="00690616"/>
    <w:rsid w:val="00694D45"/>
    <w:rsid w:val="00694EC4"/>
    <w:rsid w:val="00697319"/>
    <w:rsid w:val="006A0262"/>
    <w:rsid w:val="006A2402"/>
    <w:rsid w:val="006A3274"/>
    <w:rsid w:val="006A3710"/>
    <w:rsid w:val="006A41D9"/>
    <w:rsid w:val="006B4F54"/>
    <w:rsid w:val="006D0F50"/>
    <w:rsid w:val="006D1DC3"/>
    <w:rsid w:val="006E2EC2"/>
    <w:rsid w:val="006E344B"/>
    <w:rsid w:val="006E7ACE"/>
    <w:rsid w:val="006F1E95"/>
    <w:rsid w:val="00700FAE"/>
    <w:rsid w:val="00706DE9"/>
    <w:rsid w:val="00707352"/>
    <w:rsid w:val="00714F11"/>
    <w:rsid w:val="00715C93"/>
    <w:rsid w:val="00723B89"/>
    <w:rsid w:val="007278CE"/>
    <w:rsid w:val="00733D9A"/>
    <w:rsid w:val="00736B70"/>
    <w:rsid w:val="00751337"/>
    <w:rsid w:val="00751DCF"/>
    <w:rsid w:val="0075200E"/>
    <w:rsid w:val="0075404D"/>
    <w:rsid w:val="00756AAE"/>
    <w:rsid w:val="0076182A"/>
    <w:rsid w:val="00766FC6"/>
    <w:rsid w:val="007670B0"/>
    <w:rsid w:val="00767B7E"/>
    <w:rsid w:val="00770457"/>
    <w:rsid w:val="007718B3"/>
    <w:rsid w:val="007770C3"/>
    <w:rsid w:val="007805AF"/>
    <w:rsid w:val="0078675C"/>
    <w:rsid w:val="00786E4A"/>
    <w:rsid w:val="007939DD"/>
    <w:rsid w:val="007979FD"/>
    <w:rsid w:val="007A10F0"/>
    <w:rsid w:val="007A15BD"/>
    <w:rsid w:val="007A1B99"/>
    <w:rsid w:val="007A43D0"/>
    <w:rsid w:val="007A6384"/>
    <w:rsid w:val="007B05DC"/>
    <w:rsid w:val="007B7156"/>
    <w:rsid w:val="007B74CF"/>
    <w:rsid w:val="007B79CA"/>
    <w:rsid w:val="007C2CD9"/>
    <w:rsid w:val="007C30D8"/>
    <w:rsid w:val="007C4357"/>
    <w:rsid w:val="007C504D"/>
    <w:rsid w:val="007C5619"/>
    <w:rsid w:val="007C6531"/>
    <w:rsid w:val="007C7B9C"/>
    <w:rsid w:val="007D1A5D"/>
    <w:rsid w:val="007D25A3"/>
    <w:rsid w:val="007D2B90"/>
    <w:rsid w:val="007E315E"/>
    <w:rsid w:val="007E6A0C"/>
    <w:rsid w:val="007F2C2F"/>
    <w:rsid w:val="007F3F48"/>
    <w:rsid w:val="007F4F95"/>
    <w:rsid w:val="00800112"/>
    <w:rsid w:val="0080552A"/>
    <w:rsid w:val="00807940"/>
    <w:rsid w:val="008143CC"/>
    <w:rsid w:val="0081659D"/>
    <w:rsid w:val="00823685"/>
    <w:rsid w:val="008254C6"/>
    <w:rsid w:val="008265D8"/>
    <w:rsid w:val="008303FB"/>
    <w:rsid w:val="00831842"/>
    <w:rsid w:val="0083680F"/>
    <w:rsid w:val="00843B6A"/>
    <w:rsid w:val="008444F1"/>
    <w:rsid w:val="0085340D"/>
    <w:rsid w:val="00860645"/>
    <w:rsid w:val="00862B97"/>
    <w:rsid w:val="00865057"/>
    <w:rsid w:val="00867615"/>
    <w:rsid w:val="0087050A"/>
    <w:rsid w:val="00871F71"/>
    <w:rsid w:val="00872445"/>
    <w:rsid w:val="0087289F"/>
    <w:rsid w:val="00877814"/>
    <w:rsid w:val="0088027C"/>
    <w:rsid w:val="00882F09"/>
    <w:rsid w:val="00886837"/>
    <w:rsid w:val="008921BF"/>
    <w:rsid w:val="00894B53"/>
    <w:rsid w:val="008B1F86"/>
    <w:rsid w:val="008B2AC3"/>
    <w:rsid w:val="008B3680"/>
    <w:rsid w:val="008C06D9"/>
    <w:rsid w:val="008C45CE"/>
    <w:rsid w:val="008C6F37"/>
    <w:rsid w:val="008C7F9F"/>
    <w:rsid w:val="008D022C"/>
    <w:rsid w:val="008D5E06"/>
    <w:rsid w:val="008F5268"/>
    <w:rsid w:val="009003F4"/>
    <w:rsid w:val="009019CF"/>
    <w:rsid w:val="00905921"/>
    <w:rsid w:val="00907B3A"/>
    <w:rsid w:val="00915CF3"/>
    <w:rsid w:val="00917C83"/>
    <w:rsid w:val="009211F3"/>
    <w:rsid w:val="00922B61"/>
    <w:rsid w:val="0092392E"/>
    <w:rsid w:val="00924306"/>
    <w:rsid w:val="00927E4E"/>
    <w:rsid w:val="00931C5A"/>
    <w:rsid w:val="00932FE8"/>
    <w:rsid w:val="00934B57"/>
    <w:rsid w:val="009364D9"/>
    <w:rsid w:val="00940981"/>
    <w:rsid w:val="0094351A"/>
    <w:rsid w:val="00944D7A"/>
    <w:rsid w:val="00944E20"/>
    <w:rsid w:val="00945A29"/>
    <w:rsid w:val="00946945"/>
    <w:rsid w:val="00946DE3"/>
    <w:rsid w:val="009472D2"/>
    <w:rsid w:val="00951248"/>
    <w:rsid w:val="0095152F"/>
    <w:rsid w:val="009536B3"/>
    <w:rsid w:val="00956660"/>
    <w:rsid w:val="00963D25"/>
    <w:rsid w:val="00967C5F"/>
    <w:rsid w:val="009703B2"/>
    <w:rsid w:val="00971FFC"/>
    <w:rsid w:val="009730FC"/>
    <w:rsid w:val="009779F2"/>
    <w:rsid w:val="00982A08"/>
    <w:rsid w:val="00983767"/>
    <w:rsid w:val="009905C6"/>
    <w:rsid w:val="00990C1B"/>
    <w:rsid w:val="009B1C7A"/>
    <w:rsid w:val="009B2C43"/>
    <w:rsid w:val="009B3485"/>
    <w:rsid w:val="009B4D36"/>
    <w:rsid w:val="009B4EAE"/>
    <w:rsid w:val="009B7573"/>
    <w:rsid w:val="009C0ADD"/>
    <w:rsid w:val="009C0EF5"/>
    <w:rsid w:val="009C363A"/>
    <w:rsid w:val="009C4974"/>
    <w:rsid w:val="009D3447"/>
    <w:rsid w:val="009E5DF2"/>
    <w:rsid w:val="009E72D2"/>
    <w:rsid w:val="009E7962"/>
    <w:rsid w:val="00A00944"/>
    <w:rsid w:val="00A07AB9"/>
    <w:rsid w:val="00A111F5"/>
    <w:rsid w:val="00A116B3"/>
    <w:rsid w:val="00A13CC1"/>
    <w:rsid w:val="00A16281"/>
    <w:rsid w:val="00A20415"/>
    <w:rsid w:val="00A2266E"/>
    <w:rsid w:val="00A25094"/>
    <w:rsid w:val="00A307CD"/>
    <w:rsid w:val="00A33EA4"/>
    <w:rsid w:val="00A40A00"/>
    <w:rsid w:val="00A45CF2"/>
    <w:rsid w:val="00A51E49"/>
    <w:rsid w:val="00A539D9"/>
    <w:rsid w:val="00A62845"/>
    <w:rsid w:val="00A62B0E"/>
    <w:rsid w:val="00A63114"/>
    <w:rsid w:val="00A63939"/>
    <w:rsid w:val="00A71C90"/>
    <w:rsid w:val="00A735DB"/>
    <w:rsid w:val="00A7451B"/>
    <w:rsid w:val="00A74FFE"/>
    <w:rsid w:val="00A854D8"/>
    <w:rsid w:val="00A876A2"/>
    <w:rsid w:val="00AB1255"/>
    <w:rsid w:val="00AC4B49"/>
    <w:rsid w:val="00AD1D48"/>
    <w:rsid w:val="00AD5620"/>
    <w:rsid w:val="00AD6F30"/>
    <w:rsid w:val="00AD7B8E"/>
    <w:rsid w:val="00AD7C1B"/>
    <w:rsid w:val="00AE3032"/>
    <w:rsid w:val="00AE34C1"/>
    <w:rsid w:val="00AF399C"/>
    <w:rsid w:val="00B00313"/>
    <w:rsid w:val="00B03125"/>
    <w:rsid w:val="00B03C9D"/>
    <w:rsid w:val="00B075F9"/>
    <w:rsid w:val="00B07C4D"/>
    <w:rsid w:val="00B10517"/>
    <w:rsid w:val="00B10DE6"/>
    <w:rsid w:val="00B12297"/>
    <w:rsid w:val="00B14E76"/>
    <w:rsid w:val="00B16EED"/>
    <w:rsid w:val="00B2048C"/>
    <w:rsid w:val="00B21EE4"/>
    <w:rsid w:val="00B245E7"/>
    <w:rsid w:val="00B310B9"/>
    <w:rsid w:val="00B32827"/>
    <w:rsid w:val="00B3782B"/>
    <w:rsid w:val="00B44B70"/>
    <w:rsid w:val="00B44E8F"/>
    <w:rsid w:val="00B46F0B"/>
    <w:rsid w:val="00B505F1"/>
    <w:rsid w:val="00B511D1"/>
    <w:rsid w:val="00B55711"/>
    <w:rsid w:val="00B56555"/>
    <w:rsid w:val="00B570EF"/>
    <w:rsid w:val="00B576E4"/>
    <w:rsid w:val="00B665A7"/>
    <w:rsid w:val="00B77EA6"/>
    <w:rsid w:val="00B841F1"/>
    <w:rsid w:val="00B94460"/>
    <w:rsid w:val="00B969E0"/>
    <w:rsid w:val="00BA0639"/>
    <w:rsid w:val="00BA1229"/>
    <w:rsid w:val="00BB0B78"/>
    <w:rsid w:val="00BC41CD"/>
    <w:rsid w:val="00BC5460"/>
    <w:rsid w:val="00BC72AD"/>
    <w:rsid w:val="00BD060D"/>
    <w:rsid w:val="00BD4019"/>
    <w:rsid w:val="00BD7D2F"/>
    <w:rsid w:val="00BE2DD3"/>
    <w:rsid w:val="00BE4473"/>
    <w:rsid w:val="00BE6904"/>
    <w:rsid w:val="00BF4986"/>
    <w:rsid w:val="00BF66AA"/>
    <w:rsid w:val="00C02015"/>
    <w:rsid w:val="00C03985"/>
    <w:rsid w:val="00C03E31"/>
    <w:rsid w:val="00C04E32"/>
    <w:rsid w:val="00C051C6"/>
    <w:rsid w:val="00C07CF4"/>
    <w:rsid w:val="00C114FF"/>
    <w:rsid w:val="00C11E19"/>
    <w:rsid w:val="00C146C0"/>
    <w:rsid w:val="00C171BC"/>
    <w:rsid w:val="00C21FA3"/>
    <w:rsid w:val="00C23433"/>
    <w:rsid w:val="00C25A52"/>
    <w:rsid w:val="00C26B45"/>
    <w:rsid w:val="00C27A11"/>
    <w:rsid w:val="00C30102"/>
    <w:rsid w:val="00C34AED"/>
    <w:rsid w:val="00C3542A"/>
    <w:rsid w:val="00C354B2"/>
    <w:rsid w:val="00C35554"/>
    <w:rsid w:val="00C3744F"/>
    <w:rsid w:val="00C400AC"/>
    <w:rsid w:val="00C5048B"/>
    <w:rsid w:val="00C5120B"/>
    <w:rsid w:val="00C533CC"/>
    <w:rsid w:val="00C54663"/>
    <w:rsid w:val="00C562B8"/>
    <w:rsid w:val="00C627C7"/>
    <w:rsid w:val="00C62B85"/>
    <w:rsid w:val="00C65B40"/>
    <w:rsid w:val="00C6670D"/>
    <w:rsid w:val="00C74D6E"/>
    <w:rsid w:val="00C777BA"/>
    <w:rsid w:val="00C833EF"/>
    <w:rsid w:val="00C85E4F"/>
    <w:rsid w:val="00C90197"/>
    <w:rsid w:val="00C9153B"/>
    <w:rsid w:val="00C955EF"/>
    <w:rsid w:val="00CA3EF4"/>
    <w:rsid w:val="00CA49D0"/>
    <w:rsid w:val="00CB237B"/>
    <w:rsid w:val="00CC09B6"/>
    <w:rsid w:val="00CC7841"/>
    <w:rsid w:val="00CD5032"/>
    <w:rsid w:val="00CD54E7"/>
    <w:rsid w:val="00CE3F72"/>
    <w:rsid w:val="00CE7A3D"/>
    <w:rsid w:val="00CE7B61"/>
    <w:rsid w:val="00CF0111"/>
    <w:rsid w:val="00CF0F45"/>
    <w:rsid w:val="00D00095"/>
    <w:rsid w:val="00D0119E"/>
    <w:rsid w:val="00D17B4F"/>
    <w:rsid w:val="00D24DE4"/>
    <w:rsid w:val="00D2571F"/>
    <w:rsid w:val="00D4494A"/>
    <w:rsid w:val="00D45573"/>
    <w:rsid w:val="00D51276"/>
    <w:rsid w:val="00D53621"/>
    <w:rsid w:val="00D55D16"/>
    <w:rsid w:val="00D562C8"/>
    <w:rsid w:val="00D56470"/>
    <w:rsid w:val="00D715C3"/>
    <w:rsid w:val="00D7601E"/>
    <w:rsid w:val="00D8467F"/>
    <w:rsid w:val="00D848A3"/>
    <w:rsid w:val="00D92437"/>
    <w:rsid w:val="00D92B90"/>
    <w:rsid w:val="00DA0CA4"/>
    <w:rsid w:val="00DA34C0"/>
    <w:rsid w:val="00DB05E3"/>
    <w:rsid w:val="00DB0FCF"/>
    <w:rsid w:val="00DB1913"/>
    <w:rsid w:val="00DB5178"/>
    <w:rsid w:val="00DB5347"/>
    <w:rsid w:val="00DC03E2"/>
    <w:rsid w:val="00DC36AD"/>
    <w:rsid w:val="00DC4050"/>
    <w:rsid w:val="00DC410D"/>
    <w:rsid w:val="00DC5F3A"/>
    <w:rsid w:val="00DC68CA"/>
    <w:rsid w:val="00DE1CAA"/>
    <w:rsid w:val="00DE1E8F"/>
    <w:rsid w:val="00DE319A"/>
    <w:rsid w:val="00DE4C09"/>
    <w:rsid w:val="00DE5A29"/>
    <w:rsid w:val="00DE69F0"/>
    <w:rsid w:val="00DE6DD4"/>
    <w:rsid w:val="00DF0552"/>
    <w:rsid w:val="00DF0AA8"/>
    <w:rsid w:val="00DF2133"/>
    <w:rsid w:val="00DF352F"/>
    <w:rsid w:val="00E03072"/>
    <w:rsid w:val="00E15AC8"/>
    <w:rsid w:val="00E201B7"/>
    <w:rsid w:val="00E21A5E"/>
    <w:rsid w:val="00E22E97"/>
    <w:rsid w:val="00E2314E"/>
    <w:rsid w:val="00E249C0"/>
    <w:rsid w:val="00E333CF"/>
    <w:rsid w:val="00E33A55"/>
    <w:rsid w:val="00E3405D"/>
    <w:rsid w:val="00E378E9"/>
    <w:rsid w:val="00E405CB"/>
    <w:rsid w:val="00E412F8"/>
    <w:rsid w:val="00E47FFA"/>
    <w:rsid w:val="00E53F93"/>
    <w:rsid w:val="00E608D8"/>
    <w:rsid w:val="00E63680"/>
    <w:rsid w:val="00E65990"/>
    <w:rsid w:val="00E70101"/>
    <w:rsid w:val="00E715B1"/>
    <w:rsid w:val="00E72361"/>
    <w:rsid w:val="00E741C7"/>
    <w:rsid w:val="00E82267"/>
    <w:rsid w:val="00E83662"/>
    <w:rsid w:val="00E8394C"/>
    <w:rsid w:val="00E86417"/>
    <w:rsid w:val="00E87E82"/>
    <w:rsid w:val="00E90BE2"/>
    <w:rsid w:val="00E95A21"/>
    <w:rsid w:val="00EA144C"/>
    <w:rsid w:val="00EB3F9D"/>
    <w:rsid w:val="00EB40F6"/>
    <w:rsid w:val="00EC40E2"/>
    <w:rsid w:val="00ED1B63"/>
    <w:rsid w:val="00ED2B5B"/>
    <w:rsid w:val="00ED2F4E"/>
    <w:rsid w:val="00ED55E9"/>
    <w:rsid w:val="00ED655F"/>
    <w:rsid w:val="00ED6F0F"/>
    <w:rsid w:val="00EE0431"/>
    <w:rsid w:val="00EE2F57"/>
    <w:rsid w:val="00EE30DF"/>
    <w:rsid w:val="00EE6689"/>
    <w:rsid w:val="00EF4C34"/>
    <w:rsid w:val="00EF6C76"/>
    <w:rsid w:val="00EF6FD1"/>
    <w:rsid w:val="00F10386"/>
    <w:rsid w:val="00F1361C"/>
    <w:rsid w:val="00F160C7"/>
    <w:rsid w:val="00F21853"/>
    <w:rsid w:val="00F21AD7"/>
    <w:rsid w:val="00F23F77"/>
    <w:rsid w:val="00F30178"/>
    <w:rsid w:val="00F3063A"/>
    <w:rsid w:val="00F30787"/>
    <w:rsid w:val="00F32226"/>
    <w:rsid w:val="00F3365C"/>
    <w:rsid w:val="00F3678A"/>
    <w:rsid w:val="00F36C2A"/>
    <w:rsid w:val="00F417B1"/>
    <w:rsid w:val="00F45966"/>
    <w:rsid w:val="00F50F8C"/>
    <w:rsid w:val="00F5141A"/>
    <w:rsid w:val="00F52900"/>
    <w:rsid w:val="00F602DF"/>
    <w:rsid w:val="00F60D93"/>
    <w:rsid w:val="00F723E8"/>
    <w:rsid w:val="00F72580"/>
    <w:rsid w:val="00F73DB9"/>
    <w:rsid w:val="00F7481B"/>
    <w:rsid w:val="00F83D31"/>
    <w:rsid w:val="00F90AF6"/>
    <w:rsid w:val="00F90E00"/>
    <w:rsid w:val="00F938A3"/>
    <w:rsid w:val="00FA08EB"/>
    <w:rsid w:val="00FA2C49"/>
    <w:rsid w:val="00FA3D05"/>
    <w:rsid w:val="00FA4833"/>
    <w:rsid w:val="00FA582F"/>
    <w:rsid w:val="00FB201B"/>
    <w:rsid w:val="00FB3DBA"/>
    <w:rsid w:val="00FB4118"/>
    <w:rsid w:val="00FB55A8"/>
    <w:rsid w:val="00FB70BC"/>
    <w:rsid w:val="00FC030C"/>
    <w:rsid w:val="00FC1387"/>
    <w:rsid w:val="00FC3936"/>
    <w:rsid w:val="00FC3FCB"/>
    <w:rsid w:val="00FC64B7"/>
    <w:rsid w:val="00FD19E3"/>
    <w:rsid w:val="00FD2F58"/>
    <w:rsid w:val="00FD6204"/>
    <w:rsid w:val="00FE41E3"/>
    <w:rsid w:val="00FF0BD2"/>
    <w:rsid w:val="00FF1E02"/>
    <w:rsid w:val="0A0C6488"/>
    <w:rsid w:val="0EB31A13"/>
    <w:rsid w:val="0F396374"/>
    <w:rsid w:val="1435559F"/>
    <w:rsid w:val="1D9A08F1"/>
    <w:rsid w:val="240560F1"/>
    <w:rsid w:val="2B6250A4"/>
    <w:rsid w:val="2C8B35B0"/>
    <w:rsid w:val="2E0B6C6C"/>
    <w:rsid w:val="35B37A6E"/>
    <w:rsid w:val="3AFD0A86"/>
    <w:rsid w:val="437E8079"/>
    <w:rsid w:val="44E450FB"/>
    <w:rsid w:val="5465663C"/>
    <w:rsid w:val="58225D83"/>
    <w:rsid w:val="5B9D022C"/>
    <w:rsid w:val="5BC65AEB"/>
    <w:rsid w:val="61704270"/>
    <w:rsid w:val="61F81056"/>
    <w:rsid w:val="679010B5"/>
    <w:rsid w:val="67A40CE6"/>
    <w:rsid w:val="6870342D"/>
    <w:rsid w:val="68BA761E"/>
    <w:rsid w:val="6DB76A48"/>
    <w:rsid w:val="77D447A7"/>
    <w:rsid w:val="79955A94"/>
    <w:rsid w:val="7E703F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Salutation"/>
    <w:basedOn w:val="1"/>
    <w:next w:val="1"/>
    <w:link w:val="29"/>
    <w:unhideWhenUsed/>
    <w:qFormat/>
    <w:uiPriority w:val="99"/>
    <w:rPr>
      <w:rFonts w:ascii="Calibri" w:hAnsi="Calibri"/>
      <w:szCs w:val="21"/>
    </w:rPr>
  </w:style>
  <w:style w:type="paragraph" w:styleId="5">
    <w:name w:val="Body Text"/>
    <w:basedOn w:val="1"/>
    <w:link w:val="20"/>
    <w:qFormat/>
    <w:uiPriority w:val="99"/>
    <w:pPr>
      <w:spacing w:beforeLines="30"/>
    </w:pPr>
    <w:rPr>
      <w:rFonts w:ascii="仿宋_GB2312" w:eastAsia="仿宋_GB2312"/>
      <w:kern w:val="0"/>
      <w:sz w:val="30"/>
    </w:rPr>
  </w:style>
  <w:style w:type="paragraph" w:styleId="6">
    <w:name w:val="Body Text Indent"/>
    <w:basedOn w:val="1"/>
    <w:link w:val="27"/>
    <w:unhideWhenUsed/>
    <w:qFormat/>
    <w:uiPriority w:val="99"/>
    <w:pPr>
      <w:spacing w:after="120"/>
      <w:ind w:left="420" w:leftChars="200"/>
    </w:pPr>
  </w:style>
  <w:style w:type="paragraph" w:styleId="7">
    <w:name w:val="Balloon Text"/>
    <w:basedOn w:val="1"/>
    <w:link w:val="22"/>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locked/>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locked/>
    <w:uiPriority w:val="39"/>
    <w:pPr>
      <w:tabs>
        <w:tab w:val="right" w:leader="dot" w:pos="8296"/>
      </w:tabs>
      <w:ind w:left="420" w:leftChars="200"/>
    </w:pPr>
  </w:style>
  <w:style w:type="paragraph" w:styleId="12">
    <w:name w:val="Normal (Web)"/>
    <w:basedOn w:val="1"/>
    <w:unhideWhenUsed/>
    <w:qFormat/>
    <w:uiPriority w:val="99"/>
    <w:pPr>
      <w:spacing w:before="100" w:beforeAutospacing="1" w:after="100" w:afterAutospacing="1"/>
      <w:jc w:val="left"/>
    </w:pPr>
    <w:rPr>
      <w:rFonts w:ascii="Calibri" w:hAnsi="Calibri"/>
      <w:kern w:val="0"/>
      <w:sz w:val="24"/>
    </w:rPr>
  </w:style>
  <w:style w:type="paragraph" w:styleId="13">
    <w:name w:val="Body Text First Indent 2"/>
    <w:basedOn w:val="6"/>
    <w:link w:val="28"/>
    <w:unhideWhenUsed/>
    <w:qFormat/>
    <w:uiPriority w:val="99"/>
    <w:pPr>
      <w:ind w:firstLine="420" w:firstLineChars="200"/>
    </w:pPr>
  </w:style>
  <w:style w:type="character" w:styleId="16">
    <w:name w:val="Strong"/>
    <w:basedOn w:val="15"/>
    <w:qFormat/>
    <w:uiPriority w:val="99"/>
    <w:rPr>
      <w:rFonts w:cs="Times New Roman"/>
      <w:b/>
    </w:rPr>
  </w:style>
  <w:style w:type="character" w:styleId="17">
    <w:name w:val="Hyperlink"/>
    <w:basedOn w:val="15"/>
    <w:unhideWhenUsed/>
    <w:qFormat/>
    <w:uiPriority w:val="99"/>
    <w:rPr>
      <w:color w:val="0000FF" w:themeColor="hyperlink"/>
      <w:u w:val="single"/>
    </w:rPr>
  </w:style>
  <w:style w:type="character" w:customStyle="1" w:styleId="18">
    <w:name w:val="页眉 Char"/>
    <w:basedOn w:val="15"/>
    <w:link w:val="9"/>
    <w:semiHidden/>
    <w:qFormat/>
    <w:locked/>
    <w:uiPriority w:val="99"/>
    <w:rPr>
      <w:rFonts w:cs="Times New Roman"/>
      <w:sz w:val="18"/>
    </w:rPr>
  </w:style>
  <w:style w:type="character" w:customStyle="1" w:styleId="19">
    <w:name w:val="页脚 Char"/>
    <w:basedOn w:val="15"/>
    <w:link w:val="8"/>
    <w:qFormat/>
    <w:locked/>
    <w:uiPriority w:val="99"/>
    <w:rPr>
      <w:rFonts w:cs="Times New Roman"/>
      <w:sz w:val="18"/>
    </w:rPr>
  </w:style>
  <w:style w:type="character" w:customStyle="1" w:styleId="20">
    <w:name w:val="正文文本 Char"/>
    <w:basedOn w:val="15"/>
    <w:link w:val="5"/>
    <w:qFormat/>
    <w:locked/>
    <w:uiPriority w:val="99"/>
    <w:rPr>
      <w:rFonts w:ascii="仿宋_GB2312" w:hAnsi="Times New Roman" w:eastAsia="仿宋_GB2312" w:cs="Times New Roman"/>
      <w:sz w:val="24"/>
    </w:rPr>
  </w:style>
  <w:style w:type="paragraph" w:customStyle="1" w:styleId="2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2">
    <w:name w:val="批注框文本 Char"/>
    <w:basedOn w:val="15"/>
    <w:link w:val="7"/>
    <w:semiHidden/>
    <w:qFormat/>
    <w:locked/>
    <w:uiPriority w:val="99"/>
    <w:rPr>
      <w:rFonts w:ascii="Times New Roman" w:hAnsi="Times New Roman" w:cs="Times New Roman"/>
      <w:kern w:val="2"/>
      <w:sz w:val="18"/>
      <w:szCs w:val="18"/>
    </w:rPr>
  </w:style>
  <w:style w:type="character" w:customStyle="1" w:styleId="23">
    <w:name w:val="标题 2 Char"/>
    <w:basedOn w:val="15"/>
    <w:link w:val="3"/>
    <w:qFormat/>
    <w:uiPriority w:val="9"/>
    <w:rPr>
      <w:rFonts w:asciiTheme="majorHAnsi" w:hAnsiTheme="majorHAnsi" w:eastAsiaTheme="majorEastAsia" w:cstheme="majorBidi"/>
      <w:b/>
      <w:bCs/>
      <w:sz w:val="32"/>
      <w:szCs w:val="32"/>
    </w:rPr>
  </w:style>
  <w:style w:type="paragraph" w:customStyle="1" w:styleId="24">
    <w:name w:val="列出段落1"/>
    <w:basedOn w:val="1"/>
    <w:qFormat/>
    <w:uiPriority w:val="99"/>
    <w:pPr>
      <w:ind w:firstLine="420" w:firstLineChars="200"/>
    </w:pPr>
  </w:style>
  <w:style w:type="character" w:customStyle="1" w:styleId="25">
    <w:name w:val="标题 1 Char"/>
    <w:basedOn w:val="15"/>
    <w:link w:val="2"/>
    <w:qFormat/>
    <w:uiPriority w:val="9"/>
    <w:rPr>
      <w:rFonts w:ascii="Times New Roman" w:hAnsi="Times New Roman"/>
      <w:b/>
      <w:bCs/>
      <w:kern w:val="44"/>
      <w:sz w:val="44"/>
      <w:szCs w:val="44"/>
    </w:rPr>
  </w:style>
  <w:style w:type="paragraph" w:customStyle="1" w:styleId="26">
    <w:name w:val="列出段落2"/>
    <w:basedOn w:val="1"/>
    <w:qFormat/>
    <w:uiPriority w:val="34"/>
    <w:pPr>
      <w:ind w:firstLine="420" w:firstLineChars="200"/>
    </w:pPr>
  </w:style>
  <w:style w:type="character" w:customStyle="1" w:styleId="27">
    <w:name w:val="正文文本缩进 Char"/>
    <w:basedOn w:val="15"/>
    <w:link w:val="6"/>
    <w:semiHidden/>
    <w:qFormat/>
    <w:uiPriority w:val="99"/>
    <w:rPr>
      <w:rFonts w:ascii="Times New Roman" w:hAnsi="Times New Roman"/>
      <w:szCs w:val="24"/>
    </w:rPr>
  </w:style>
  <w:style w:type="character" w:customStyle="1" w:styleId="28">
    <w:name w:val="正文首行缩进 2 Char"/>
    <w:basedOn w:val="27"/>
    <w:link w:val="13"/>
    <w:qFormat/>
    <w:uiPriority w:val="99"/>
  </w:style>
  <w:style w:type="character" w:customStyle="1" w:styleId="29">
    <w:name w:val="称呼 Char"/>
    <w:basedOn w:val="15"/>
    <w:link w:val="4"/>
    <w:qFormat/>
    <w:uiPriority w:val="99"/>
    <w:rPr>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Desktop\&#26032;&#24314;&#25991;&#20214;&#22841;\2017&#24180;&#37096;&#38376;&#20915;&#31639;&#32534;&#21046;&#35828;&#26126;&#33539;&#26412;&#65288;&#20379;&#21442;&#32771;&#65289;.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6798005908168"/>
          <c:y val="0.180780307156829"/>
          <c:w val="0.660697573850421"/>
          <c:h val="0.661246710339048"/>
        </c:manualLayout>
      </c:layout>
      <c:barChart>
        <c:barDir val="col"/>
        <c:grouping val="clustered"/>
        <c:varyColors val="false"/>
        <c:ser>
          <c:idx val="0"/>
          <c:order val="0"/>
          <c:tx>
            <c:strRef>
              <c:f>Sheet1!$B$1</c:f>
              <c:strCache>
                <c:ptCount val="1"/>
                <c:pt idx="0">
                  <c:v>收入</c:v>
                </c:pt>
              </c:strCache>
            </c:strRef>
          </c:tx>
          <c:invertIfNegative val="false"/>
          <c:dLbls>
            <c:delete val="true"/>
          </c:dLbls>
          <c:cat>
            <c:strRef>
              <c:f>Sheet1!$A$2:$A$3</c:f>
              <c:strCache>
                <c:ptCount val="2"/>
                <c:pt idx="0">
                  <c:v>2019年</c:v>
                </c:pt>
                <c:pt idx="1">
                  <c:v>2018年</c:v>
                </c:pt>
              </c:strCache>
            </c:strRef>
          </c:cat>
          <c:val>
            <c:numRef>
              <c:f>Sheet1!$B$2:$B$3</c:f>
              <c:numCache>
                <c:formatCode>General</c:formatCode>
                <c:ptCount val="2"/>
                <c:pt idx="0">
                  <c:v>1579.87</c:v>
                </c:pt>
                <c:pt idx="1">
                  <c:v>1405.67</c:v>
                </c:pt>
              </c:numCache>
            </c:numRef>
          </c:val>
        </c:ser>
        <c:ser>
          <c:idx val="1"/>
          <c:order val="1"/>
          <c:tx>
            <c:strRef>
              <c:f>Sheet1!$C$1</c:f>
              <c:strCache>
                <c:ptCount val="1"/>
                <c:pt idx="0">
                  <c:v>支出</c:v>
                </c:pt>
              </c:strCache>
            </c:strRef>
          </c:tx>
          <c:invertIfNegative val="false"/>
          <c:dLbls>
            <c:delete val="true"/>
          </c:dLbls>
          <c:cat>
            <c:strRef>
              <c:f>Sheet1!$A$2:$A$3</c:f>
              <c:strCache>
                <c:ptCount val="2"/>
                <c:pt idx="0">
                  <c:v>2019年</c:v>
                </c:pt>
                <c:pt idx="1">
                  <c:v>2018年</c:v>
                </c:pt>
              </c:strCache>
            </c:strRef>
          </c:cat>
          <c:val>
            <c:numRef>
              <c:f>Sheet1!$C$2:$C$3</c:f>
              <c:numCache>
                <c:formatCode>General</c:formatCode>
                <c:ptCount val="2"/>
                <c:pt idx="0">
                  <c:v>1247.68</c:v>
                </c:pt>
                <c:pt idx="1">
                  <c:v>2101.2</c:v>
                </c:pt>
              </c:numCache>
            </c:numRef>
          </c:val>
        </c:ser>
        <c:dLbls>
          <c:showLegendKey val="false"/>
          <c:showVal val="false"/>
          <c:showCatName val="false"/>
          <c:showSerName val="false"/>
          <c:showPercent val="false"/>
          <c:showBubbleSize val="false"/>
        </c:dLbls>
        <c:gapWidth val="150"/>
        <c:axId val="97253632"/>
        <c:axId val="97294208"/>
      </c:barChart>
      <c:catAx>
        <c:axId val="97253632"/>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7294208"/>
        <c:crosses val="autoZero"/>
        <c:auto val="true"/>
        <c:lblAlgn val="ctr"/>
        <c:lblOffset val="100"/>
        <c:noMultiLvlLbl val="false"/>
      </c:catAx>
      <c:valAx>
        <c:axId val="9729420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725363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w="29819">
          <a:noFill/>
        </a:ln>
      </c:spPr>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316774658027358"/>
          <c:y val="0.204475853945819"/>
          <c:w val="0.608396002335571"/>
          <c:h val="0.738987043580693"/>
        </c:manualLayout>
      </c:layout>
      <c:pieChart>
        <c:varyColors val="true"/>
        <c:ser>
          <c:idx val="0"/>
          <c:order val="0"/>
          <c:tx>
            <c:strRef>
              <c:f>Sheet1!$B$1</c:f>
              <c:strCache>
                <c:ptCount val="1"/>
                <c:pt idx="0">
                  <c:v>本年收入合计</c:v>
                </c:pt>
              </c:strCache>
            </c:strRef>
          </c:tx>
          <c:explosion val="0"/>
          <c:dPt>
            <c:idx val="0"/>
            <c:bubble3D val="false"/>
            <c:explosion val="6"/>
          </c:dPt>
          <c:dPt>
            <c:idx val="1"/>
            <c:bubble3D val="false"/>
          </c:dPt>
          <c:dPt>
            <c:idx val="2"/>
            <c:bubble3D val="false"/>
          </c:dPt>
          <c:dPt>
            <c:idx val="3"/>
            <c:bubble3D val="false"/>
          </c:dPt>
          <c:dPt>
            <c:idx val="4"/>
            <c:bubble3D val="false"/>
          </c:dPt>
          <c:dLbls>
            <c:dLbl>
              <c:idx val="4"/>
              <c:layout>
                <c:manualLayout>
                  <c:x val="0.0968088978078605"/>
                  <c:y val="0.013502870445081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Sheet1!$A$2:$A$6</c:f>
              <c:strCache>
                <c:ptCount val="1"/>
                <c:pt idx="0">
                  <c:v>本年收入</c:v>
                </c:pt>
              </c:strCache>
            </c:strRef>
          </c:cat>
          <c:val>
            <c:numRef>
              <c:f>Sheet1!$B$2:$B$6</c:f>
              <c:numCache>
                <c:formatCode>General</c:formatCode>
                <c:ptCount val="5"/>
                <c:pt idx="0">
                  <c:v>1579.87</c:v>
                </c:pt>
                <c:pt idx="2">
                  <c:v>0</c:v>
                </c:pt>
                <c:pt idx="3">
                  <c:v>0</c:v>
                </c:pt>
                <c:pt idx="4">
                  <c:v>0</c:v>
                </c:pt>
              </c:numCache>
            </c:numRef>
          </c:val>
        </c:ser>
        <c:dLbls>
          <c:showLegendKey val="false"/>
          <c:showVal val="true"/>
          <c:showCatName val="false"/>
          <c:showSerName val="false"/>
          <c:showPercent val="false"/>
          <c:showBubbleSize val="false"/>
          <c:showLeaderLines val="true"/>
        </c:dLbls>
        <c:firstSliceAng val="15"/>
      </c:pieChart>
      <c:spPr>
        <a:noFill/>
        <a:ln>
          <a:noFill/>
        </a:ln>
        <a:effectLst/>
      </c:spPr>
    </c:plotArea>
    <c:legend>
      <c:legendPos val="r"/>
      <c:layout>
        <c:manualLayout>
          <c:xMode val="edge"/>
          <c:yMode val="edge"/>
          <c:x val="0.642384105960252"/>
          <c:y val="0.176895306859209"/>
          <c:w val="0.33774834437087"/>
          <c:h val="0.79422382671480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w="29819">
          <a:noFill/>
        </a:ln>
      </c:spPr>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316774658027358"/>
          <c:y val="0.204475853945819"/>
          <c:w val="0.608396002335573"/>
          <c:h val="0.738987043580694"/>
        </c:manualLayout>
      </c:layout>
      <c:pieChart>
        <c:varyColors val="true"/>
        <c:ser>
          <c:idx val="0"/>
          <c:order val="0"/>
          <c:tx>
            <c:strRef>
              <c:f>Sheet1!$B$1</c:f>
              <c:strCache>
                <c:ptCount val="1"/>
                <c:pt idx="0">
                  <c:v>本年支出合计</c:v>
                </c:pt>
              </c:strCache>
            </c:strRef>
          </c:tx>
          <c:explosion val="0"/>
          <c:dPt>
            <c:idx val="0"/>
            <c:bubble3D val="false"/>
            <c:explosion val="6"/>
          </c:dPt>
          <c:dPt>
            <c:idx val="1"/>
            <c:bubble3D val="false"/>
          </c:dPt>
          <c:dPt>
            <c:idx val="2"/>
            <c:bubble3D val="false"/>
          </c:dPt>
          <c:dPt>
            <c:idx val="3"/>
            <c:bubble3D val="false"/>
          </c:dPt>
          <c:dPt>
            <c:idx val="4"/>
            <c:bubble3D val="false"/>
          </c:dPt>
          <c:dLbls>
            <c:dLbl>
              <c:idx val="4"/>
              <c:layout>
                <c:manualLayout>
                  <c:x val="0.0968088978078605"/>
                  <c:y val="0.013502870445081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Sheet1!$A$2:$A$6</c:f>
              <c:strCache>
                <c:ptCount val="3"/>
                <c:pt idx="1">
                  <c:v>基本支出</c:v>
                </c:pt>
                <c:pt idx="2">
                  <c:v>项目支出</c:v>
                </c:pt>
              </c:strCache>
            </c:strRef>
          </c:cat>
          <c:val>
            <c:numRef>
              <c:f>Sheet1!$B$2:$B$6</c:f>
              <c:numCache>
                <c:formatCode>General</c:formatCode>
                <c:ptCount val="5"/>
                <c:pt idx="1">
                  <c:v>977.97</c:v>
                </c:pt>
                <c:pt idx="2">
                  <c:v>269.71</c:v>
                </c:pt>
                <c:pt idx="3">
                  <c:v>0</c:v>
                </c:pt>
                <c:pt idx="4">
                  <c:v>0</c:v>
                </c:pt>
              </c:numCache>
            </c:numRef>
          </c:val>
        </c:ser>
        <c:dLbls>
          <c:showLegendKey val="false"/>
          <c:showVal val="true"/>
          <c:showCatName val="false"/>
          <c:showSerName val="false"/>
          <c:showPercent val="false"/>
          <c:showBubbleSize val="false"/>
          <c:showLeaderLines val="true"/>
        </c:dLbls>
        <c:firstSliceAng val="15"/>
      </c:pieChart>
      <c:spPr>
        <a:noFill/>
        <a:ln>
          <a:noFill/>
        </a:ln>
        <a:effectLst/>
      </c:spPr>
    </c:plotArea>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6798005908168"/>
          <c:y val="0.180780307156829"/>
          <c:w val="0.66069757385042"/>
          <c:h val="0.661246710339047"/>
        </c:manualLayout>
      </c:layout>
      <c:barChart>
        <c:barDir val="col"/>
        <c:grouping val="clustered"/>
        <c:varyColors val="false"/>
        <c:ser>
          <c:idx val="0"/>
          <c:order val="0"/>
          <c:tx>
            <c:strRef>
              <c:f>Sheet1!$B$1</c:f>
              <c:strCache>
                <c:ptCount val="1"/>
                <c:pt idx="0">
                  <c:v>收入</c:v>
                </c:pt>
              </c:strCache>
            </c:strRef>
          </c:tx>
          <c:invertIfNegative val="false"/>
          <c:dLbls>
            <c:delete val="true"/>
          </c:dLbls>
          <c:cat>
            <c:strRef>
              <c:f>Sheet1!$A$2:$A$3</c:f>
              <c:strCache>
                <c:ptCount val="2"/>
                <c:pt idx="0">
                  <c:v>2019年</c:v>
                </c:pt>
                <c:pt idx="1">
                  <c:v>2018年</c:v>
                </c:pt>
              </c:strCache>
            </c:strRef>
          </c:cat>
          <c:val>
            <c:numRef>
              <c:f>Sheet1!$B$2:$B$3</c:f>
              <c:numCache>
                <c:formatCode>General</c:formatCode>
                <c:ptCount val="2"/>
                <c:pt idx="0">
                  <c:v>1579.87</c:v>
                </c:pt>
                <c:pt idx="1">
                  <c:v>1405.67</c:v>
                </c:pt>
              </c:numCache>
            </c:numRef>
          </c:val>
        </c:ser>
        <c:ser>
          <c:idx val="1"/>
          <c:order val="1"/>
          <c:tx>
            <c:strRef>
              <c:f>Sheet1!$C$1</c:f>
              <c:strCache>
                <c:ptCount val="1"/>
                <c:pt idx="0">
                  <c:v>支出</c:v>
                </c:pt>
              </c:strCache>
            </c:strRef>
          </c:tx>
          <c:invertIfNegative val="false"/>
          <c:dLbls>
            <c:delete val="true"/>
          </c:dLbls>
          <c:cat>
            <c:strRef>
              <c:f>Sheet1!$A$2:$A$3</c:f>
              <c:strCache>
                <c:ptCount val="2"/>
                <c:pt idx="0">
                  <c:v>2019年</c:v>
                </c:pt>
                <c:pt idx="1">
                  <c:v>2018年</c:v>
                </c:pt>
              </c:strCache>
            </c:strRef>
          </c:cat>
          <c:val>
            <c:numRef>
              <c:f>Sheet1!$C$2:$C$3</c:f>
              <c:numCache>
                <c:formatCode>General</c:formatCode>
                <c:ptCount val="2"/>
                <c:pt idx="0">
                  <c:v>1247.68</c:v>
                </c:pt>
                <c:pt idx="1">
                  <c:v>2101.2</c:v>
                </c:pt>
              </c:numCache>
            </c:numRef>
          </c:val>
        </c:ser>
        <c:dLbls>
          <c:showLegendKey val="false"/>
          <c:showVal val="false"/>
          <c:showCatName val="false"/>
          <c:showSerName val="false"/>
          <c:showPercent val="false"/>
          <c:showBubbleSize val="false"/>
        </c:dLbls>
        <c:gapWidth val="150"/>
        <c:axId val="254011648"/>
        <c:axId val="254038016"/>
      </c:barChart>
      <c:catAx>
        <c:axId val="254011648"/>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4038016"/>
        <c:crosses val="autoZero"/>
        <c:auto val="true"/>
        <c:lblAlgn val="ctr"/>
        <c:lblOffset val="100"/>
        <c:noMultiLvlLbl val="false"/>
      </c:catAx>
      <c:valAx>
        <c:axId val="25403801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401164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w="25368">
          <a:noFill/>
        </a:ln>
      </c:spPr>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一般公共预算财政拨款支出</c:v>
                </c:pt>
              </c:strCache>
            </c:strRef>
          </c:tx>
          <c:invertIfNegative val="false"/>
          <c:dLbls>
            <c:dLbl>
              <c:idx val="0"/>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2018年</c:v>
                </c:pt>
              </c:strCache>
            </c:strRef>
          </c:cat>
          <c:val>
            <c:numRef>
              <c:f>Sheet1!$B$2:$B$3</c:f>
              <c:numCache>
                <c:formatCode>General</c:formatCode>
                <c:ptCount val="2"/>
                <c:pt idx="0">
                  <c:v>1247.68</c:v>
                </c:pt>
                <c:pt idx="1">
                  <c:v>2101.2</c:v>
                </c:pt>
              </c:numCache>
            </c:numRef>
          </c:val>
        </c:ser>
        <c:dLbls>
          <c:showLegendKey val="false"/>
          <c:showVal val="false"/>
          <c:showCatName val="false"/>
          <c:showSerName val="false"/>
          <c:showPercent val="false"/>
          <c:showBubbleSize val="false"/>
        </c:dLbls>
        <c:gapWidth val="150"/>
        <c:axId val="256665472"/>
        <c:axId val="125415424"/>
      </c:barChart>
      <c:catAx>
        <c:axId val="256665472"/>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5415424"/>
        <c:crosses val="autoZero"/>
        <c:auto val="true"/>
        <c:lblAlgn val="ctr"/>
        <c:lblOffset val="100"/>
        <c:noMultiLvlLbl val="false"/>
      </c:catAx>
      <c:valAx>
        <c:axId val="12541542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666547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w="25164">
          <a:noFill/>
        </a:ln>
      </c:spPr>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c:v>
                </c:pt>
              </c:strCache>
            </c:strRef>
          </c:tx>
          <c:explosion val="0"/>
          <c:dPt>
            <c:idx val="0"/>
            <c:bubble3D val="false"/>
          </c:dPt>
          <c:dPt>
            <c:idx val="1"/>
            <c:bubble3D val="false"/>
          </c:dPt>
          <c:dPt>
            <c:idx val="2"/>
            <c:bubble3D val="false"/>
          </c:dPt>
          <c:dPt>
            <c:idx val="3"/>
            <c:bubble3D val="false"/>
          </c:dPt>
          <c:dPt>
            <c:idx val="4"/>
            <c:bubble3D val="false"/>
          </c:dPt>
          <c:dLbls>
            <c:delete val="true"/>
          </c:dLbls>
          <c:cat>
            <c:strRef>
              <c:f>Sheet1!$A$2:$A$6</c:f>
              <c:strCache>
                <c:ptCount val="5"/>
                <c:pt idx="0">
                  <c:v>社会保障和就业支出</c:v>
                </c:pt>
                <c:pt idx="1">
                  <c:v>医疗卫生支出</c:v>
                </c:pt>
                <c:pt idx="2">
                  <c:v>住房保障支出</c:v>
                </c:pt>
                <c:pt idx="3">
                  <c:v>农林水支出</c:v>
                </c:pt>
                <c:pt idx="4">
                  <c:v>灾害防治及应急管理支出</c:v>
                </c:pt>
              </c:strCache>
            </c:strRef>
          </c:cat>
          <c:val>
            <c:numRef>
              <c:f>Sheet1!$B$2:$B$6</c:f>
              <c:numCache>
                <c:formatCode>General</c:formatCode>
                <c:ptCount val="5"/>
                <c:pt idx="0">
                  <c:v>84.63</c:v>
                </c:pt>
                <c:pt idx="1">
                  <c:v>33.44</c:v>
                </c:pt>
                <c:pt idx="2">
                  <c:v>51.02</c:v>
                </c:pt>
                <c:pt idx="3">
                  <c:v>3</c:v>
                </c:pt>
                <c:pt idx="4">
                  <c:v>1075.6</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manualLayout>
          <c:xMode val="edge"/>
          <c:yMode val="edge"/>
          <c:x val="0.644531122351429"/>
          <c:y val="0.183547381487071"/>
          <c:w val="0.338126575237714"/>
          <c:h val="0.795156201142727"/>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c:v>
                </c:pt>
              </c:strCache>
            </c:strRef>
          </c:tx>
          <c:explosion val="0"/>
          <c:dPt>
            <c:idx val="0"/>
            <c:bubble3D val="false"/>
          </c:dPt>
          <c:dPt>
            <c:idx val="1"/>
            <c:bubble3D val="false"/>
          </c:dPt>
          <c:dLbls>
            <c:delete val="true"/>
          </c:dLbls>
          <c:cat>
            <c:strRef>
              <c:f>Sheet1!$A$2:$A$3</c:f>
              <c:strCache>
                <c:ptCount val="2"/>
                <c:pt idx="0">
                  <c:v>本年度“三公”支出数</c:v>
                </c:pt>
                <c:pt idx="1">
                  <c:v>结余</c:v>
                </c:pt>
              </c:strCache>
            </c:strRef>
          </c:cat>
          <c:val>
            <c:numRef>
              <c:f>Sheet1!$B$2:$B$3</c:f>
              <c:numCache>
                <c:formatCode>General</c:formatCode>
                <c:ptCount val="2"/>
                <c:pt idx="0">
                  <c:v>4.05</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2017年部门决算编制说明范本（供参考）.dotx</Template>
  <Company>四川省财政厅</Company>
  <Pages>54</Pages>
  <Words>3598</Words>
  <Characters>20511</Characters>
  <Lines>170</Lines>
  <Paragraphs>48</Paragraphs>
  <TotalTime>1</TotalTime>
  <ScaleCrop>false</ScaleCrop>
  <LinksUpToDate>false</LinksUpToDate>
  <CharactersWithSpaces>24061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2018-08-24T06:53:00Z</dcterms:created>
  <dc:creator>123456</dc:creator>
  <cp:lastModifiedBy>user</cp:lastModifiedBy>
  <cp:lastPrinted>2019-09-11T19:02:00Z</cp:lastPrinted>
  <dcterms:modified xsi:type="dcterms:W3CDTF">2023-07-13T16:00:59Z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