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bookmarkStart w:id="76" w:name="_GoBack"/>
      <w:bookmarkEnd w:id="76"/>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425"/>
      <w:bookmarkStart w:id="2" w:name="_Toc15378441"/>
      <w:bookmarkStart w:id="3" w:name="_Toc15377193"/>
      <w:bookmarkStart w:id="4" w:name="_Toc15396475"/>
      <w:bookmarkStart w:id="5" w:name="_Toc15396597"/>
      <w:r>
        <w:rPr>
          <w:rFonts w:ascii="黑体" w:hAnsi="黑体" w:eastAsia="黑体"/>
          <w:color w:val="000000"/>
          <w:sz w:val="72"/>
          <w:szCs w:val="72"/>
        </w:rPr>
        <w:t>201</w:t>
      </w:r>
      <w:r>
        <w:rPr>
          <w:rFonts w:hint="eastAsia" w:ascii="黑体" w:hAnsi="黑体" w:eastAsia="黑体"/>
          <w:color w:val="000000"/>
          <w:sz w:val="72"/>
          <w:szCs w:val="72"/>
        </w:rPr>
        <w:t>8</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77194"/>
      <w:bookmarkStart w:id="7" w:name="_Toc15396598"/>
      <w:bookmarkStart w:id="8" w:name="_Toc15377426"/>
      <w:bookmarkStart w:id="9" w:name="_Toc15396476"/>
      <w:bookmarkStart w:id="10" w:name="_Toc15378442"/>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lang w:eastAsia="zh-CN"/>
        </w:rPr>
        <w:t>广元市利州区委群众工作局</w:t>
      </w: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w:t>
      </w:r>
      <w:r>
        <w:rPr>
          <w:rFonts w:hint="eastAsia" w:ascii="黑体" w:hAnsi="黑体" w:eastAsia="黑体"/>
          <w:color w:val="000000"/>
          <w:sz w:val="48"/>
          <w:szCs w:val="48"/>
          <w:lang w:val="en-US" w:eastAsia="zh-CN"/>
        </w:rPr>
        <w:t xml:space="preserve">  </w:t>
      </w:r>
      <w:r>
        <w:rPr>
          <w:rFonts w:hint="eastAsia" w:ascii="黑体" w:hAnsi="黑体" w:eastAsia="黑体"/>
          <w:color w:val="000000"/>
          <w:sz w:val="48"/>
          <w:szCs w:val="48"/>
        </w:rPr>
        <w:t>录</w:t>
      </w:r>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0"/>
      </w:pPr>
      <w:r>
        <w:rPr>
          <w:rFonts w:hint="eastAsia"/>
        </w:rPr>
        <w:t>公开时间：2019年</w:t>
      </w:r>
      <w:r>
        <w:rPr>
          <w:rFonts w:hint="eastAsia"/>
          <w:lang w:val="en-US" w:eastAsia="zh-CN"/>
        </w:rPr>
        <w:t>9</w:t>
      </w:r>
      <w:r>
        <w:rPr>
          <w:rFonts w:hint="eastAsia"/>
        </w:rPr>
        <w:t>月</w:t>
      </w:r>
      <w:r>
        <w:rPr>
          <w:rFonts w:hint="eastAsia"/>
          <w:lang w:val="en-US" w:eastAsia="zh-CN"/>
        </w:rPr>
        <w:t>12</w:t>
      </w:r>
      <w:r>
        <w:rPr>
          <w:rFonts w:hint="eastAsia"/>
        </w:rPr>
        <w:t>日</w:t>
      </w:r>
    </w:p>
    <w:p/>
    <w:p>
      <w:pPr>
        <w:pStyle w:val="10"/>
        <w:rPr>
          <w:rFonts w:cstheme="minorBidi"/>
        </w:rPr>
      </w:pPr>
      <w:r>
        <w:fldChar w:fldCharType="begin"/>
      </w:r>
      <w:r>
        <w:instrText xml:space="preserve"> HYPERLINK \l "_Toc15396599" </w:instrText>
      </w:r>
      <w:r>
        <w:fldChar w:fldCharType="separate"/>
      </w:r>
      <w:r>
        <w:rPr>
          <w:rStyle w:val="15"/>
          <w:rFonts w:hint="eastAsia"/>
        </w:rPr>
        <w:t>第一部分</w:t>
      </w:r>
      <w:r>
        <w:rPr>
          <w:rStyle w:val="15"/>
        </w:rPr>
        <w:t xml:space="preserve"> </w:t>
      </w:r>
      <w:r>
        <w:rPr>
          <w:rStyle w:val="15"/>
          <w:rFonts w:hint="eastAsia"/>
        </w:rPr>
        <w:t>部门概况</w:t>
      </w:r>
      <w:r>
        <w:tab/>
      </w:r>
      <w:r>
        <w:rPr>
          <w:rFonts w:hint="eastAsia"/>
        </w:rPr>
        <w:t>4</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5"/>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5"/>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5"/>
          <w:rFonts w:hint="eastAsia"/>
        </w:rPr>
        <w:t>第二部分</w:t>
      </w:r>
      <w:r>
        <w:rPr>
          <w:rStyle w:val="15"/>
        </w:rPr>
        <w:t xml:space="preserve"> 2018</w:t>
      </w:r>
      <w:r>
        <w:rPr>
          <w:rStyle w:val="15"/>
          <w:rFonts w:hint="eastAsia"/>
        </w:rPr>
        <w:t>年度部门决算情况说明</w:t>
      </w:r>
      <w:r>
        <w:tab/>
      </w:r>
      <w:r>
        <w:fldChar w:fldCharType="begin"/>
      </w:r>
      <w:r>
        <w:instrText xml:space="preserve"> PAGEREF _Toc15396602 \h </w:instrText>
      </w:r>
      <w:r>
        <w:fldChar w:fldCharType="separate"/>
      </w:r>
      <w:r>
        <w:t>5</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5"/>
          <w:rFonts w:hint="eastAsia" w:ascii="仿宋" w:hAnsi="仿宋" w:eastAsia="仿宋" w:cstheme="majorBidi"/>
          <w:bCs/>
          <w:sz w:val="28"/>
          <w:szCs w:val="28"/>
        </w:rPr>
        <w:t>一、</w:t>
      </w:r>
      <w:r>
        <w:rPr>
          <w:rStyle w:val="15"/>
          <w:rFonts w:hint="eastAsia" w:ascii="仿宋" w:hAnsi="仿宋" w:eastAsia="仿宋"/>
          <w:sz w:val="28"/>
          <w:szCs w:val="28"/>
        </w:rPr>
        <w:t>收</w:t>
      </w:r>
      <w:r>
        <w:rPr>
          <w:rStyle w:val="15"/>
          <w:rFonts w:hint="eastAsia" w:ascii="仿宋" w:hAnsi="仿宋" w:eastAsia="仿宋" w:cstheme="majorBidi"/>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5"/>
          <w:rFonts w:hint="eastAsia" w:ascii="仿宋" w:hAnsi="仿宋" w:eastAsia="仿宋" w:cstheme="majorBidi"/>
          <w:bCs/>
          <w:sz w:val="28"/>
          <w:szCs w:val="28"/>
        </w:rPr>
        <w:t>二、</w:t>
      </w:r>
      <w:r>
        <w:rPr>
          <w:rStyle w:val="15"/>
          <w:rFonts w:hint="eastAsia" w:ascii="仿宋" w:hAnsi="仿宋" w:eastAsia="仿宋"/>
          <w:sz w:val="28"/>
          <w:szCs w:val="28"/>
        </w:rPr>
        <w:t>收</w:t>
      </w:r>
      <w:r>
        <w:rPr>
          <w:rStyle w:val="15"/>
          <w:rFonts w:hint="eastAsia" w:ascii="仿宋" w:hAnsi="仿宋" w:eastAsia="仿宋" w:cstheme="majorBidi"/>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5"/>
          <w:rFonts w:hint="eastAsia" w:ascii="仿宋" w:hAnsi="仿宋" w:eastAsia="仿宋" w:cstheme="majorBidi"/>
          <w:bCs/>
          <w:sz w:val="28"/>
          <w:szCs w:val="28"/>
        </w:rPr>
        <w:t>三、</w:t>
      </w:r>
      <w:r>
        <w:rPr>
          <w:rStyle w:val="15"/>
          <w:rFonts w:hint="eastAsia" w:ascii="仿宋" w:hAnsi="仿宋" w:eastAsia="仿宋"/>
          <w:sz w:val="28"/>
          <w:szCs w:val="28"/>
        </w:rPr>
        <w:t>支</w:t>
      </w:r>
      <w:r>
        <w:rPr>
          <w:rStyle w:val="15"/>
          <w:rFonts w:hint="eastAsia" w:ascii="仿宋" w:hAnsi="仿宋" w:eastAsia="仿宋" w:cstheme="majorBidi"/>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5"/>
          <w:rFonts w:hint="eastAsia" w:ascii="仿宋" w:hAnsi="仿宋" w:eastAsia="仿宋"/>
          <w:sz w:val="28"/>
          <w:szCs w:val="28"/>
        </w:rPr>
        <w:t>四、财</w:t>
      </w:r>
      <w:r>
        <w:rPr>
          <w:rStyle w:val="15"/>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5"/>
          <w:rFonts w:hint="eastAsia" w:ascii="仿宋" w:hAnsi="仿宋" w:eastAsia="仿宋"/>
          <w:sz w:val="28"/>
          <w:szCs w:val="28"/>
        </w:rPr>
        <w:t>五、一</w:t>
      </w:r>
      <w:r>
        <w:rPr>
          <w:rStyle w:val="15"/>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"_Toc15396608" </w:instrText>
      </w:r>
      <w:r>
        <w:fldChar w:fldCharType="separate"/>
      </w:r>
      <w:r>
        <w:rPr>
          <w:rStyle w:val="15"/>
          <w:rFonts w:hint="eastAsia" w:ascii="仿宋" w:hAnsi="仿宋" w:eastAsia="仿宋"/>
          <w:sz w:val="28"/>
          <w:szCs w:val="28"/>
        </w:rPr>
        <w:t>六、一</w:t>
      </w:r>
      <w:r>
        <w:rPr>
          <w:rStyle w:val="15"/>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"_Toc15396609" </w:instrText>
      </w:r>
      <w:r>
        <w:fldChar w:fldCharType="separate"/>
      </w:r>
      <w:r>
        <w:rPr>
          <w:rStyle w:val="15"/>
          <w:rFonts w:hint="eastAsia" w:ascii="仿宋" w:hAnsi="仿宋" w:eastAsia="仿宋"/>
          <w:sz w:val="28"/>
          <w:szCs w:val="28"/>
        </w:rPr>
        <w:t>七、</w:t>
      </w:r>
      <w:r>
        <w:rPr>
          <w:rStyle w:val="15"/>
          <w:rFonts w:ascii="仿宋" w:hAnsi="仿宋" w:eastAsia="仿宋"/>
          <w:sz w:val="28"/>
          <w:szCs w:val="28"/>
        </w:rPr>
        <w:t>“</w:t>
      </w:r>
      <w:r>
        <w:rPr>
          <w:rStyle w:val="15"/>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"_Toc15396610" </w:instrText>
      </w:r>
      <w:r>
        <w:fldChar w:fldCharType="separate"/>
      </w:r>
      <w:r>
        <w:rPr>
          <w:rStyle w:val="15"/>
          <w:rFonts w:hint="eastAsia" w:ascii="仿宋" w:hAnsi="仿宋" w:eastAsia="仿宋"/>
          <w:sz w:val="28"/>
          <w:szCs w:val="28"/>
        </w:rPr>
        <w:t>八、</w:t>
      </w:r>
      <w:r>
        <w:rPr>
          <w:rStyle w:val="15"/>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11</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"_Toc15396611" </w:instrText>
      </w:r>
      <w:r>
        <w:fldChar w:fldCharType="separate"/>
      </w:r>
      <w:r>
        <w:rPr>
          <w:rStyle w:val="15"/>
          <w:rFonts w:hint="eastAsia" w:ascii="仿宋" w:hAnsi="仿宋" w:eastAsia="仿宋" w:cstheme="majorBidi"/>
          <w:bCs/>
          <w:sz w:val="28"/>
          <w:szCs w:val="28"/>
        </w:rPr>
        <w:t>九、</w:t>
      </w:r>
      <w:r>
        <w:rPr>
          <w:rStyle w:val="15"/>
          <w:rFonts w:hint="eastAsia" w:ascii="仿宋" w:hAnsi="仿宋" w:eastAsia="仿宋"/>
          <w:sz w:val="28"/>
          <w:szCs w:val="28"/>
        </w:rPr>
        <w:t xml:space="preserve"> 国</w:t>
      </w:r>
      <w:r>
        <w:rPr>
          <w:rStyle w:val="15"/>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11</w:t>
      </w:r>
      <w:r>
        <w:rPr>
          <w:rFonts w:ascii="仿宋" w:hAnsi="仿宋" w:eastAsia="仿宋"/>
          <w:sz w:val="28"/>
          <w:szCs w:val="28"/>
        </w:rPr>
        <w:fldChar w:fldCharType="end"/>
      </w:r>
      <w:r>
        <w:rPr>
          <w:rFonts w:ascii="仿宋" w:hAnsi="仿宋" w:eastAsia="仿宋"/>
          <w:sz w:val="28"/>
          <w:szCs w:val="28"/>
        </w:rPr>
        <w:fldChar w:fldCharType="end"/>
      </w:r>
    </w:p>
    <w:p>
      <w:pPr>
        <w:rPr>
          <w:rFonts w:hint="default" w:eastAsia="仿宋"/>
          <w:lang w:val="en-US" w:eastAsia="zh-CN"/>
        </w:rPr>
      </w:pPr>
      <w:r>
        <w:rPr>
          <w:rFonts w:hint="eastAsia" w:ascii="仿宋" w:hAnsi="仿宋" w:eastAsia="仿宋"/>
          <w:sz w:val="28"/>
          <w:szCs w:val="28"/>
          <w:lang w:val="en-US" w:eastAsia="zh-CN"/>
        </w:rPr>
        <w:t xml:space="preserve">   十、预算绩效情况说明                                  11</w:t>
      </w:r>
    </w:p>
    <w:p>
      <w:pPr>
        <w:pStyle w:val="11"/>
        <w:rPr>
          <w:rFonts w:ascii="仿宋" w:hAnsi="仿宋" w:eastAsia="仿宋" w:cstheme="minorBidi"/>
          <w:sz w:val="28"/>
          <w:szCs w:val="28"/>
        </w:rPr>
      </w:pPr>
      <w:r>
        <w:fldChar w:fldCharType="begin"/>
      </w:r>
      <w:r>
        <w:instrText xml:space="preserve"> HYPERLINK \l "_Toc15396612" </w:instrText>
      </w:r>
      <w:r>
        <w:fldChar w:fldCharType="separate"/>
      </w:r>
      <w:r>
        <w:rPr>
          <w:rStyle w:val="15"/>
          <w:rFonts w:hint="eastAsia" w:ascii="仿宋" w:hAnsi="仿宋" w:eastAsia="仿宋"/>
          <w:sz w:val="28"/>
          <w:szCs w:val="28"/>
        </w:rPr>
        <w:t>十</w:t>
      </w:r>
      <w:r>
        <w:rPr>
          <w:rStyle w:val="15"/>
          <w:rFonts w:hint="eastAsia" w:ascii="仿宋" w:hAnsi="仿宋" w:eastAsia="仿宋" w:cstheme="majorBidi"/>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15</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"_Toc15396613" </w:instrText>
      </w:r>
      <w:r>
        <w:fldChar w:fldCharType="separate"/>
      </w:r>
      <w:r>
        <w:rPr>
          <w:rStyle w:val="15"/>
          <w:rFonts w:hint="eastAsia"/>
          <w:bCs/>
          <w:kern w:val="44"/>
        </w:rPr>
        <w:t>第三部分</w:t>
      </w:r>
      <w:r>
        <w:rPr>
          <w:rStyle w:val="15"/>
          <w:rFonts w:hint="eastAsia"/>
        </w:rPr>
        <w:t xml:space="preserve"> 名</w:t>
      </w:r>
      <w:r>
        <w:rPr>
          <w:rStyle w:val="15"/>
          <w:rFonts w:hint="eastAsia"/>
          <w:bCs/>
          <w:kern w:val="44"/>
        </w:rPr>
        <w:t>词解释</w:t>
      </w:r>
      <w:r>
        <w:tab/>
      </w:r>
      <w:r>
        <w:fldChar w:fldCharType="begin"/>
      </w:r>
      <w:r>
        <w:instrText xml:space="preserve"> PAGEREF _Toc15396613 \h </w:instrText>
      </w:r>
      <w:r>
        <w:fldChar w:fldCharType="separate"/>
      </w:r>
      <w:r>
        <w:t>17</w:t>
      </w:r>
      <w:r>
        <w:fldChar w:fldCharType="end"/>
      </w:r>
      <w:r>
        <w:fldChar w:fldCharType="end"/>
      </w:r>
    </w:p>
    <w:p>
      <w:pPr>
        <w:pStyle w:val="10"/>
        <w:rPr>
          <w:rFonts w:cstheme="minorBidi"/>
        </w:rPr>
      </w:pPr>
      <w:r>
        <w:fldChar w:fldCharType="begin"/>
      </w:r>
      <w:r>
        <w:instrText xml:space="preserve"> HYPERLINK \l "_Toc15396614" </w:instrText>
      </w:r>
      <w:r>
        <w:fldChar w:fldCharType="separate"/>
      </w:r>
      <w:r>
        <w:rPr>
          <w:rStyle w:val="15"/>
          <w:rFonts w:hint="eastAsia"/>
        </w:rPr>
        <w:t>第</w:t>
      </w:r>
      <w:r>
        <w:rPr>
          <w:rStyle w:val="15"/>
          <w:rFonts w:hint="eastAsia"/>
          <w:bCs/>
          <w:kern w:val="44"/>
        </w:rPr>
        <w:t>四部分</w:t>
      </w:r>
      <w:r>
        <w:rPr>
          <w:rStyle w:val="15"/>
          <w:bCs/>
          <w:kern w:val="44"/>
        </w:rPr>
        <w:t xml:space="preserve"> </w:t>
      </w:r>
      <w:r>
        <w:rPr>
          <w:rStyle w:val="15"/>
          <w:rFonts w:hint="eastAsia"/>
          <w:bCs/>
          <w:kern w:val="44"/>
        </w:rPr>
        <w:t>附件</w:t>
      </w:r>
      <w:r>
        <w:tab/>
      </w:r>
      <w:r>
        <w:fldChar w:fldCharType="begin"/>
      </w:r>
      <w:r>
        <w:instrText xml:space="preserve"> PAGEREF _Toc15396614 \h </w:instrText>
      </w:r>
      <w:r>
        <w:fldChar w:fldCharType="separate"/>
      </w:r>
      <w:r>
        <w:t>19</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"_Toc15396615"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"_Toc15396617"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2</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_Toc15396617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0"/>
        <w:rPr>
          <w:rFonts w:hint="eastAsia" w:eastAsia="仿宋" w:cstheme="minorBidi"/>
          <w:lang w:val="en-US" w:eastAsia="zh-CN"/>
        </w:rPr>
      </w:pPr>
      <w:r>
        <w:fldChar w:fldCharType="begin"/>
      </w:r>
      <w:r>
        <w:instrText xml:space="preserve"> HYPERLINK \l "_Toc15396618" </w:instrText>
      </w:r>
      <w:r>
        <w:fldChar w:fldCharType="separate"/>
      </w:r>
      <w:r>
        <w:rPr>
          <w:rStyle w:val="15"/>
          <w:rFonts w:hint="eastAsia"/>
        </w:rPr>
        <w:t>第</w:t>
      </w:r>
      <w:r>
        <w:rPr>
          <w:rStyle w:val="15"/>
          <w:rFonts w:hint="eastAsia"/>
          <w:bCs/>
          <w:kern w:val="44"/>
        </w:rPr>
        <w:t>五部分</w:t>
      </w:r>
      <w:r>
        <w:rPr>
          <w:rStyle w:val="15"/>
          <w:bCs/>
          <w:kern w:val="44"/>
        </w:rPr>
        <w:t xml:space="preserve"> </w:t>
      </w:r>
      <w:r>
        <w:rPr>
          <w:rStyle w:val="15"/>
          <w:rFonts w:hint="eastAsia"/>
          <w:bCs/>
          <w:kern w:val="44"/>
        </w:rPr>
        <w:t>附表</w:t>
      </w:r>
      <w:r>
        <w:tab/>
      </w:r>
      <w:r>
        <w:rPr>
          <w:rFonts w:hint="eastAsia"/>
          <w:lang w:val="en-US" w:eastAsia="zh-CN"/>
        </w:rPr>
        <w:t>2</w:t>
      </w:r>
      <w:r>
        <w:fldChar w:fldCharType="end"/>
      </w:r>
      <w:r>
        <w:rPr>
          <w:rFonts w:hint="eastAsia"/>
          <w:lang w:val="en-US" w:eastAsia="zh-CN"/>
        </w:rPr>
        <w:t>7</w:t>
      </w:r>
    </w:p>
    <w:p>
      <w:pPr>
        <w:pStyle w:val="11"/>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5"/>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27</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5"/>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27</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5"/>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27</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5"/>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27</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27</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5"/>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27</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5"/>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27</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5"/>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27</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5"/>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27</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5"/>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27</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5"/>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27</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5"/>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27</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5"/>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27</w:t>
      </w:r>
      <w:r>
        <w:rPr>
          <w:rFonts w:ascii="仿宋" w:hAnsi="仿宋" w:eastAsia="仿宋"/>
          <w:sz w:val="28"/>
          <w:szCs w:val="28"/>
        </w:rPr>
        <w:fldChar w:fldCharType="end"/>
      </w:r>
      <w:r>
        <w:rPr>
          <w:rFonts w:ascii="仿宋" w:hAnsi="仿宋" w:eastAsia="仿宋"/>
          <w:sz w:val="28"/>
          <w:szCs w:val="28"/>
        </w:rPr>
        <w:fldChar w:fldCharType="end"/>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bookmarkStart w:id="12" w:name="_Toc15396599"/>
      <w:bookmarkStart w:id="13" w:name="_Toc15377196"/>
      <w:r>
        <w:rPr>
          <w:rFonts w:ascii="黑体" w:hAnsi="黑体" w:eastAsia="黑体"/>
          <w:b/>
        </w:rPr>
        <w:br w:type="page"/>
      </w:r>
    </w:p>
    <w:p>
      <w:pPr>
        <w:pStyle w:val="2"/>
        <w:jc w:val="center"/>
        <w:rPr>
          <w:rStyle w:val="24"/>
          <w:rFonts w:ascii="黑体" w:hAnsi="黑体" w:eastAsia="黑体"/>
          <w:b/>
          <w:bCs w:val="0"/>
        </w:rPr>
      </w:pPr>
      <w:r>
        <w:rPr>
          <w:rFonts w:hint="eastAsia" w:ascii="黑体" w:hAnsi="黑体" w:eastAsia="黑体"/>
          <w:b w:val="0"/>
        </w:rPr>
        <w:t xml:space="preserve">第一部分 </w:t>
      </w:r>
      <w:r>
        <w:rPr>
          <w:rStyle w:val="24"/>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25"/>
          <w:rFonts w:ascii="仿宋" w:hAnsi="仿宋" w:eastAsia="仿宋"/>
          <w:b w:val="0"/>
          <w:bCs w:val="0"/>
        </w:rPr>
      </w:pPr>
      <w:bookmarkStart w:id="14" w:name="_Toc15396600"/>
      <w:bookmarkStart w:id="15" w:name="_Toc15377197"/>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4"/>
      <w:bookmarkEnd w:id="15"/>
    </w:p>
    <w:p>
      <w:pPr>
        <w:pStyle w:val="5"/>
        <w:adjustRightInd w:val="0"/>
        <w:snapToGrid w:val="0"/>
        <w:spacing w:before="93" w:line="600" w:lineRule="exact"/>
        <w:ind w:firstLine="672" w:firstLineChars="210"/>
        <w:outlineLvl w:val="2"/>
        <w:rPr>
          <w:rFonts w:ascii="仿宋" w:hAnsi="仿宋" w:eastAsia="仿宋"/>
          <w:bCs/>
          <w:color w:val="000000"/>
          <w:sz w:val="32"/>
          <w:szCs w:val="32"/>
        </w:rPr>
      </w:pPr>
      <w:bookmarkStart w:id="16" w:name="_Toc15377198"/>
      <w:bookmarkStart w:id="17" w:name="_Toc15378445"/>
      <w:r>
        <w:rPr>
          <w:rFonts w:hint="eastAsia" w:ascii="仿宋" w:hAnsi="仿宋" w:eastAsia="仿宋"/>
          <w:bCs/>
          <w:color w:val="000000"/>
          <w:sz w:val="32"/>
          <w:szCs w:val="32"/>
        </w:rPr>
        <w:t>（一）主要职能。</w:t>
      </w:r>
      <w:bookmarkEnd w:id="16"/>
      <w:bookmarkEnd w:id="17"/>
      <w:r>
        <w:rPr>
          <w:rFonts w:hint="eastAsia" w:ascii="仿宋" w:hAnsi="仿宋" w:eastAsia="仿宋" w:cs="Times New Roman"/>
          <w:color w:val="000000"/>
          <w:kern w:val="2"/>
          <w:sz w:val="32"/>
          <w:szCs w:val="32"/>
          <w:lang w:val="en-US" w:eastAsia="zh-CN" w:bidi="ar-SA"/>
        </w:rPr>
        <w:t>中共广元市利州区委群众工作局主要从事群众信访、维稳、矛盾纠纷排查调处等工作。</w:t>
      </w:r>
    </w:p>
    <w:p>
      <w:pPr>
        <w:spacing w:line="550" w:lineRule="exact"/>
        <w:ind w:firstLine="640" w:firstLineChars="200"/>
        <w:rPr>
          <w:rFonts w:hint="eastAsia" w:ascii="仿宋" w:hAnsi="仿宋" w:eastAsia="仿宋"/>
          <w:color w:val="000000"/>
          <w:sz w:val="32"/>
          <w:szCs w:val="32"/>
        </w:rPr>
      </w:pPr>
      <w:bookmarkStart w:id="18" w:name="_Toc15378446"/>
      <w:bookmarkStart w:id="19" w:name="_Toc15377199"/>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8年重点工作完成情况。</w:t>
      </w:r>
      <w:bookmarkEnd w:id="18"/>
      <w:bookmarkEnd w:id="19"/>
      <w:r>
        <w:rPr>
          <w:rFonts w:hint="eastAsia" w:ascii="仿宋" w:hAnsi="仿宋" w:eastAsia="仿宋"/>
          <w:color w:val="000000"/>
          <w:sz w:val="32"/>
          <w:szCs w:val="32"/>
        </w:rPr>
        <w:t>2018年以来，在区委、区政府的坚强领导和市委群众工作局的正确指导下，我们坚持以邓小平理论、</w:t>
      </w:r>
      <w:r>
        <w:rPr>
          <w:rFonts w:hint="eastAsia" w:ascii="仿宋" w:hAnsi="仿宋" w:eastAsia="仿宋"/>
          <w:color w:val="000000"/>
          <w:sz w:val="32"/>
          <w:szCs w:val="32"/>
          <w:lang w:eastAsia="zh-CN"/>
        </w:rPr>
        <w:t>“三个代表”重要思想</w:t>
      </w:r>
      <w:r>
        <w:rPr>
          <w:rFonts w:hint="eastAsia" w:ascii="仿宋" w:hAnsi="仿宋" w:eastAsia="仿宋"/>
          <w:color w:val="000000"/>
          <w:sz w:val="32"/>
          <w:szCs w:val="32"/>
        </w:rPr>
        <w:t>为指导，深入贯彻落实科学发展观和党的十八大及十八届三中、四中、五中、六中全会精神以及习近平总书记系列重要讲话、重要批示精神，紧紧围绕全区工作大局，突出为民服务主题，强化制度改革抓手，坚持目标导向和问题导向相统一，着力在解决问题、完善手段、强化基础、化解积案、依法治理、创新机制上下功夫。以实现信访总量下降、到省进京下降、集访聚集下降、积案难案下降和息诉息访上升、网上信访上升、满意程度上升、三无乡镇上升的“四降四升”目标，全力打造阳光信访、责任信访、法治信访、开放信访、和谐信访，及时反映社情民意，切实维护群众合法权益，不断提升信访工作水平，为促进全区经济发展、民生改善、社会和谐稳定做出了积极贡献。</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p>
    <w:p>
      <w:pPr>
        <w:pStyle w:val="3"/>
        <w:rPr>
          <w:rStyle w:val="25"/>
          <w:b w:val="0"/>
          <w:bCs w:val="0"/>
        </w:rPr>
      </w:pPr>
      <w:bookmarkStart w:id="20" w:name="_Toc15377200"/>
      <w:bookmarkStart w:id="21" w:name="_Toc15396601"/>
      <w:r>
        <w:rPr>
          <w:rFonts w:hint="eastAsia" w:ascii="黑体" w:eastAsia="黑体"/>
          <w:b w:val="0"/>
          <w:color w:val="000000"/>
        </w:rPr>
        <w:t>二、</w:t>
      </w:r>
      <w:r>
        <w:rPr>
          <w:rFonts w:hint="eastAsia" w:ascii="黑体" w:hAnsi="黑体" w:eastAsia="黑体"/>
          <w:b w:val="0"/>
          <w:color w:val="000000"/>
        </w:rPr>
        <w:t>机</w:t>
      </w:r>
      <w:r>
        <w:rPr>
          <w:rStyle w:val="25"/>
          <w:rFonts w:hint="eastAsia" w:ascii="黑体" w:hAnsi="黑体" w:eastAsia="黑体"/>
          <w:b w:val="0"/>
          <w:bCs w:val="0"/>
        </w:rPr>
        <w:t>构设置</w:t>
      </w:r>
      <w:bookmarkEnd w:id="20"/>
      <w:bookmarkEnd w:id="21"/>
    </w:p>
    <w:p>
      <w:pPr>
        <w:ind w:firstLine="480" w:firstLineChars="150"/>
        <w:rPr>
          <w:rFonts w:hint="eastAsia" w:ascii="仿宋" w:hAnsi="仿宋" w:eastAsia="仿宋" w:cs="Times New Roman"/>
          <w:color w:val="000000"/>
          <w:kern w:val="0"/>
          <w:sz w:val="32"/>
          <w:szCs w:val="32"/>
          <w:lang w:val="en-US" w:eastAsia="zh-CN" w:bidi="ar-SA"/>
        </w:rPr>
      </w:pPr>
      <w:r>
        <w:rPr>
          <w:rFonts w:hint="eastAsia" w:ascii="仿宋" w:hAnsi="仿宋" w:eastAsia="仿宋" w:cs="Times New Roman"/>
          <w:color w:val="000000"/>
          <w:kern w:val="0"/>
          <w:sz w:val="32"/>
          <w:szCs w:val="32"/>
          <w:lang w:val="en-US" w:eastAsia="zh-CN" w:bidi="ar-SA"/>
        </w:rPr>
        <w:t>中共广元市利州区委群众工作局总编制14名，其中行政编制6名，事业管理编制7名，工勤人员编制1名。在职人员总数19人，其中正式人员14人（行政人员6人，事业人员7人，工勤人员1人，2018年调区委巡察办1人），社情民意短信平台临聘人员4名。退休人员1人。遗属补助人员2人。</w:t>
      </w:r>
    </w:p>
    <w:p>
      <w:pPr>
        <w:ind w:firstLine="480" w:firstLineChars="150"/>
        <w:rPr>
          <w:rFonts w:hint="eastAsia" w:ascii="仿宋" w:hAnsi="仿宋" w:eastAsia="仿宋" w:cs="Times New Roman"/>
          <w:color w:val="000000"/>
          <w:kern w:val="0"/>
          <w:sz w:val="32"/>
          <w:szCs w:val="32"/>
          <w:lang w:val="en-US" w:eastAsia="zh-CN" w:bidi="ar-SA"/>
        </w:rPr>
      </w:pPr>
      <w:r>
        <w:rPr>
          <w:rFonts w:hint="eastAsia" w:ascii="仿宋" w:hAnsi="仿宋" w:eastAsia="仿宋" w:cs="Times New Roman"/>
          <w:color w:val="000000"/>
          <w:kern w:val="0"/>
          <w:sz w:val="32"/>
          <w:szCs w:val="32"/>
          <w:lang w:val="en-US" w:eastAsia="zh-CN" w:bidi="ar-SA"/>
        </w:rPr>
        <w:t>领导职数配备局长1人，副局长2人，中心主任1人，班子成员共3人；内设机构为办公室、接访室、监查督办股、办信股、排查调处股、社情民意短信平台等6个部门。</w:t>
      </w:r>
    </w:p>
    <w:p>
      <w:pPr>
        <w:ind w:firstLine="800" w:firstLineChars="250"/>
        <w:rPr>
          <w:rFonts w:ascii="仿宋" w:hAnsi="仿宋" w:eastAsia="仿宋"/>
          <w:sz w:val="32"/>
          <w:szCs w:val="32"/>
        </w:rPr>
      </w:pPr>
      <w:r>
        <w:rPr>
          <w:rFonts w:hint="eastAsia" w:ascii="仿宋" w:hAnsi="仿宋" w:eastAsia="仿宋"/>
          <w:sz w:val="32"/>
          <w:szCs w:val="32"/>
          <w:lang w:eastAsia="zh-CN"/>
        </w:rPr>
        <w:t>中共广元市利州区委群众工作局</w:t>
      </w:r>
      <w:r>
        <w:rPr>
          <w:rFonts w:hint="eastAsia" w:ascii="仿宋" w:hAnsi="仿宋" w:eastAsia="仿宋"/>
          <w:sz w:val="32"/>
          <w:szCs w:val="32"/>
        </w:rPr>
        <w:t>下属二级单位</w:t>
      </w:r>
      <w:r>
        <w:rPr>
          <w:rFonts w:hint="eastAsia" w:ascii="仿宋" w:hAnsi="仿宋" w:eastAsia="仿宋"/>
          <w:sz w:val="32"/>
          <w:szCs w:val="32"/>
          <w:lang w:val="en-US" w:eastAsia="zh-CN"/>
        </w:rPr>
        <w:t>0</w:t>
      </w:r>
      <w:r>
        <w:rPr>
          <w:rFonts w:hint="eastAsia" w:ascii="仿宋" w:hAnsi="仿宋" w:eastAsia="仿宋"/>
          <w:sz w:val="32"/>
          <w:szCs w:val="32"/>
        </w:rPr>
        <w:t>个，其他事业单位</w:t>
      </w:r>
      <w:r>
        <w:rPr>
          <w:rFonts w:hint="eastAsia" w:ascii="仿宋" w:hAnsi="仿宋" w:eastAsia="仿宋"/>
          <w:sz w:val="32"/>
          <w:szCs w:val="32"/>
          <w:lang w:val="en-US" w:eastAsia="zh-CN"/>
        </w:rPr>
        <w:t>1</w:t>
      </w:r>
      <w:r>
        <w:rPr>
          <w:rFonts w:hint="eastAsia" w:ascii="仿宋" w:hAnsi="仿宋" w:eastAsia="仿宋"/>
          <w:sz w:val="32"/>
          <w:szCs w:val="32"/>
        </w:rPr>
        <w:t>个。</w:t>
      </w:r>
    </w:p>
    <w:p>
      <w:pPr>
        <w:pStyle w:val="5"/>
        <w:adjustRightInd w:val="0"/>
        <w:snapToGrid w:val="0"/>
        <w:spacing w:before="93" w:line="600" w:lineRule="exact"/>
        <w:ind w:firstLine="672" w:firstLineChars="210"/>
        <w:rPr>
          <w:rFonts w:hint="eastAsia" w:ascii="仿宋" w:hAnsi="仿宋" w:eastAsia="仿宋"/>
          <w:color w:val="000000"/>
          <w:sz w:val="32"/>
          <w:szCs w:val="32"/>
          <w:lang w:eastAsia="zh-CN"/>
        </w:rPr>
      </w:pPr>
      <w:r>
        <w:rPr>
          <w:rFonts w:hint="eastAsia" w:ascii="仿宋" w:hAnsi="仿宋" w:eastAsia="仿宋"/>
          <w:color w:val="000000"/>
          <w:sz w:val="32"/>
          <w:szCs w:val="32"/>
        </w:rPr>
        <w:t>纳入</w:t>
      </w:r>
      <w:r>
        <w:rPr>
          <w:rFonts w:hint="eastAsia" w:ascii="仿宋" w:hAnsi="仿宋" w:eastAsia="仿宋"/>
          <w:color w:val="000000"/>
          <w:sz w:val="32"/>
          <w:szCs w:val="32"/>
          <w:lang w:eastAsia="zh-CN"/>
        </w:rPr>
        <w:t>中共广元市利州区委群众工作局</w:t>
      </w:r>
      <w:r>
        <w:rPr>
          <w:rFonts w:hint="eastAsia" w:ascii="仿宋" w:hAnsi="仿宋" w:eastAsia="仿宋"/>
          <w:color w:val="000000"/>
          <w:sz w:val="32"/>
          <w:szCs w:val="32"/>
        </w:rPr>
        <w:t>2018年度部门决算编制范围的二级预算单位包括：</w:t>
      </w:r>
      <w:r>
        <w:rPr>
          <w:rFonts w:hint="eastAsia" w:ascii="仿宋" w:hAnsi="仿宋" w:eastAsia="仿宋"/>
          <w:color w:val="000000"/>
          <w:sz w:val="32"/>
          <w:szCs w:val="32"/>
          <w:lang w:eastAsia="zh-CN"/>
        </w:rPr>
        <w:t>（无）</w:t>
      </w:r>
    </w:p>
    <w:p>
      <w:pPr>
        <w:pStyle w:val="2"/>
        <w:ind w:right="440"/>
        <w:jc w:val="center"/>
      </w:pPr>
      <w:bookmarkStart w:id="22" w:name="_Toc15377204"/>
      <w:bookmarkStart w:id="23" w:name="_Toc15396602"/>
      <w:r>
        <w:rPr>
          <w:rFonts w:hint="eastAsia" w:ascii="黑体" w:hAnsi="黑体" w:eastAsia="黑体"/>
          <w:b w:val="0"/>
          <w:color w:val="000000"/>
        </w:rPr>
        <w:t>第二部分</w:t>
      </w:r>
      <w:r>
        <w:rPr>
          <w:rFonts w:hint="eastAsia" w:ascii="黑体" w:hAnsi="黑体" w:eastAsia="黑体"/>
          <w:color w:val="000000"/>
        </w:rPr>
        <w:t xml:space="preserve"> </w:t>
      </w:r>
      <w:r>
        <w:rPr>
          <w:rStyle w:val="24"/>
          <w:rFonts w:hint="eastAsia" w:ascii="黑体" w:hAnsi="黑体" w:eastAsia="黑体"/>
          <w:b w:val="0"/>
          <w:bCs w:val="0"/>
        </w:rPr>
        <w:t>2018年度部门决算情况说明</w:t>
      </w:r>
      <w:bookmarkEnd w:id="22"/>
      <w:bookmarkEnd w:id="23"/>
    </w:p>
    <w:p>
      <w:pPr>
        <w:pStyle w:val="23"/>
        <w:numPr>
          <w:ilvl w:val="0"/>
          <w:numId w:val="1"/>
        </w:numPr>
        <w:spacing w:line="600" w:lineRule="exact"/>
        <w:ind w:firstLineChars="0"/>
        <w:outlineLvl w:val="1"/>
        <w:rPr>
          <w:rStyle w:val="25"/>
          <w:rFonts w:ascii="黑体" w:hAnsi="黑体" w:eastAsia="黑体"/>
          <w:b w:val="0"/>
        </w:rPr>
      </w:pPr>
      <w:bookmarkStart w:id="24" w:name="_Toc15377205"/>
      <w:bookmarkStart w:id="25" w:name="_Toc15396603"/>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4"/>
      <w:bookmarkEnd w:id="25"/>
    </w:p>
    <w:p>
      <w:pPr>
        <w:spacing w:line="60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rPr>
        <w:t>2018年度收、支总计</w:t>
      </w:r>
      <w:r>
        <w:rPr>
          <w:rFonts w:hint="eastAsia" w:ascii="仿宋" w:hAnsi="仿宋" w:eastAsia="仿宋"/>
          <w:color w:val="000000"/>
          <w:sz w:val="32"/>
          <w:szCs w:val="32"/>
          <w:lang w:val="en-US" w:eastAsia="zh-CN"/>
        </w:rPr>
        <w:t>234.66</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233.46万元</w:t>
      </w:r>
      <w:r>
        <w:rPr>
          <w:rFonts w:hint="eastAsia" w:ascii="仿宋" w:hAnsi="仿宋" w:eastAsia="仿宋"/>
          <w:color w:val="000000"/>
          <w:sz w:val="32"/>
          <w:szCs w:val="32"/>
        </w:rPr>
        <w:t>。与2017年相比，收、支总计各增加</w:t>
      </w:r>
      <w:r>
        <w:rPr>
          <w:rFonts w:hint="eastAsia" w:ascii="仿宋" w:hAnsi="仿宋" w:eastAsia="仿宋"/>
          <w:color w:val="000000"/>
          <w:sz w:val="32"/>
          <w:szCs w:val="32"/>
          <w:lang w:val="en-US" w:eastAsia="zh-CN"/>
        </w:rPr>
        <w:t>37.74</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17.03万元</w:t>
      </w:r>
      <w:r>
        <w:rPr>
          <w:rFonts w:hint="eastAsia" w:ascii="仿宋" w:hAnsi="仿宋" w:eastAsia="仿宋"/>
          <w:color w:val="000000"/>
          <w:sz w:val="32"/>
          <w:szCs w:val="32"/>
        </w:rPr>
        <w:t>，增长</w:t>
      </w:r>
      <w:r>
        <w:rPr>
          <w:rFonts w:hint="eastAsia" w:ascii="仿宋" w:hAnsi="仿宋" w:eastAsia="仿宋"/>
          <w:color w:val="000000"/>
          <w:sz w:val="32"/>
          <w:szCs w:val="32"/>
          <w:lang w:val="en-US" w:eastAsia="zh-CN"/>
        </w:rPr>
        <w:t>19.17</w:t>
      </w:r>
      <w:r>
        <w:rPr>
          <w:rFonts w:ascii="仿宋" w:hAnsi="仿宋" w:eastAsia="仿宋"/>
          <w:color w:val="000000"/>
          <w:sz w:val="32"/>
          <w:szCs w:val="32"/>
        </w:rPr>
        <w:t>%</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7.86</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人员经费增加及投资理财类困难群众救助项目增加。</w:t>
      </w:r>
    </w:p>
    <w:p>
      <w:pPr>
        <w:spacing w:line="60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drawing>
          <wp:anchor distT="0" distB="0" distL="114300" distR="114300" simplePos="0" relativeHeight="251658240" behindDoc="1" locked="0" layoutInCell="1" allowOverlap="1">
            <wp:simplePos x="0" y="0"/>
            <wp:positionH relativeFrom="column">
              <wp:posOffset>763270</wp:posOffset>
            </wp:positionH>
            <wp:positionV relativeFrom="paragraph">
              <wp:posOffset>41275</wp:posOffset>
            </wp:positionV>
            <wp:extent cx="3166745" cy="1811020"/>
            <wp:effectExtent l="4445" t="4445" r="10160" b="13335"/>
            <wp:wrapTight wrapText="bothSides">
              <wp:wrapPolygon>
                <wp:start x="-30" y="-53"/>
                <wp:lineTo x="-30" y="21532"/>
                <wp:lineTo x="21539" y="21532"/>
                <wp:lineTo x="21539" y="-53"/>
                <wp:lineTo x="-30" y="-53"/>
              </wp:wrapPolygon>
            </wp:wrapTight>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spacing w:line="600" w:lineRule="exact"/>
        <w:ind w:firstLine="640" w:firstLineChars="200"/>
        <w:rPr>
          <w:rFonts w:hint="eastAsia" w:ascii="仿宋" w:hAnsi="仿宋" w:eastAsia="仿宋"/>
          <w:color w:val="000000"/>
          <w:sz w:val="32"/>
          <w:szCs w:val="32"/>
          <w:lang w:eastAsia="zh-CN"/>
        </w:rPr>
      </w:pPr>
    </w:p>
    <w:p>
      <w:pPr>
        <w:spacing w:line="600" w:lineRule="exact"/>
        <w:ind w:firstLine="640" w:firstLineChars="200"/>
        <w:rPr>
          <w:rFonts w:hint="eastAsia" w:ascii="仿宋" w:hAnsi="仿宋" w:eastAsia="仿宋"/>
          <w:color w:val="000000"/>
          <w:sz w:val="32"/>
          <w:szCs w:val="32"/>
          <w:lang w:eastAsia="zh-CN"/>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960" w:firstLineChars="300"/>
        <w:rPr>
          <w:rFonts w:ascii="仿宋_GB2312" w:eastAsia="仿宋_GB2312"/>
          <w:color w:val="000000"/>
          <w:sz w:val="32"/>
          <w:szCs w:val="32"/>
        </w:rPr>
      </w:pPr>
      <w:r>
        <w:rPr>
          <w:rFonts w:hint="eastAsia" w:ascii="仿宋" w:hAnsi="仿宋" w:eastAsia="仿宋"/>
          <w:color w:val="000000" w:themeColor="text1"/>
          <w:sz w:val="32"/>
          <w:szCs w:val="32"/>
          <w14:textFill>
            <w14:solidFill>
              <w14:schemeClr w14:val="tx1"/>
            </w14:solidFill>
          </w14:textFill>
        </w:rPr>
        <w:t>（图</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：收、支决算总计变动情况图）</w:t>
      </w:r>
    </w:p>
    <w:p>
      <w:pPr>
        <w:pStyle w:val="23"/>
        <w:numPr>
          <w:ilvl w:val="0"/>
          <w:numId w:val="1"/>
        </w:numPr>
        <w:spacing w:line="600" w:lineRule="exact"/>
        <w:ind w:firstLineChars="0"/>
        <w:outlineLvl w:val="1"/>
        <w:rPr>
          <w:rStyle w:val="25"/>
          <w:rFonts w:ascii="黑体" w:hAnsi="黑体" w:eastAsia="黑体"/>
          <w:b w:val="0"/>
        </w:rPr>
      </w:pPr>
      <w:bookmarkStart w:id="26" w:name="_Toc15396604"/>
      <w:bookmarkStart w:id="27" w:name="_Toc15377206"/>
      <w:r>
        <w:rPr>
          <w:rFonts w:hint="eastAsia" w:ascii="黑体" w:hAnsi="黑体" w:eastAsia="黑体"/>
          <w:color w:val="000000"/>
          <w:sz w:val="32"/>
          <w:szCs w:val="32"/>
        </w:rPr>
        <w:t>收</w:t>
      </w:r>
      <w:r>
        <w:rPr>
          <w:rStyle w:val="25"/>
          <w:rFonts w:hint="eastAsia" w:ascii="黑体" w:hAnsi="黑体" w:eastAsia="黑体"/>
          <w:b w:val="0"/>
        </w:rPr>
        <w:t>入决算情况说明</w:t>
      </w:r>
      <w:bookmarkEnd w:id="26"/>
      <w:bookmarkEnd w:id="27"/>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8年本年收入合计</w:t>
      </w:r>
      <w:r>
        <w:rPr>
          <w:rFonts w:hint="eastAsia" w:ascii="仿宋" w:hAnsi="仿宋" w:eastAsia="仿宋"/>
          <w:color w:val="000000"/>
          <w:sz w:val="32"/>
          <w:szCs w:val="32"/>
          <w:lang w:val="en-US" w:eastAsia="zh-CN"/>
        </w:rPr>
        <w:t>234.66</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234.66</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；国有资本经营预算财政拨款收入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；事业收入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；附属单位上缴收入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；其他收入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drawing>
          <wp:anchor distT="0" distB="0" distL="114300" distR="114300" simplePos="0" relativeHeight="251659264" behindDoc="1" locked="0" layoutInCell="1" allowOverlap="1">
            <wp:simplePos x="0" y="0"/>
            <wp:positionH relativeFrom="column">
              <wp:posOffset>334645</wp:posOffset>
            </wp:positionH>
            <wp:positionV relativeFrom="paragraph">
              <wp:posOffset>100330</wp:posOffset>
            </wp:positionV>
            <wp:extent cx="4137660" cy="1772285"/>
            <wp:effectExtent l="4445" t="5080" r="10795" b="13335"/>
            <wp:wrapTight wrapText="bothSides">
              <wp:wrapPolygon>
                <wp:start x="-23" y="-62"/>
                <wp:lineTo x="-23" y="21530"/>
                <wp:lineTo x="21557" y="21530"/>
                <wp:lineTo x="21557" y="-62"/>
                <wp:lineTo x="-23" y="-62"/>
              </wp:wrapPolygon>
            </wp:wrapTight>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2240" w:firstLineChars="700"/>
        <w:rPr>
          <w:rFonts w:ascii="仿宋_GB2312" w:eastAsia="仿宋_GB2312"/>
          <w:color w:val="FF0000"/>
          <w:sz w:val="32"/>
          <w:szCs w:val="32"/>
        </w:rPr>
      </w:pPr>
      <w:r>
        <w:rPr>
          <w:rFonts w:hint="eastAsia" w:ascii="仿宋" w:hAnsi="仿宋" w:eastAsia="仿宋"/>
          <w:color w:val="000000" w:themeColor="text1"/>
          <w:sz w:val="32"/>
          <w:szCs w:val="32"/>
          <w14:textFill>
            <w14:solidFill>
              <w14:schemeClr w14:val="tx1"/>
            </w14:solidFill>
          </w14:textFill>
        </w:rPr>
        <w:t>（图2：收入决算结构图）</w:t>
      </w:r>
    </w:p>
    <w:p>
      <w:pPr>
        <w:pStyle w:val="23"/>
        <w:numPr>
          <w:ilvl w:val="0"/>
          <w:numId w:val="1"/>
        </w:numPr>
        <w:spacing w:line="600" w:lineRule="exact"/>
        <w:ind w:firstLineChars="0"/>
        <w:outlineLvl w:val="1"/>
        <w:rPr>
          <w:rStyle w:val="25"/>
          <w:rFonts w:ascii="黑体" w:hAnsi="黑体" w:eastAsia="黑体"/>
          <w:b w:val="0"/>
        </w:rPr>
      </w:pPr>
      <w:bookmarkStart w:id="28" w:name="_Toc15377207"/>
      <w:bookmarkStart w:id="29" w:name="_Toc15396605"/>
      <w:r>
        <w:rPr>
          <w:rFonts w:hint="eastAsia" w:ascii="黑体" w:hAnsi="黑体" w:eastAsia="黑体"/>
          <w:color w:val="000000"/>
          <w:sz w:val="32"/>
          <w:szCs w:val="32"/>
        </w:rPr>
        <w:t>支</w:t>
      </w:r>
      <w:r>
        <w:rPr>
          <w:rStyle w:val="25"/>
          <w:rFonts w:hint="eastAsia" w:ascii="黑体" w:hAnsi="黑体" w:eastAsia="黑体"/>
          <w:b w:val="0"/>
        </w:rPr>
        <w:t>出决算情况说明</w:t>
      </w:r>
      <w:bookmarkEnd w:id="28"/>
      <w:bookmarkEnd w:id="29"/>
    </w:p>
    <w:p>
      <w:pPr>
        <w:spacing w:line="600" w:lineRule="exact"/>
        <w:ind w:firstLine="640"/>
        <w:rPr>
          <w:rFonts w:ascii="仿宋" w:hAnsi="仿宋" w:eastAsia="仿宋"/>
          <w:color w:val="000000"/>
          <w:sz w:val="32"/>
          <w:szCs w:val="32"/>
          <w:shd w:val="pct10" w:color="auto" w:fill="FFFFFF"/>
        </w:rPr>
      </w:pPr>
      <w:r>
        <w:rPr>
          <w:rFonts w:ascii="仿宋" w:hAnsi="仿宋" w:eastAsia="仿宋"/>
          <w:color w:val="000000"/>
          <w:sz w:val="32"/>
          <w:szCs w:val="32"/>
        </w:rPr>
        <w:t>201</w:t>
      </w:r>
      <w:r>
        <w:rPr>
          <w:rFonts w:hint="eastAsia" w:ascii="仿宋" w:hAnsi="仿宋" w:eastAsia="仿宋"/>
          <w:color w:val="000000"/>
          <w:sz w:val="32"/>
          <w:szCs w:val="32"/>
        </w:rPr>
        <w:t>8年本年支出合计</w:t>
      </w:r>
      <w:r>
        <w:rPr>
          <w:rFonts w:hint="eastAsia" w:ascii="仿宋" w:hAnsi="仿宋" w:eastAsia="仿宋"/>
          <w:color w:val="000000"/>
          <w:sz w:val="32"/>
          <w:szCs w:val="32"/>
          <w:lang w:val="en-US" w:eastAsia="zh-CN"/>
        </w:rPr>
        <w:t>233.46</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198</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84.81</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35.45</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15.19</w:t>
      </w:r>
      <w:r>
        <w:rPr>
          <w:rFonts w:ascii="仿宋" w:hAnsi="仿宋" w:eastAsia="仿宋"/>
          <w:color w:val="000000"/>
          <w:sz w:val="32"/>
          <w:szCs w:val="32"/>
        </w:rPr>
        <w:t>%</w:t>
      </w:r>
      <w:r>
        <w:rPr>
          <w:rFonts w:hint="eastAsia" w:ascii="仿宋" w:hAnsi="仿宋" w:eastAsia="仿宋"/>
          <w:color w:val="000000"/>
          <w:sz w:val="32"/>
          <w:szCs w:val="32"/>
        </w:rPr>
        <w:t>；上缴上级支出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；对附属单位补助支出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drawing>
          <wp:anchor distT="0" distB="0" distL="114300" distR="114300" simplePos="0" relativeHeight="251660288" behindDoc="1" locked="0" layoutInCell="1" allowOverlap="1">
            <wp:simplePos x="0" y="0"/>
            <wp:positionH relativeFrom="column">
              <wp:posOffset>706120</wp:posOffset>
            </wp:positionH>
            <wp:positionV relativeFrom="paragraph">
              <wp:posOffset>119380</wp:posOffset>
            </wp:positionV>
            <wp:extent cx="3500120" cy="1647190"/>
            <wp:effectExtent l="4445" t="4445" r="19685" b="5715"/>
            <wp:wrapTight wrapText="bothSides">
              <wp:wrapPolygon>
                <wp:start x="-27" y="-58"/>
                <wp:lineTo x="-27" y="21425"/>
                <wp:lineTo x="21486" y="21425"/>
                <wp:lineTo x="21486" y="-58"/>
                <wp:lineTo x="-27" y="-58"/>
              </wp:wrapPolygon>
            </wp:wrapTight>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1600" w:firstLineChars="500"/>
        <w:rPr>
          <w:rFonts w:ascii="仿宋_GB2312" w:eastAsia="仿宋_GB2312"/>
          <w:color w:val="FF0000"/>
          <w:sz w:val="32"/>
          <w:szCs w:val="32"/>
        </w:rPr>
      </w:pPr>
      <w:r>
        <w:rPr>
          <w:rFonts w:hint="eastAsia" w:ascii="仿宋" w:hAnsi="仿宋" w:eastAsia="仿宋"/>
          <w:color w:val="000000" w:themeColor="text1"/>
          <w:sz w:val="32"/>
          <w:szCs w:val="32"/>
          <w14:textFill>
            <w14:solidFill>
              <w14:schemeClr w14:val="tx1"/>
            </w14:solidFill>
          </w14:textFill>
        </w:rPr>
        <w:t>（图3：支出决算结构图）</w:t>
      </w:r>
    </w:p>
    <w:p>
      <w:pPr>
        <w:spacing w:line="600" w:lineRule="exact"/>
        <w:ind w:firstLine="640" w:firstLineChars="200"/>
        <w:outlineLvl w:val="1"/>
        <w:rPr>
          <w:rStyle w:val="25"/>
          <w:rFonts w:ascii="黑体" w:hAnsi="黑体" w:eastAsia="黑体"/>
          <w:b w:val="0"/>
        </w:rPr>
      </w:pPr>
      <w:bookmarkStart w:id="30" w:name="_Toc15377208"/>
      <w:bookmarkStart w:id="31" w:name="_Toc15396606"/>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30"/>
      <w:bookmarkEnd w:id="31"/>
    </w:p>
    <w:p>
      <w:pPr>
        <w:spacing w:line="60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rPr>
        <w:t>2018年度收、支总计</w:t>
      </w:r>
      <w:r>
        <w:rPr>
          <w:rFonts w:hint="eastAsia" w:ascii="仿宋" w:hAnsi="仿宋" w:eastAsia="仿宋"/>
          <w:color w:val="000000"/>
          <w:sz w:val="32"/>
          <w:szCs w:val="32"/>
          <w:lang w:val="en-US" w:eastAsia="zh-CN"/>
        </w:rPr>
        <w:t>234.66</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233.46万元</w:t>
      </w:r>
      <w:r>
        <w:rPr>
          <w:rFonts w:hint="eastAsia" w:ascii="仿宋" w:hAnsi="仿宋" w:eastAsia="仿宋"/>
          <w:color w:val="000000"/>
          <w:sz w:val="32"/>
          <w:szCs w:val="32"/>
        </w:rPr>
        <w:t>。与2017年相比，收、支总计各增加</w:t>
      </w:r>
      <w:r>
        <w:rPr>
          <w:rFonts w:hint="eastAsia" w:ascii="仿宋" w:hAnsi="仿宋" w:eastAsia="仿宋"/>
          <w:color w:val="000000"/>
          <w:sz w:val="32"/>
          <w:szCs w:val="32"/>
          <w:lang w:val="en-US" w:eastAsia="zh-CN"/>
        </w:rPr>
        <w:t>37.74</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17.03万元</w:t>
      </w:r>
      <w:r>
        <w:rPr>
          <w:rFonts w:hint="eastAsia" w:ascii="仿宋" w:hAnsi="仿宋" w:eastAsia="仿宋"/>
          <w:color w:val="000000"/>
          <w:sz w:val="32"/>
          <w:szCs w:val="32"/>
        </w:rPr>
        <w:t>，增长</w:t>
      </w:r>
      <w:r>
        <w:rPr>
          <w:rFonts w:hint="eastAsia" w:ascii="仿宋" w:hAnsi="仿宋" w:eastAsia="仿宋"/>
          <w:color w:val="000000"/>
          <w:sz w:val="32"/>
          <w:szCs w:val="32"/>
          <w:lang w:val="en-US" w:eastAsia="zh-CN"/>
        </w:rPr>
        <w:t>19.17</w:t>
      </w:r>
      <w:r>
        <w:rPr>
          <w:rFonts w:ascii="仿宋" w:hAnsi="仿宋" w:eastAsia="仿宋"/>
          <w:color w:val="000000"/>
          <w:sz w:val="32"/>
          <w:szCs w:val="32"/>
        </w:rPr>
        <w:t>%</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7.86</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人员经费增加及投资理财类困难群众救助项目增加。</w:t>
      </w:r>
    </w:p>
    <w:p>
      <w:pPr>
        <w:spacing w:line="60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drawing>
          <wp:anchor distT="0" distB="0" distL="114300" distR="114300" simplePos="0" relativeHeight="251661312" behindDoc="1" locked="0" layoutInCell="1" allowOverlap="1">
            <wp:simplePos x="0" y="0"/>
            <wp:positionH relativeFrom="column">
              <wp:posOffset>975995</wp:posOffset>
            </wp:positionH>
            <wp:positionV relativeFrom="paragraph">
              <wp:posOffset>99060</wp:posOffset>
            </wp:positionV>
            <wp:extent cx="3090545" cy="1735455"/>
            <wp:effectExtent l="5080" t="4445" r="9525" b="12700"/>
            <wp:wrapTight wrapText="bothSides">
              <wp:wrapPolygon>
                <wp:start x="-36" y="-55"/>
                <wp:lineTo x="-36" y="21521"/>
                <wp:lineTo x="21533" y="21521"/>
                <wp:lineTo x="21533" y="-55"/>
                <wp:lineTo x="-36" y="-55"/>
              </wp:wrapPolygon>
            </wp:wrapTight>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0" w:firstLineChars="200"/>
        <w:rPr>
          <w:rFonts w:hint="eastAsia" w:ascii="仿宋" w:hAnsi="仿宋" w:eastAsia="仿宋"/>
          <w:color w:val="000000"/>
          <w:sz w:val="32"/>
          <w:szCs w:val="32"/>
          <w:lang w:eastAsia="zh-CN"/>
        </w:rPr>
      </w:pPr>
    </w:p>
    <w:p>
      <w:pPr>
        <w:spacing w:line="600" w:lineRule="exact"/>
        <w:ind w:firstLine="640" w:firstLineChars="200"/>
        <w:rPr>
          <w:rFonts w:hint="eastAsia" w:ascii="仿宋" w:hAnsi="仿宋" w:eastAsia="仿宋"/>
          <w:color w:val="000000"/>
          <w:sz w:val="32"/>
          <w:szCs w:val="32"/>
          <w:lang w:eastAsia="zh-CN"/>
        </w:rPr>
      </w:pPr>
    </w:p>
    <w:p>
      <w:pPr>
        <w:spacing w:line="600" w:lineRule="exact"/>
        <w:ind w:firstLine="640" w:firstLineChars="200"/>
        <w:rPr>
          <w:rFonts w:hint="eastAsia" w:ascii="仿宋" w:hAnsi="仿宋" w:eastAsia="仿宋"/>
          <w:color w:val="000000"/>
          <w:sz w:val="32"/>
          <w:szCs w:val="32"/>
          <w:lang w:eastAsia="zh-CN"/>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b/>
          <w:color w:val="00B050"/>
          <w:sz w:val="32"/>
          <w:szCs w:val="32"/>
        </w:rPr>
      </w:pPr>
      <w:r>
        <w:rPr>
          <w:rFonts w:hint="eastAsia" w:ascii="仿宋" w:hAnsi="仿宋" w:eastAsia="仿宋"/>
          <w:color w:val="000000" w:themeColor="text1"/>
          <w:sz w:val="32"/>
          <w:szCs w:val="32"/>
          <w14:textFill>
            <w14:solidFill>
              <w14:schemeClr w14:val="tx1"/>
            </w14:solidFill>
          </w14:textFill>
        </w:rPr>
        <w:t>（图4：财政拨款收、支决算总计变动情况）</w:t>
      </w:r>
      <w:r>
        <w:rPr>
          <w:rFonts w:hint="eastAsia" w:ascii="仿宋" w:hAnsi="仿宋" w:eastAsia="仿宋"/>
          <w:color w:val="000000" w:themeColor="text1"/>
          <w:sz w:val="32"/>
          <w:szCs w:val="32"/>
          <w:lang w:val="en-US" w:eastAsia="zh-CN"/>
          <w14:textFill>
            <w14:solidFill>
              <w14:schemeClr w14:val="tx1"/>
            </w14:solidFill>
          </w14:textFill>
        </w:rPr>
        <w:t xml:space="preserve">  </w:t>
      </w:r>
    </w:p>
    <w:p>
      <w:pPr>
        <w:spacing w:line="600" w:lineRule="exact"/>
        <w:ind w:firstLine="640" w:firstLineChars="200"/>
        <w:outlineLvl w:val="1"/>
        <w:rPr>
          <w:rStyle w:val="25"/>
          <w:rFonts w:ascii="黑体" w:hAnsi="黑体" w:eastAsia="黑体"/>
          <w:b w:val="0"/>
        </w:rPr>
      </w:pPr>
      <w:bookmarkStart w:id="32" w:name="_Toc15396607"/>
      <w:bookmarkStart w:id="33"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32"/>
      <w:bookmarkEnd w:id="33"/>
    </w:p>
    <w:p>
      <w:pPr>
        <w:spacing w:line="600" w:lineRule="exact"/>
        <w:ind w:firstLine="642"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firstLineChars="200"/>
        <w:rPr>
          <w:rFonts w:hint="eastAsia" w:ascii="仿宋" w:hAnsi="仿宋" w:eastAsia="仿宋"/>
          <w:color w:val="000000"/>
          <w:sz w:val="32"/>
          <w:szCs w:val="32"/>
          <w:lang w:eastAsia="zh-CN"/>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8年一般公共预算财政拨款支出</w:t>
      </w:r>
      <w:r>
        <w:rPr>
          <w:rFonts w:hint="eastAsia" w:ascii="仿宋" w:hAnsi="仿宋" w:eastAsia="仿宋"/>
          <w:color w:val="000000"/>
          <w:sz w:val="32"/>
          <w:szCs w:val="32"/>
          <w:lang w:val="en-US" w:eastAsia="zh-CN"/>
        </w:rPr>
        <w:t>233.46</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7年相比，一般公共预算财政拨款增加</w:t>
      </w:r>
      <w:r>
        <w:rPr>
          <w:rFonts w:hint="eastAsia" w:ascii="仿宋" w:hAnsi="仿宋" w:eastAsia="仿宋"/>
          <w:color w:val="000000"/>
          <w:sz w:val="36"/>
          <w:szCs w:val="36"/>
          <w:lang w:val="en-US" w:eastAsia="zh-CN"/>
        </w:rPr>
        <w:t>17.03</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7.86</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人员经费增加及投资理财类困难群众救助项目增加。</w:t>
      </w:r>
    </w:p>
    <w:p>
      <w:pPr>
        <w:spacing w:line="60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drawing>
          <wp:anchor distT="0" distB="0" distL="114300" distR="114300" simplePos="0" relativeHeight="251662336" behindDoc="1" locked="0" layoutInCell="1" allowOverlap="1">
            <wp:simplePos x="0" y="0"/>
            <wp:positionH relativeFrom="column">
              <wp:posOffset>934720</wp:posOffset>
            </wp:positionH>
            <wp:positionV relativeFrom="paragraph">
              <wp:posOffset>107315</wp:posOffset>
            </wp:positionV>
            <wp:extent cx="3251835" cy="1811655"/>
            <wp:effectExtent l="4445" t="4445" r="20320" b="12700"/>
            <wp:wrapTight wrapText="bothSides">
              <wp:wrapPolygon>
                <wp:start x="-30" y="-53"/>
                <wp:lineTo x="-30" y="21524"/>
                <wp:lineTo x="21482" y="21524"/>
                <wp:lineTo x="21482" y="-53"/>
                <wp:lineTo x="-30" y="-53"/>
              </wp:wrapPolygon>
            </wp:wrapTight>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（图5：一般公共预算财政拨款支出决算变动情况）</w:t>
      </w:r>
    </w:p>
    <w:p>
      <w:pPr>
        <w:spacing w:line="600" w:lineRule="exact"/>
        <w:ind w:firstLine="642"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pPr>
        <w:spacing w:line="600" w:lineRule="exact"/>
        <w:ind w:firstLine="64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201</w:t>
      </w:r>
      <w:r>
        <w:rPr>
          <w:rFonts w:hint="eastAsia" w:ascii="仿宋" w:hAnsi="仿宋" w:eastAsia="仿宋"/>
          <w:color w:val="000000" w:themeColor="text1"/>
          <w:sz w:val="32"/>
          <w:szCs w:val="32"/>
          <w14:textFill>
            <w14:solidFill>
              <w14:schemeClr w14:val="tx1"/>
            </w14:solidFill>
          </w14:textFill>
        </w:rPr>
        <w:t>8年一般公共预算财政拨款支出</w:t>
      </w:r>
      <w:r>
        <w:rPr>
          <w:rFonts w:hint="eastAsia" w:ascii="仿宋" w:hAnsi="仿宋" w:eastAsia="仿宋"/>
          <w:color w:val="000000" w:themeColor="text1"/>
          <w:sz w:val="32"/>
          <w:szCs w:val="32"/>
          <w:lang w:val="en-US" w:eastAsia="zh-CN"/>
          <w14:textFill>
            <w14:solidFill>
              <w14:schemeClr w14:val="tx1"/>
            </w14:solidFill>
          </w14:textFill>
        </w:rPr>
        <w:t>233.46</w:t>
      </w:r>
      <w:r>
        <w:rPr>
          <w:rFonts w:hint="eastAsia" w:ascii="仿宋" w:hAnsi="仿宋" w:eastAsia="仿宋"/>
          <w:color w:val="000000" w:themeColor="text1"/>
          <w:sz w:val="32"/>
          <w:szCs w:val="32"/>
          <w14:textFill>
            <w14:solidFill>
              <w14:schemeClr w14:val="tx1"/>
            </w14:solidFill>
          </w14:textFill>
        </w:rPr>
        <w:t>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一般公共服务（类）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196.78</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84.29</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社会保障和就业（类）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18.51</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7.9</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医疗卫生</w:t>
      </w:r>
      <w:r>
        <w:rPr>
          <w:rFonts w:hint="eastAsia" w:ascii="仿宋" w:hAnsi="仿宋" w:eastAsia="仿宋"/>
          <w:b/>
          <w:bCs/>
          <w:color w:val="000000" w:themeColor="text1"/>
          <w:sz w:val="32"/>
          <w:szCs w:val="32"/>
          <w:lang w:eastAsia="zh-CN"/>
          <w14:textFill>
            <w14:solidFill>
              <w14:schemeClr w14:val="tx1"/>
            </w14:solidFill>
          </w14:textFill>
        </w:rPr>
        <w:t>（类）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6.87</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2.94</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住房保障</w:t>
      </w:r>
      <w:r>
        <w:rPr>
          <w:rFonts w:hint="eastAsia" w:ascii="仿宋" w:hAnsi="仿宋" w:eastAsia="仿宋"/>
          <w:b/>
          <w:bCs/>
          <w:color w:val="000000" w:themeColor="text1"/>
          <w:sz w:val="32"/>
          <w:szCs w:val="32"/>
          <w:lang w:eastAsia="zh-CN"/>
          <w14:textFill>
            <w14:solidFill>
              <w14:schemeClr w14:val="tx1"/>
            </w14:solidFill>
          </w14:textFill>
        </w:rPr>
        <w:t>（类）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10.8</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4.63</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lang w:eastAsia="zh-CN"/>
          <w14:textFill>
            <w14:solidFill>
              <w14:schemeClr w14:val="tx1"/>
            </w14:solidFill>
          </w14:textFill>
        </w:rPr>
        <w:t>农林水（类）</w:t>
      </w:r>
      <w:r>
        <w:rPr>
          <w:rFonts w:hint="eastAsia" w:ascii="仿宋" w:hAnsi="仿宋" w:eastAsia="仿宋"/>
          <w:color w:val="000000" w:themeColor="text1"/>
          <w:sz w:val="32"/>
          <w:szCs w:val="32"/>
          <w:lang w:eastAsia="zh-CN"/>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0.5万元，占0.24%。</w:t>
      </w:r>
    </w:p>
    <w:p>
      <w:pPr>
        <w:spacing w:line="600" w:lineRule="exact"/>
        <w:ind w:firstLine="640" w:firstLineChars="200"/>
        <w:rPr>
          <w:rFonts w:hint="eastAsia" w:ascii="仿宋" w:hAnsi="仿宋" w:eastAsia="仿宋"/>
          <w:color w:val="000000"/>
          <w:sz w:val="32"/>
          <w:szCs w:val="32"/>
        </w:rPr>
      </w:pPr>
      <w:r>
        <w:rPr>
          <w:rFonts w:ascii="仿宋" w:hAnsi="仿宋" w:eastAsia="仿宋"/>
          <w:color w:val="000000" w:themeColor="text1"/>
          <w:sz w:val="32"/>
          <w:szCs w:val="32"/>
          <w14:textFill>
            <w14:solidFill>
              <w14:schemeClr w14:val="tx1"/>
            </w14:solidFill>
          </w14:textFill>
        </w:rPr>
        <w:drawing>
          <wp:anchor distT="0" distB="0" distL="114300" distR="114300" simplePos="0" relativeHeight="251663360" behindDoc="1" locked="0" layoutInCell="1" allowOverlap="1">
            <wp:simplePos x="0" y="0"/>
            <wp:positionH relativeFrom="column">
              <wp:posOffset>680720</wp:posOffset>
            </wp:positionH>
            <wp:positionV relativeFrom="paragraph">
              <wp:posOffset>93980</wp:posOffset>
            </wp:positionV>
            <wp:extent cx="3937635" cy="2277745"/>
            <wp:effectExtent l="4445" t="4445" r="20320" b="22860"/>
            <wp:wrapTight wrapText="bothSides">
              <wp:wrapPolygon>
                <wp:start x="-24" y="-42"/>
                <wp:lineTo x="-24" y="21455"/>
                <wp:lineTo x="21502" y="21455"/>
                <wp:lineTo x="21502" y="-42"/>
                <wp:lineTo x="-24" y="-42"/>
              </wp:wrapPolygon>
            </wp:wrapTight>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（图6：一般公共预算财政拨款支出决算结构）</w:t>
      </w:r>
    </w:p>
    <w:p>
      <w:pPr>
        <w:spacing w:line="600" w:lineRule="exact"/>
        <w:ind w:firstLine="640" w:firstLineChars="200"/>
        <w:rPr>
          <w:rFonts w:ascii="仿宋" w:hAnsi="仿宋" w:eastAsia="仿宋"/>
          <w:color w:val="000000"/>
          <w:sz w:val="32"/>
          <w:szCs w:val="32"/>
        </w:rPr>
      </w:pPr>
    </w:p>
    <w:p>
      <w:pPr>
        <w:spacing w:line="600" w:lineRule="exact"/>
        <w:ind w:firstLine="642"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642" w:firstLineChars="200"/>
        <w:outlineLvl w:val="2"/>
        <w:rPr>
          <w:rFonts w:ascii="仿宋" w:hAnsi="仿宋" w:eastAsia="仿宋"/>
          <w:color w:val="FF0000"/>
          <w:sz w:val="32"/>
          <w:szCs w:val="32"/>
        </w:rPr>
      </w:pPr>
      <w:bookmarkStart w:id="37" w:name="_Toc15377213"/>
      <w:bookmarkStart w:id="38" w:name="_Toc15377444"/>
      <w:bookmarkStart w:id="39" w:name="_Toc15378460"/>
      <w:r>
        <w:rPr>
          <w:rFonts w:hint="eastAsia" w:ascii="仿宋" w:hAnsi="仿宋" w:eastAsia="仿宋"/>
          <w:b/>
          <w:color w:val="000000" w:themeColor="text1"/>
          <w:sz w:val="32"/>
          <w:szCs w:val="32"/>
          <w14:textFill>
            <w14:solidFill>
              <w14:schemeClr w14:val="tx1"/>
            </w14:solidFill>
          </w14:textFill>
        </w:rPr>
        <w:t>2018年般公共预算支出决算数为</w:t>
      </w:r>
      <w:r>
        <w:rPr>
          <w:rFonts w:hint="eastAsia" w:ascii="仿宋" w:hAnsi="仿宋" w:eastAsia="仿宋"/>
          <w:b/>
          <w:color w:val="000000" w:themeColor="text1"/>
          <w:sz w:val="32"/>
          <w:szCs w:val="32"/>
          <w:lang w:val="en-US" w:eastAsia="zh-CN"/>
          <w14:textFill>
            <w14:solidFill>
              <w14:schemeClr w14:val="tx1"/>
            </w14:solidFill>
          </w14:textFill>
        </w:rPr>
        <w:t>233.46</w:t>
      </w:r>
      <w:r>
        <w:rPr>
          <w:rFonts w:hint="eastAsia" w:ascii="仿宋" w:hAnsi="仿宋" w:eastAsia="仿宋"/>
          <w:color w:val="000000" w:themeColor="text1"/>
          <w:sz w:val="32"/>
          <w:szCs w:val="32"/>
          <w14:textFill>
            <w14:solidFill>
              <w14:schemeClr w14:val="tx1"/>
            </w14:solidFill>
          </w14:textFill>
        </w:rPr>
        <w:t>，</w:t>
      </w:r>
      <w:r>
        <w:rPr>
          <w:rStyle w:val="14"/>
          <w:rFonts w:hint="eastAsia" w:ascii="仿宋" w:hAnsi="仿宋" w:eastAsia="仿宋"/>
          <w:bCs/>
          <w:color w:val="000000" w:themeColor="text1"/>
          <w:sz w:val="32"/>
          <w:szCs w:val="32"/>
          <w14:textFill>
            <w14:solidFill>
              <w14:schemeClr w14:val="tx1"/>
            </w14:solidFill>
          </w14:textFill>
        </w:rPr>
        <w:t>完成</w:t>
      </w:r>
      <w:r>
        <w:rPr>
          <w:rStyle w:val="14"/>
          <w:rFonts w:hint="eastAsia" w:ascii="仿宋" w:hAnsi="仿宋" w:eastAsia="仿宋"/>
          <w:bCs/>
          <w:color w:val="000000"/>
          <w:sz w:val="32"/>
          <w:szCs w:val="32"/>
        </w:rPr>
        <w:t>预算</w:t>
      </w:r>
      <w:r>
        <w:rPr>
          <w:rStyle w:val="14"/>
          <w:rFonts w:hint="eastAsia" w:ascii="仿宋" w:hAnsi="仿宋" w:eastAsia="仿宋"/>
          <w:bCs/>
          <w:color w:val="000000"/>
          <w:sz w:val="32"/>
          <w:szCs w:val="32"/>
          <w:lang w:val="en-US" w:eastAsia="zh-CN"/>
        </w:rPr>
        <w:t>100</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。其中：</w:t>
      </w:r>
      <w:bookmarkEnd w:id="37"/>
      <w:bookmarkEnd w:id="38"/>
      <w:bookmarkEnd w:id="39"/>
    </w:p>
    <w:p>
      <w:pPr>
        <w:numPr>
          <w:ilvl w:val="0"/>
          <w:numId w:val="0"/>
        </w:numPr>
        <w:spacing w:line="600" w:lineRule="exact"/>
        <w:ind w:firstLine="642" w:firstLineChars="200"/>
        <w:rPr>
          <w:rStyle w:val="14"/>
          <w:rFonts w:hint="eastAsia" w:ascii="仿宋" w:hAnsi="仿宋" w:eastAsia="仿宋"/>
          <w:b w:val="0"/>
          <w:bCs/>
          <w:color w:val="000000" w:themeColor="text1"/>
          <w:sz w:val="32"/>
          <w:szCs w:val="32"/>
          <w:lang w:eastAsia="zh-CN"/>
          <w14:textFill>
            <w14:solidFill>
              <w14:schemeClr w14:val="tx1"/>
            </w14:solidFill>
          </w14:textFill>
        </w:rPr>
      </w:pPr>
      <w:r>
        <w:rPr>
          <w:rStyle w:val="14"/>
          <w:rFonts w:hint="eastAsia" w:ascii="仿宋" w:hAnsi="仿宋" w:eastAsia="仿宋"/>
          <w:bCs/>
          <w:color w:val="000000" w:themeColor="text1"/>
          <w:sz w:val="32"/>
          <w:szCs w:val="32"/>
          <w:lang w:val="en-US" w:eastAsia="zh-CN"/>
          <w14:textFill>
            <w14:solidFill>
              <w14:schemeClr w14:val="tx1"/>
            </w14:solidFill>
          </w14:textFill>
        </w:rPr>
        <w:t>1.</w:t>
      </w:r>
      <w:r>
        <w:rPr>
          <w:rStyle w:val="14"/>
          <w:rFonts w:hint="eastAsia" w:ascii="仿宋" w:hAnsi="仿宋" w:eastAsia="仿宋"/>
          <w:bCs/>
          <w:color w:val="000000" w:themeColor="text1"/>
          <w:sz w:val="32"/>
          <w:szCs w:val="32"/>
          <w14:textFill>
            <w14:solidFill>
              <w14:schemeClr w14:val="tx1"/>
            </w14:solidFill>
          </w14:textFill>
        </w:rPr>
        <w:t>一般公共服务</w:t>
      </w:r>
      <w:r>
        <w:rPr>
          <w:rStyle w:val="14"/>
          <w:rFonts w:hint="eastAsia" w:ascii="仿宋" w:hAnsi="仿宋" w:eastAsia="仿宋"/>
          <w:bCs/>
          <w:color w:val="000000" w:themeColor="text1"/>
          <w:sz w:val="32"/>
          <w:szCs w:val="32"/>
          <w:lang w:val="en-US" w:eastAsia="zh-CN"/>
          <w14:textFill>
            <w14:solidFill>
              <w14:schemeClr w14:val="tx1"/>
            </w14:solidFill>
          </w14:textFill>
        </w:rPr>
        <w:t>2010301</w:t>
      </w:r>
      <w:r>
        <w:rPr>
          <w:rStyle w:val="14"/>
          <w:rFonts w:ascii="仿宋" w:hAnsi="仿宋" w:eastAsia="仿宋"/>
          <w:bCs/>
          <w:color w:val="000000" w:themeColor="text1"/>
          <w:sz w:val="32"/>
          <w:szCs w:val="32"/>
          <w14:textFill>
            <w14:solidFill>
              <w14:schemeClr w14:val="tx1"/>
            </w14:solidFill>
          </w14:textFill>
        </w:rPr>
        <w:t>:</w:t>
      </w:r>
      <w:r>
        <w:rPr>
          <w:rStyle w:val="14"/>
          <w:rFonts w:ascii="仿宋" w:hAnsi="仿宋" w:eastAsia="仿宋"/>
          <w:b w:val="0"/>
          <w:bCs/>
          <w:color w:val="000000" w:themeColor="text1"/>
          <w:sz w:val="32"/>
          <w:szCs w:val="32"/>
          <w14:textFill>
            <w14:solidFill>
              <w14:schemeClr w14:val="tx1"/>
            </w14:solidFill>
          </w14:textFill>
        </w:rPr>
        <w:t xml:space="preserve"> </w:t>
      </w:r>
      <w:r>
        <w:rPr>
          <w:rStyle w:val="14"/>
          <w:rFonts w:hint="eastAsia" w:ascii="仿宋" w:hAnsi="仿宋" w:eastAsia="仿宋"/>
          <w:b w:val="0"/>
          <w:bCs/>
          <w:color w:val="000000" w:themeColor="text1"/>
          <w:sz w:val="32"/>
          <w:szCs w:val="32"/>
          <w14:textFill>
            <w14:solidFill>
              <w14:schemeClr w14:val="tx1"/>
            </w14:solidFill>
          </w14:textFill>
        </w:rPr>
        <w:t>支出决算为</w:t>
      </w:r>
      <w:r>
        <w:rPr>
          <w:rStyle w:val="14"/>
          <w:rFonts w:hint="eastAsia" w:ascii="仿宋" w:hAnsi="仿宋" w:eastAsia="仿宋"/>
          <w:b w:val="0"/>
          <w:bCs/>
          <w:color w:val="000000" w:themeColor="text1"/>
          <w:sz w:val="32"/>
          <w:szCs w:val="32"/>
          <w:lang w:val="en-US" w:eastAsia="zh-CN"/>
          <w14:textFill>
            <w14:solidFill>
              <w14:schemeClr w14:val="tx1"/>
            </w14:solidFill>
          </w14:textFill>
        </w:rPr>
        <w:t>161.83</w:t>
      </w:r>
      <w:r>
        <w:rPr>
          <w:rStyle w:val="14"/>
          <w:rFonts w:hint="eastAsia" w:ascii="仿宋" w:hAnsi="仿宋" w:eastAsia="仿宋"/>
          <w:b w:val="0"/>
          <w:bCs/>
          <w:color w:val="000000" w:themeColor="text1"/>
          <w:sz w:val="32"/>
          <w:szCs w:val="32"/>
          <w14:textFill>
            <w14:solidFill>
              <w14:schemeClr w14:val="tx1"/>
            </w14:solidFill>
          </w14:textFill>
        </w:rPr>
        <w:t>万元，完成预算</w:t>
      </w:r>
      <w:r>
        <w:rPr>
          <w:rStyle w:val="14"/>
          <w:rFonts w:hint="eastAsia" w:ascii="仿宋" w:hAnsi="仿宋" w:eastAsia="仿宋"/>
          <w:b w:val="0"/>
          <w:bCs/>
          <w:color w:val="000000" w:themeColor="text1"/>
          <w:sz w:val="32"/>
          <w:szCs w:val="32"/>
          <w:lang w:val="en-US" w:eastAsia="zh-CN"/>
          <w14:textFill>
            <w14:solidFill>
              <w14:schemeClr w14:val="tx1"/>
            </w14:solidFill>
          </w14:textFill>
        </w:rPr>
        <w:t>100</w:t>
      </w:r>
      <w:r>
        <w:rPr>
          <w:rStyle w:val="14"/>
          <w:rFonts w:ascii="仿宋" w:hAnsi="仿宋" w:eastAsia="仿宋"/>
          <w:b w:val="0"/>
          <w:bCs/>
          <w:color w:val="000000" w:themeColor="text1"/>
          <w:sz w:val="32"/>
          <w:szCs w:val="32"/>
          <w14:textFill>
            <w14:solidFill>
              <w14:schemeClr w14:val="tx1"/>
            </w14:solidFill>
          </w14:textFill>
        </w:rPr>
        <w:t>%</w:t>
      </w:r>
      <w:r>
        <w:rPr>
          <w:rStyle w:val="14"/>
          <w:rFonts w:hint="eastAsia" w:ascii="仿宋" w:hAnsi="仿宋" w:eastAsia="仿宋"/>
          <w:b w:val="0"/>
          <w:bCs/>
          <w:color w:val="000000" w:themeColor="text1"/>
          <w:sz w:val="32"/>
          <w:szCs w:val="32"/>
          <w14:textFill>
            <w14:solidFill>
              <w14:schemeClr w14:val="tx1"/>
            </w14:solidFill>
          </w14:textFill>
        </w:rPr>
        <w:t>，决算数等于预算数</w:t>
      </w:r>
      <w:r>
        <w:rPr>
          <w:rStyle w:val="14"/>
          <w:rFonts w:hint="eastAsia" w:ascii="仿宋" w:hAnsi="仿宋" w:eastAsia="仿宋"/>
          <w:b w:val="0"/>
          <w:bCs/>
          <w:color w:val="000000" w:themeColor="text1"/>
          <w:sz w:val="32"/>
          <w:szCs w:val="32"/>
          <w:lang w:eastAsia="zh-CN"/>
          <w14:textFill>
            <w14:solidFill>
              <w14:schemeClr w14:val="tx1"/>
            </w14:solidFill>
          </w14:textFill>
        </w:rPr>
        <w:t>。</w:t>
      </w:r>
    </w:p>
    <w:p>
      <w:pPr>
        <w:numPr>
          <w:ilvl w:val="0"/>
          <w:numId w:val="0"/>
        </w:numPr>
        <w:spacing w:line="600" w:lineRule="exact"/>
        <w:ind w:firstLine="642" w:firstLineChars="200"/>
        <w:rPr>
          <w:rStyle w:val="14"/>
          <w:rFonts w:hint="eastAsia" w:ascii="仿宋" w:hAnsi="仿宋" w:eastAsia="仿宋"/>
          <w:b w:val="0"/>
          <w:bCs/>
          <w:color w:val="000000" w:themeColor="text1"/>
          <w:sz w:val="32"/>
          <w:szCs w:val="32"/>
          <w:lang w:eastAsia="zh-CN"/>
          <w14:textFill>
            <w14:solidFill>
              <w14:schemeClr w14:val="tx1"/>
            </w14:solidFill>
          </w14:textFill>
        </w:rPr>
      </w:pPr>
      <w:r>
        <w:rPr>
          <w:rStyle w:val="14"/>
          <w:rFonts w:hint="eastAsia" w:ascii="仿宋" w:hAnsi="仿宋" w:eastAsia="仿宋"/>
          <w:bCs/>
          <w:color w:val="000000" w:themeColor="text1"/>
          <w:sz w:val="32"/>
          <w:szCs w:val="32"/>
          <w:lang w:val="en-US" w:eastAsia="zh-CN"/>
          <w14:textFill>
            <w14:solidFill>
              <w14:schemeClr w14:val="tx1"/>
            </w14:solidFill>
          </w14:textFill>
        </w:rPr>
        <w:t>2.</w:t>
      </w:r>
      <w:r>
        <w:rPr>
          <w:rStyle w:val="14"/>
          <w:rFonts w:hint="eastAsia" w:ascii="仿宋" w:hAnsi="仿宋" w:eastAsia="仿宋"/>
          <w:bCs/>
          <w:color w:val="000000" w:themeColor="text1"/>
          <w:sz w:val="32"/>
          <w:szCs w:val="32"/>
          <w14:textFill>
            <w14:solidFill>
              <w14:schemeClr w14:val="tx1"/>
            </w14:solidFill>
          </w14:textFill>
        </w:rPr>
        <w:t>一般公共服务</w:t>
      </w:r>
      <w:r>
        <w:rPr>
          <w:rStyle w:val="14"/>
          <w:rFonts w:hint="eastAsia" w:ascii="仿宋" w:hAnsi="仿宋" w:eastAsia="仿宋"/>
          <w:bCs/>
          <w:color w:val="000000" w:themeColor="text1"/>
          <w:sz w:val="32"/>
          <w:szCs w:val="32"/>
          <w:lang w:val="en-US" w:eastAsia="zh-CN"/>
          <w14:textFill>
            <w14:solidFill>
              <w14:schemeClr w14:val="tx1"/>
            </w14:solidFill>
          </w14:textFill>
        </w:rPr>
        <w:t>2010302</w:t>
      </w:r>
      <w:r>
        <w:rPr>
          <w:rStyle w:val="14"/>
          <w:rFonts w:ascii="仿宋" w:hAnsi="仿宋" w:eastAsia="仿宋"/>
          <w:bCs/>
          <w:color w:val="000000" w:themeColor="text1"/>
          <w:sz w:val="32"/>
          <w:szCs w:val="32"/>
          <w14:textFill>
            <w14:solidFill>
              <w14:schemeClr w14:val="tx1"/>
            </w14:solidFill>
          </w14:textFill>
        </w:rPr>
        <w:t>:</w:t>
      </w:r>
      <w:r>
        <w:rPr>
          <w:rStyle w:val="14"/>
          <w:rFonts w:ascii="仿宋" w:hAnsi="仿宋" w:eastAsia="仿宋"/>
          <w:b w:val="0"/>
          <w:bCs/>
          <w:color w:val="000000" w:themeColor="text1"/>
          <w:sz w:val="32"/>
          <w:szCs w:val="32"/>
          <w14:textFill>
            <w14:solidFill>
              <w14:schemeClr w14:val="tx1"/>
            </w14:solidFill>
          </w14:textFill>
        </w:rPr>
        <w:t xml:space="preserve"> </w:t>
      </w:r>
      <w:r>
        <w:rPr>
          <w:rStyle w:val="14"/>
          <w:rFonts w:hint="eastAsia" w:ascii="仿宋" w:hAnsi="仿宋" w:eastAsia="仿宋"/>
          <w:b w:val="0"/>
          <w:bCs/>
          <w:color w:val="000000" w:themeColor="text1"/>
          <w:sz w:val="32"/>
          <w:szCs w:val="32"/>
          <w14:textFill>
            <w14:solidFill>
              <w14:schemeClr w14:val="tx1"/>
            </w14:solidFill>
          </w14:textFill>
        </w:rPr>
        <w:t>支出决算为</w:t>
      </w:r>
      <w:r>
        <w:rPr>
          <w:rStyle w:val="14"/>
          <w:rFonts w:hint="eastAsia" w:ascii="仿宋" w:hAnsi="仿宋" w:eastAsia="仿宋"/>
          <w:b w:val="0"/>
          <w:bCs/>
          <w:color w:val="000000" w:themeColor="text1"/>
          <w:sz w:val="32"/>
          <w:szCs w:val="32"/>
          <w:lang w:val="en-US" w:eastAsia="zh-CN"/>
          <w14:textFill>
            <w14:solidFill>
              <w14:schemeClr w14:val="tx1"/>
            </w14:solidFill>
          </w14:textFill>
        </w:rPr>
        <w:t>10</w:t>
      </w:r>
      <w:r>
        <w:rPr>
          <w:rStyle w:val="14"/>
          <w:rFonts w:hint="eastAsia" w:ascii="仿宋" w:hAnsi="仿宋" w:eastAsia="仿宋"/>
          <w:b w:val="0"/>
          <w:bCs/>
          <w:color w:val="000000" w:themeColor="text1"/>
          <w:sz w:val="32"/>
          <w:szCs w:val="32"/>
          <w14:textFill>
            <w14:solidFill>
              <w14:schemeClr w14:val="tx1"/>
            </w14:solidFill>
          </w14:textFill>
        </w:rPr>
        <w:t>万元，完成预算</w:t>
      </w:r>
      <w:r>
        <w:rPr>
          <w:rStyle w:val="14"/>
          <w:rFonts w:hint="eastAsia" w:ascii="仿宋" w:hAnsi="仿宋" w:eastAsia="仿宋"/>
          <w:b w:val="0"/>
          <w:bCs/>
          <w:color w:val="000000" w:themeColor="text1"/>
          <w:sz w:val="32"/>
          <w:szCs w:val="32"/>
          <w:lang w:val="en-US" w:eastAsia="zh-CN"/>
          <w14:textFill>
            <w14:solidFill>
              <w14:schemeClr w14:val="tx1"/>
            </w14:solidFill>
          </w14:textFill>
        </w:rPr>
        <w:t>100</w:t>
      </w:r>
      <w:r>
        <w:rPr>
          <w:rStyle w:val="14"/>
          <w:rFonts w:ascii="仿宋" w:hAnsi="仿宋" w:eastAsia="仿宋"/>
          <w:b w:val="0"/>
          <w:bCs/>
          <w:color w:val="000000" w:themeColor="text1"/>
          <w:sz w:val="32"/>
          <w:szCs w:val="32"/>
          <w14:textFill>
            <w14:solidFill>
              <w14:schemeClr w14:val="tx1"/>
            </w14:solidFill>
          </w14:textFill>
        </w:rPr>
        <w:t>%</w:t>
      </w:r>
      <w:r>
        <w:rPr>
          <w:rStyle w:val="14"/>
          <w:rFonts w:hint="eastAsia" w:ascii="仿宋" w:hAnsi="仿宋" w:eastAsia="仿宋"/>
          <w:b w:val="0"/>
          <w:bCs/>
          <w:color w:val="000000" w:themeColor="text1"/>
          <w:sz w:val="32"/>
          <w:szCs w:val="32"/>
          <w14:textFill>
            <w14:solidFill>
              <w14:schemeClr w14:val="tx1"/>
            </w14:solidFill>
          </w14:textFill>
        </w:rPr>
        <w:t>，决算数等于预算数</w:t>
      </w:r>
      <w:r>
        <w:rPr>
          <w:rStyle w:val="14"/>
          <w:rFonts w:hint="eastAsia" w:ascii="仿宋" w:hAnsi="仿宋" w:eastAsia="仿宋"/>
          <w:b w:val="0"/>
          <w:bCs/>
          <w:color w:val="000000" w:themeColor="text1"/>
          <w:sz w:val="32"/>
          <w:szCs w:val="32"/>
          <w:lang w:eastAsia="zh-CN"/>
          <w14:textFill>
            <w14:solidFill>
              <w14:schemeClr w14:val="tx1"/>
            </w14:solidFill>
          </w14:textFill>
        </w:rPr>
        <w:t>。</w:t>
      </w:r>
    </w:p>
    <w:p>
      <w:pPr>
        <w:numPr>
          <w:ilvl w:val="0"/>
          <w:numId w:val="0"/>
        </w:numPr>
        <w:spacing w:line="600" w:lineRule="exact"/>
        <w:ind w:firstLine="642" w:firstLineChars="200"/>
        <w:rPr>
          <w:rStyle w:val="14"/>
          <w:rFonts w:hint="eastAsia" w:ascii="仿宋" w:hAnsi="仿宋" w:eastAsia="仿宋"/>
          <w:b w:val="0"/>
          <w:bCs/>
          <w:color w:val="000000" w:themeColor="text1"/>
          <w:sz w:val="32"/>
          <w:szCs w:val="32"/>
          <w:lang w:eastAsia="zh-CN"/>
          <w14:textFill>
            <w14:solidFill>
              <w14:schemeClr w14:val="tx1"/>
            </w14:solidFill>
          </w14:textFill>
        </w:rPr>
      </w:pPr>
      <w:r>
        <w:rPr>
          <w:rStyle w:val="14"/>
          <w:rFonts w:hint="eastAsia" w:ascii="仿宋" w:hAnsi="仿宋" w:eastAsia="仿宋"/>
          <w:bCs/>
          <w:color w:val="000000" w:themeColor="text1"/>
          <w:sz w:val="32"/>
          <w:szCs w:val="32"/>
          <w:lang w:val="en-US" w:eastAsia="zh-CN"/>
          <w14:textFill>
            <w14:solidFill>
              <w14:schemeClr w14:val="tx1"/>
            </w14:solidFill>
          </w14:textFill>
        </w:rPr>
        <w:t>3.</w:t>
      </w:r>
      <w:r>
        <w:rPr>
          <w:rStyle w:val="14"/>
          <w:rFonts w:hint="eastAsia" w:ascii="仿宋" w:hAnsi="仿宋" w:eastAsia="仿宋"/>
          <w:bCs/>
          <w:color w:val="000000" w:themeColor="text1"/>
          <w:sz w:val="32"/>
          <w:szCs w:val="32"/>
          <w14:textFill>
            <w14:solidFill>
              <w14:schemeClr w14:val="tx1"/>
            </w14:solidFill>
          </w14:textFill>
        </w:rPr>
        <w:t>一般公共服务</w:t>
      </w:r>
      <w:r>
        <w:rPr>
          <w:rStyle w:val="14"/>
          <w:rFonts w:hint="eastAsia" w:ascii="仿宋" w:hAnsi="仿宋" w:eastAsia="仿宋"/>
          <w:bCs/>
          <w:color w:val="000000" w:themeColor="text1"/>
          <w:sz w:val="32"/>
          <w:szCs w:val="32"/>
          <w:lang w:val="en-US" w:eastAsia="zh-CN"/>
          <w14:textFill>
            <w14:solidFill>
              <w14:schemeClr w14:val="tx1"/>
            </w14:solidFill>
          </w14:textFill>
        </w:rPr>
        <w:t>2010699</w:t>
      </w:r>
      <w:r>
        <w:rPr>
          <w:rStyle w:val="14"/>
          <w:rFonts w:ascii="仿宋" w:hAnsi="仿宋" w:eastAsia="仿宋"/>
          <w:bCs/>
          <w:color w:val="000000" w:themeColor="text1"/>
          <w:sz w:val="32"/>
          <w:szCs w:val="32"/>
          <w14:textFill>
            <w14:solidFill>
              <w14:schemeClr w14:val="tx1"/>
            </w14:solidFill>
          </w14:textFill>
        </w:rPr>
        <w:t>:</w:t>
      </w:r>
      <w:r>
        <w:rPr>
          <w:rStyle w:val="14"/>
          <w:rFonts w:ascii="仿宋" w:hAnsi="仿宋" w:eastAsia="仿宋"/>
          <w:b w:val="0"/>
          <w:bCs/>
          <w:color w:val="000000" w:themeColor="text1"/>
          <w:sz w:val="32"/>
          <w:szCs w:val="32"/>
          <w14:textFill>
            <w14:solidFill>
              <w14:schemeClr w14:val="tx1"/>
            </w14:solidFill>
          </w14:textFill>
        </w:rPr>
        <w:t xml:space="preserve"> </w:t>
      </w:r>
      <w:r>
        <w:rPr>
          <w:rStyle w:val="14"/>
          <w:rFonts w:hint="eastAsia" w:ascii="仿宋" w:hAnsi="仿宋" w:eastAsia="仿宋"/>
          <w:b w:val="0"/>
          <w:bCs/>
          <w:color w:val="000000" w:themeColor="text1"/>
          <w:sz w:val="32"/>
          <w:szCs w:val="32"/>
          <w14:textFill>
            <w14:solidFill>
              <w14:schemeClr w14:val="tx1"/>
            </w14:solidFill>
          </w14:textFill>
        </w:rPr>
        <w:t>支出决算为</w:t>
      </w:r>
      <w:r>
        <w:rPr>
          <w:rStyle w:val="14"/>
          <w:rFonts w:hint="eastAsia" w:ascii="仿宋" w:hAnsi="仿宋" w:eastAsia="仿宋"/>
          <w:b w:val="0"/>
          <w:bCs/>
          <w:color w:val="000000" w:themeColor="text1"/>
          <w:sz w:val="32"/>
          <w:szCs w:val="32"/>
          <w:lang w:val="en-US" w:eastAsia="zh-CN"/>
          <w14:textFill>
            <w14:solidFill>
              <w14:schemeClr w14:val="tx1"/>
            </w14:solidFill>
          </w14:textFill>
        </w:rPr>
        <w:t>24.95</w:t>
      </w:r>
      <w:r>
        <w:rPr>
          <w:rStyle w:val="14"/>
          <w:rFonts w:hint="eastAsia" w:ascii="仿宋" w:hAnsi="仿宋" w:eastAsia="仿宋"/>
          <w:b w:val="0"/>
          <w:bCs/>
          <w:color w:val="000000" w:themeColor="text1"/>
          <w:sz w:val="32"/>
          <w:szCs w:val="32"/>
          <w14:textFill>
            <w14:solidFill>
              <w14:schemeClr w14:val="tx1"/>
            </w14:solidFill>
          </w14:textFill>
        </w:rPr>
        <w:t>万元，完成预算</w:t>
      </w:r>
      <w:r>
        <w:rPr>
          <w:rStyle w:val="14"/>
          <w:rFonts w:hint="eastAsia" w:ascii="仿宋" w:hAnsi="仿宋" w:eastAsia="仿宋"/>
          <w:b w:val="0"/>
          <w:bCs/>
          <w:color w:val="000000" w:themeColor="text1"/>
          <w:sz w:val="32"/>
          <w:szCs w:val="32"/>
          <w:lang w:val="en-US" w:eastAsia="zh-CN"/>
          <w14:textFill>
            <w14:solidFill>
              <w14:schemeClr w14:val="tx1"/>
            </w14:solidFill>
          </w14:textFill>
        </w:rPr>
        <w:t>83.17</w:t>
      </w:r>
      <w:r>
        <w:rPr>
          <w:rStyle w:val="14"/>
          <w:rFonts w:ascii="仿宋" w:hAnsi="仿宋" w:eastAsia="仿宋"/>
          <w:b w:val="0"/>
          <w:bCs/>
          <w:color w:val="000000" w:themeColor="text1"/>
          <w:sz w:val="32"/>
          <w:szCs w:val="32"/>
          <w14:textFill>
            <w14:solidFill>
              <w14:schemeClr w14:val="tx1"/>
            </w14:solidFill>
          </w14:textFill>
        </w:rPr>
        <w:t>%</w:t>
      </w:r>
      <w:r>
        <w:rPr>
          <w:rStyle w:val="14"/>
          <w:rFonts w:hint="eastAsia" w:ascii="仿宋" w:hAnsi="仿宋" w:eastAsia="仿宋"/>
          <w:b w:val="0"/>
          <w:bCs/>
          <w:color w:val="000000" w:themeColor="text1"/>
          <w:sz w:val="32"/>
          <w:szCs w:val="32"/>
          <w14:textFill>
            <w14:solidFill>
              <w14:schemeClr w14:val="tx1"/>
            </w14:solidFill>
          </w14:textFill>
        </w:rPr>
        <w:t>，决算数</w:t>
      </w:r>
      <w:r>
        <w:rPr>
          <w:rStyle w:val="14"/>
          <w:rFonts w:hint="eastAsia" w:ascii="仿宋" w:hAnsi="仿宋" w:eastAsia="仿宋"/>
          <w:b w:val="0"/>
          <w:bCs/>
          <w:color w:val="000000" w:themeColor="text1"/>
          <w:sz w:val="32"/>
          <w:szCs w:val="32"/>
          <w:lang w:eastAsia="zh-CN"/>
          <w14:textFill>
            <w14:solidFill>
              <w14:schemeClr w14:val="tx1"/>
            </w14:solidFill>
          </w14:textFill>
        </w:rPr>
        <w:t>小于</w:t>
      </w:r>
      <w:r>
        <w:rPr>
          <w:rStyle w:val="14"/>
          <w:rFonts w:hint="eastAsia" w:ascii="仿宋" w:hAnsi="仿宋" w:eastAsia="仿宋"/>
          <w:b w:val="0"/>
          <w:bCs/>
          <w:color w:val="000000" w:themeColor="text1"/>
          <w:sz w:val="32"/>
          <w:szCs w:val="32"/>
          <w14:textFill>
            <w14:solidFill>
              <w14:schemeClr w14:val="tx1"/>
            </w14:solidFill>
          </w14:textFill>
        </w:rPr>
        <w:t>预算数</w:t>
      </w:r>
      <w:r>
        <w:rPr>
          <w:rStyle w:val="14"/>
          <w:rFonts w:hint="eastAsia" w:ascii="仿宋" w:hAnsi="仿宋" w:eastAsia="仿宋"/>
          <w:b w:val="0"/>
          <w:bCs/>
          <w:color w:val="000000" w:themeColor="text1"/>
          <w:sz w:val="32"/>
          <w:szCs w:val="32"/>
          <w:lang w:eastAsia="zh-CN"/>
          <w14:textFill>
            <w14:solidFill>
              <w14:schemeClr w14:val="tx1"/>
            </w14:solidFill>
          </w14:textFill>
        </w:rPr>
        <w:t>的主要原因是项目未实施完毕，将继续实施。</w:t>
      </w:r>
    </w:p>
    <w:p>
      <w:pPr>
        <w:spacing w:line="600" w:lineRule="exact"/>
        <w:ind w:firstLine="642" w:firstLineChars="200"/>
        <w:rPr>
          <w:rFonts w:ascii="仿宋" w:hAnsi="仿宋" w:eastAsia="仿宋"/>
          <w:b/>
          <w:color w:val="000000" w:themeColor="text1"/>
          <w:sz w:val="32"/>
          <w:szCs w:val="32"/>
          <w14:textFill>
            <w14:solidFill>
              <w14:schemeClr w14:val="tx1"/>
            </w14:solidFill>
          </w14:textFill>
        </w:rPr>
      </w:pPr>
      <w:r>
        <w:rPr>
          <w:rStyle w:val="14"/>
          <w:rFonts w:hint="eastAsia" w:ascii="仿宋" w:hAnsi="仿宋" w:eastAsia="仿宋"/>
          <w:bCs/>
          <w:color w:val="000000" w:themeColor="text1"/>
          <w:sz w:val="32"/>
          <w:szCs w:val="32"/>
          <w:lang w:val="en-US" w:eastAsia="zh-CN"/>
          <w14:textFill>
            <w14:solidFill>
              <w14:schemeClr w14:val="tx1"/>
            </w14:solidFill>
          </w14:textFill>
        </w:rPr>
        <w:t>4</w:t>
      </w:r>
      <w:r>
        <w:rPr>
          <w:rStyle w:val="14"/>
          <w:rFonts w:ascii="仿宋" w:hAnsi="仿宋" w:eastAsia="仿宋"/>
          <w:bCs/>
          <w:color w:val="000000" w:themeColor="text1"/>
          <w:sz w:val="32"/>
          <w:szCs w:val="32"/>
          <w14:textFill>
            <w14:solidFill>
              <w14:schemeClr w14:val="tx1"/>
            </w14:solidFill>
          </w14:textFill>
        </w:rPr>
        <w:t>.</w:t>
      </w:r>
      <w:r>
        <w:rPr>
          <w:rStyle w:val="14"/>
          <w:rFonts w:hint="eastAsia" w:ascii="仿宋" w:hAnsi="仿宋" w:eastAsia="仿宋"/>
          <w:bCs/>
          <w:color w:val="000000" w:themeColor="text1"/>
          <w:sz w:val="32"/>
          <w:szCs w:val="32"/>
          <w14:textFill>
            <w14:solidFill>
              <w14:schemeClr w14:val="tx1"/>
            </w14:solidFill>
          </w14:textFill>
        </w:rPr>
        <w:t>社会保障和就业（类）</w:t>
      </w:r>
      <w:r>
        <w:rPr>
          <w:rStyle w:val="14"/>
          <w:rFonts w:hint="eastAsia" w:ascii="仿宋" w:hAnsi="仿宋" w:eastAsia="仿宋"/>
          <w:bCs/>
          <w:color w:val="000000" w:themeColor="text1"/>
          <w:sz w:val="32"/>
          <w:szCs w:val="32"/>
          <w:lang w:val="en-US" w:eastAsia="zh-CN"/>
          <w14:textFill>
            <w14:solidFill>
              <w14:schemeClr w14:val="tx1"/>
            </w14:solidFill>
          </w14:textFill>
        </w:rPr>
        <w:t>2080505、2080506</w:t>
      </w:r>
      <w:r>
        <w:rPr>
          <w:rStyle w:val="14"/>
          <w:rFonts w:ascii="仿宋" w:hAnsi="仿宋" w:eastAsia="仿宋"/>
          <w:bCs/>
          <w:color w:val="000000" w:themeColor="text1"/>
          <w:sz w:val="32"/>
          <w:szCs w:val="32"/>
          <w14:textFill>
            <w14:solidFill>
              <w14:schemeClr w14:val="tx1"/>
            </w14:solidFill>
          </w14:textFill>
        </w:rPr>
        <w:t>:</w:t>
      </w:r>
      <w:r>
        <w:rPr>
          <w:rStyle w:val="14"/>
          <w:rFonts w:ascii="仿宋" w:hAnsi="仿宋" w:eastAsia="仿宋"/>
          <w:b w:val="0"/>
          <w:bCs/>
          <w:color w:val="000000" w:themeColor="text1"/>
          <w:sz w:val="32"/>
          <w:szCs w:val="32"/>
          <w14:textFill>
            <w14:solidFill>
              <w14:schemeClr w14:val="tx1"/>
            </w14:solidFill>
          </w14:textFill>
        </w:rPr>
        <w:t xml:space="preserve"> </w:t>
      </w:r>
      <w:r>
        <w:rPr>
          <w:rStyle w:val="14"/>
          <w:rFonts w:hint="eastAsia" w:ascii="仿宋" w:hAnsi="仿宋" w:eastAsia="仿宋"/>
          <w:b w:val="0"/>
          <w:bCs/>
          <w:color w:val="000000" w:themeColor="text1"/>
          <w:sz w:val="32"/>
          <w:szCs w:val="32"/>
          <w14:textFill>
            <w14:solidFill>
              <w14:schemeClr w14:val="tx1"/>
            </w14:solidFill>
          </w14:textFill>
        </w:rPr>
        <w:t>支出决算为</w:t>
      </w:r>
      <w:r>
        <w:rPr>
          <w:rStyle w:val="14"/>
          <w:rFonts w:hint="eastAsia" w:ascii="仿宋" w:hAnsi="仿宋" w:eastAsia="仿宋"/>
          <w:b w:val="0"/>
          <w:bCs/>
          <w:color w:val="000000" w:themeColor="text1"/>
          <w:sz w:val="32"/>
          <w:szCs w:val="32"/>
          <w:lang w:val="en-US" w:eastAsia="zh-CN"/>
          <w14:textFill>
            <w14:solidFill>
              <w14:schemeClr w14:val="tx1"/>
            </w14:solidFill>
          </w14:textFill>
        </w:rPr>
        <w:t>18.51</w:t>
      </w:r>
      <w:r>
        <w:rPr>
          <w:rStyle w:val="14"/>
          <w:rFonts w:hint="eastAsia" w:ascii="仿宋" w:hAnsi="仿宋" w:eastAsia="仿宋"/>
          <w:b w:val="0"/>
          <w:bCs/>
          <w:color w:val="000000" w:themeColor="text1"/>
          <w:sz w:val="32"/>
          <w:szCs w:val="32"/>
          <w14:textFill>
            <w14:solidFill>
              <w14:schemeClr w14:val="tx1"/>
            </w14:solidFill>
          </w14:textFill>
        </w:rPr>
        <w:t>万元，完成预算</w:t>
      </w:r>
      <w:r>
        <w:rPr>
          <w:rStyle w:val="14"/>
          <w:rFonts w:hint="eastAsia" w:ascii="仿宋" w:hAnsi="仿宋" w:eastAsia="仿宋"/>
          <w:b w:val="0"/>
          <w:bCs/>
          <w:color w:val="000000" w:themeColor="text1"/>
          <w:sz w:val="32"/>
          <w:szCs w:val="32"/>
          <w:lang w:val="en-US" w:eastAsia="zh-CN"/>
          <w14:textFill>
            <w14:solidFill>
              <w14:schemeClr w14:val="tx1"/>
            </w14:solidFill>
          </w14:textFill>
        </w:rPr>
        <w:t>100</w:t>
      </w:r>
      <w:r>
        <w:rPr>
          <w:rStyle w:val="14"/>
          <w:rFonts w:ascii="仿宋" w:hAnsi="仿宋" w:eastAsia="仿宋"/>
          <w:b w:val="0"/>
          <w:bCs/>
          <w:color w:val="000000" w:themeColor="text1"/>
          <w:sz w:val="32"/>
          <w:szCs w:val="32"/>
          <w14:textFill>
            <w14:solidFill>
              <w14:schemeClr w14:val="tx1"/>
            </w14:solidFill>
          </w14:textFill>
        </w:rPr>
        <w:t>%</w:t>
      </w:r>
      <w:r>
        <w:rPr>
          <w:rStyle w:val="14"/>
          <w:rFonts w:hint="eastAsia" w:ascii="仿宋" w:hAnsi="仿宋" w:eastAsia="仿宋"/>
          <w:b w:val="0"/>
          <w:bCs/>
          <w:color w:val="000000" w:themeColor="text1"/>
          <w:sz w:val="32"/>
          <w:szCs w:val="32"/>
          <w14:textFill>
            <w14:solidFill>
              <w14:schemeClr w14:val="tx1"/>
            </w14:solidFill>
          </w14:textFill>
        </w:rPr>
        <w:t>，决算数等于预算数。</w:t>
      </w:r>
    </w:p>
    <w:p>
      <w:pPr>
        <w:spacing w:line="600" w:lineRule="exact"/>
        <w:ind w:firstLine="642" w:firstLineChars="200"/>
        <w:rPr>
          <w:rFonts w:ascii="仿宋" w:hAnsi="仿宋" w:eastAsia="仿宋"/>
          <w:b/>
          <w:color w:val="000000" w:themeColor="text1"/>
          <w:sz w:val="32"/>
          <w:szCs w:val="32"/>
          <w14:textFill>
            <w14:solidFill>
              <w14:schemeClr w14:val="tx1"/>
            </w14:solidFill>
          </w14:textFill>
        </w:rPr>
      </w:pPr>
      <w:r>
        <w:rPr>
          <w:rStyle w:val="14"/>
          <w:rFonts w:ascii="仿宋" w:hAnsi="仿宋" w:eastAsia="仿宋"/>
          <w:bCs/>
          <w:color w:val="000000" w:themeColor="text1"/>
          <w:sz w:val="32"/>
          <w:szCs w:val="32"/>
          <w14:textFill>
            <w14:solidFill>
              <w14:schemeClr w14:val="tx1"/>
            </w14:solidFill>
          </w14:textFill>
        </w:rPr>
        <w:t>6.</w:t>
      </w:r>
      <w:r>
        <w:rPr>
          <w:rStyle w:val="14"/>
          <w:rFonts w:hint="eastAsia" w:ascii="仿宋" w:hAnsi="仿宋" w:eastAsia="仿宋"/>
          <w:bCs/>
          <w:color w:val="000000" w:themeColor="text1"/>
          <w:sz w:val="32"/>
          <w:szCs w:val="32"/>
          <w14:textFill>
            <w14:solidFill>
              <w14:schemeClr w14:val="tx1"/>
            </w14:solidFill>
          </w14:textFill>
        </w:rPr>
        <w:t>医疗卫生与计划生育（类）</w:t>
      </w:r>
      <w:r>
        <w:rPr>
          <w:rStyle w:val="14"/>
          <w:rFonts w:hint="eastAsia" w:ascii="仿宋" w:hAnsi="仿宋" w:eastAsia="仿宋"/>
          <w:bCs/>
          <w:color w:val="000000" w:themeColor="text1"/>
          <w:sz w:val="32"/>
          <w:szCs w:val="32"/>
          <w:lang w:val="en-US" w:eastAsia="zh-CN"/>
          <w14:textFill>
            <w14:solidFill>
              <w14:schemeClr w14:val="tx1"/>
            </w14:solidFill>
          </w14:textFill>
        </w:rPr>
        <w:t>2101101</w:t>
      </w:r>
      <w:r>
        <w:rPr>
          <w:rStyle w:val="14"/>
          <w:rFonts w:ascii="仿宋" w:hAnsi="仿宋" w:eastAsia="仿宋"/>
          <w:bCs/>
          <w:color w:val="000000" w:themeColor="text1"/>
          <w:sz w:val="32"/>
          <w:szCs w:val="32"/>
          <w14:textFill>
            <w14:solidFill>
              <w14:schemeClr w14:val="tx1"/>
            </w14:solidFill>
          </w14:textFill>
        </w:rPr>
        <w:t>:</w:t>
      </w:r>
      <w:r>
        <w:rPr>
          <w:rStyle w:val="14"/>
          <w:rFonts w:hint="eastAsia" w:ascii="仿宋" w:hAnsi="仿宋" w:eastAsia="仿宋"/>
          <w:b w:val="0"/>
          <w:bCs/>
          <w:color w:val="000000" w:themeColor="text1"/>
          <w:sz w:val="32"/>
          <w:szCs w:val="32"/>
          <w14:textFill>
            <w14:solidFill>
              <w14:schemeClr w14:val="tx1"/>
            </w14:solidFill>
          </w14:textFill>
        </w:rPr>
        <w:t>支出决算为</w:t>
      </w:r>
      <w:r>
        <w:rPr>
          <w:rStyle w:val="14"/>
          <w:rFonts w:hint="eastAsia" w:ascii="仿宋" w:hAnsi="仿宋" w:eastAsia="仿宋"/>
          <w:b w:val="0"/>
          <w:bCs/>
          <w:color w:val="000000" w:themeColor="text1"/>
          <w:sz w:val="32"/>
          <w:szCs w:val="32"/>
          <w:lang w:val="en-US" w:eastAsia="zh-CN"/>
          <w14:textFill>
            <w14:solidFill>
              <w14:schemeClr w14:val="tx1"/>
            </w14:solidFill>
          </w14:textFill>
        </w:rPr>
        <w:t>6.87</w:t>
      </w:r>
      <w:r>
        <w:rPr>
          <w:rStyle w:val="14"/>
          <w:rFonts w:hint="eastAsia" w:ascii="仿宋" w:hAnsi="仿宋" w:eastAsia="仿宋"/>
          <w:b w:val="0"/>
          <w:bCs/>
          <w:color w:val="000000" w:themeColor="text1"/>
          <w:sz w:val="32"/>
          <w:szCs w:val="32"/>
          <w14:textFill>
            <w14:solidFill>
              <w14:schemeClr w14:val="tx1"/>
            </w14:solidFill>
          </w14:textFill>
        </w:rPr>
        <w:t>万元，完成预算</w:t>
      </w:r>
      <w:r>
        <w:rPr>
          <w:rStyle w:val="14"/>
          <w:rFonts w:hint="eastAsia" w:ascii="仿宋" w:hAnsi="仿宋" w:eastAsia="仿宋"/>
          <w:b w:val="0"/>
          <w:bCs/>
          <w:color w:val="000000" w:themeColor="text1"/>
          <w:sz w:val="32"/>
          <w:szCs w:val="32"/>
          <w:lang w:val="en-US" w:eastAsia="zh-CN"/>
          <w14:textFill>
            <w14:solidFill>
              <w14:schemeClr w14:val="tx1"/>
            </w14:solidFill>
          </w14:textFill>
        </w:rPr>
        <w:t>100</w:t>
      </w:r>
      <w:r>
        <w:rPr>
          <w:rStyle w:val="14"/>
          <w:rFonts w:ascii="仿宋" w:hAnsi="仿宋" w:eastAsia="仿宋"/>
          <w:b w:val="0"/>
          <w:bCs/>
          <w:color w:val="000000" w:themeColor="text1"/>
          <w:sz w:val="32"/>
          <w:szCs w:val="32"/>
          <w14:textFill>
            <w14:solidFill>
              <w14:schemeClr w14:val="tx1"/>
            </w14:solidFill>
          </w14:textFill>
        </w:rPr>
        <w:t>%</w:t>
      </w:r>
      <w:r>
        <w:rPr>
          <w:rStyle w:val="14"/>
          <w:rFonts w:hint="eastAsia" w:ascii="仿宋" w:hAnsi="仿宋" w:eastAsia="仿宋"/>
          <w:b w:val="0"/>
          <w:bCs/>
          <w:color w:val="000000" w:themeColor="text1"/>
          <w:sz w:val="32"/>
          <w:szCs w:val="32"/>
          <w14:textFill>
            <w14:solidFill>
              <w14:schemeClr w14:val="tx1"/>
            </w14:solidFill>
          </w14:textFill>
        </w:rPr>
        <w:t>，决算数等于预算数。</w:t>
      </w:r>
    </w:p>
    <w:p>
      <w:pPr>
        <w:spacing w:line="600" w:lineRule="exact"/>
        <w:ind w:firstLine="642" w:firstLineChars="200"/>
        <w:rPr>
          <w:rFonts w:ascii="仿宋" w:hAnsi="仿宋" w:eastAsia="仿宋"/>
          <w:b/>
          <w:color w:val="000000" w:themeColor="text1"/>
          <w:sz w:val="32"/>
          <w:szCs w:val="32"/>
          <w14:textFill>
            <w14:solidFill>
              <w14:schemeClr w14:val="tx1"/>
            </w14:solidFill>
          </w14:textFill>
        </w:rPr>
      </w:pPr>
      <w:r>
        <w:rPr>
          <w:rStyle w:val="14"/>
          <w:rFonts w:hint="eastAsia" w:ascii="仿宋" w:hAnsi="仿宋" w:eastAsia="仿宋"/>
          <w:bCs/>
          <w:color w:val="000000" w:themeColor="text1"/>
          <w:sz w:val="32"/>
          <w:szCs w:val="32"/>
          <w:lang w:val="en-US" w:eastAsia="zh-CN"/>
          <w14:textFill>
            <w14:solidFill>
              <w14:schemeClr w14:val="tx1"/>
            </w14:solidFill>
          </w14:textFill>
        </w:rPr>
        <w:t>7</w:t>
      </w:r>
      <w:r>
        <w:rPr>
          <w:rStyle w:val="14"/>
          <w:rFonts w:ascii="仿宋" w:hAnsi="仿宋" w:eastAsia="仿宋"/>
          <w:bCs/>
          <w:color w:val="000000" w:themeColor="text1"/>
          <w:sz w:val="32"/>
          <w:szCs w:val="32"/>
          <w14:textFill>
            <w14:solidFill>
              <w14:schemeClr w14:val="tx1"/>
            </w14:solidFill>
          </w14:textFill>
        </w:rPr>
        <w:t>.</w:t>
      </w:r>
      <w:r>
        <w:rPr>
          <w:rStyle w:val="14"/>
          <w:rFonts w:hint="eastAsia" w:ascii="仿宋" w:hAnsi="仿宋" w:eastAsia="仿宋"/>
          <w:bCs/>
          <w:color w:val="000000" w:themeColor="text1"/>
          <w:sz w:val="32"/>
          <w:szCs w:val="32"/>
          <w:lang w:eastAsia="zh-CN"/>
          <w14:textFill>
            <w14:solidFill>
              <w14:schemeClr w14:val="tx1"/>
            </w14:solidFill>
          </w14:textFill>
        </w:rPr>
        <w:t>农林水</w:t>
      </w:r>
      <w:r>
        <w:rPr>
          <w:rStyle w:val="14"/>
          <w:rFonts w:hint="eastAsia" w:ascii="仿宋" w:hAnsi="仿宋" w:eastAsia="仿宋"/>
          <w:bCs/>
          <w:color w:val="000000" w:themeColor="text1"/>
          <w:sz w:val="32"/>
          <w:szCs w:val="32"/>
          <w14:textFill>
            <w14:solidFill>
              <w14:schemeClr w14:val="tx1"/>
            </w14:solidFill>
          </w14:textFill>
        </w:rPr>
        <w:t>（类）</w:t>
      </w:r>
      <w:r>
        <w:rPr>
          <w:rStyle w:val="14"/>
          <w:rFonts w:hint="eastAsia" w:ascii="仿宋" w:hAnsi="仿宋" w:eastAsia="仿宋"/>
          <w:bCs/>
          <w:color w:val="000000" w:themeColor="text1"/>
          <w:sz w:val="32"/>
          <w:szCs w:val="32"/>
          <w:lang w:val="en-US" w:eastAsia="zh-CN"/>
          <w14:textFill>
            <w14:solidFill>
              <w14:schemeClr w14:val="tx1"/>
            </w14:solidFill>
          </w14:textFill>
        </w:rPr>
        <w:t>2130599</w:t>
      </w:r>
      <w:r>
        <w:rPr>
          <w:rStyle w:val="14"/>
          <w:rFonts w:ascii="仿宋" w:hAnsi="仿宋" w:eastAsia="仿宋"/>
          <w:bCs/>
          <w:color w:val="000000" w:themeColor="text1"/>
          <w:sz w:val="32"/>
          <w:szCs w:val="32"/>
          <w14:textFill>
            <w14:solidFill>
              <w14:schemeClr w14:val="tx1"/>
            </w14:solidFill>
          </w14:textFill>
        </w:rPr>
        <w:t>:</w:t>
      </w:r>
      <w:r>
        <w:rPr>
          <w:rStyle w:val="14"/>
          <w:rFonts w:hint="eastAsia" w:ascii="仿宋" w:hAnsi="仿宋" w:eastAsia="仿宋"/>
          <w:b w:val="0"/>
          <w:bCs/>
          <w:color w:val="000000" w:themeColor="text1"/>
          <w:sz w:val="32"/>
          <w:szCs w:val="32"/>
          <w14:textFill>
            <w14:solidFill>
              <w14:schemeClr w14:val="tx1"/>
            </w14:solidFill>
          </w14:textFill>
        </w:rPr>
        <w:t>支出决算为</w:t>
      </w:r>
      <w:r>
        <w:rPr>
          <w:rStyle w:val="14"/>
          <w:rFonts w:hint="eastAsia" w:ascii="仿宋" w:hAnsi="仿宋" w:eastAsia="仿宋"/>
          <w:b w:val="0"/>
          <w:bCs/>
          <w:color w:val="000000" w:themeColor="text1"/>
          <w:sz w:val="32"/>
          <w:szCs w:val="32"/>
          <w:lang w:val="en-US" w:eastAsia="zh-CN"/>
          <w14:textFill>
            <w14:solidFill>
              <w14:schemeClr w14:val="tx1"/>
            </w14:solidFill>
          </w14:textFill>
        </w:rPr>
        <w:t>0.5</w:t>
      </w:r>
      <w:r>
        <w:rPr>
          <w:rStyle w:val="14"/>
          <w:rFonts w:hint="eastAsia" w:ascii="仿宋" w:hAnsi="仿宋" w:eastAsia="仿宋"/>
          <w:b w:val="0"/>
          <w:bCs/>
          <w:color w:val="000000" w:themeColor="text1"/>
          <w:sz w:val="32"/>
          <w:szCs w:val="32"/>
          <w14:textFill>
            <w14:solidFill>
              <w14:schemeClr w14:val="tx1"/>
            </w14:solidFill>
          </w14:textFill>
        </w:rPr>
        <w:t>万元，完成预算</w:t>
      </w:r>
      <w:r>
        <w:rPr>
          <w:rStyle w:val="14"/>
          <w:rFonts w:hint="eastAsia" w:ascii="仿宋" w:hAnsi="仿宋" w:eastAsia="仿宋"/>
          <w:b w:val="0"/>
          <w:bCs/>
          <w:color w:val="000000" w:themeColor="text1"/>
          <w:sz w:val="32"/>
          <w:szCs w:val="32"/>
          <w:lang w:val="en-US" w:eastAsia="zh-CN"/>
          <w14:textFill>
            <w14:solidFill>
              <w14:schemeClr w14:val="tx1"/>
            </w14:solidFill>
          </w14:textFill>
        </w:rPr>
        <w:t>100</w:t>
      </w:r>
      <w:r>
        <w:rPr>
          <w:rStyle w:val="14"/>
          <w:rFonts w:ascii="仿宋" w:hAnsi="仿宋" w:eastAsia="仿宋"/>
          <w:b w:val="0"/>
          <w:bCs/>
          <w:color w:val="000000" w:themeColor="text1"/>
          <w:sz w:val="32"/>
          <w:szCs w:val="32"/>
          <w14:textFill>
            <w14:solidFill>
              <w14:schemeClr w14:val="tx1"/>
            </w14:solidFill>
          </w14:textFill>
        </w:rPr>
        <w:t>%</w:t>
      </w:r>
      <w:r>
        <w:rPr>
          <w:rStyle w:val="14"/>
          <w:rFonts w:hint="eastAsia" w:ascii="仿宋" w:hAnsi="仿宋" w:eastAsia="仿宋"/>
          <w:b w:val="0"/>
          <w:bCs/>
          <w:color w:val="000000" w:themeColor="text1"/>
          <w:sz w:val="32"/>
          <w:szCs w:val="32"/>
          <w14:textFill>
            <w14:solidFill>
              <w14:schemeClr w14:val="tx1"/>
            </w14:solidFill>
          </w14:textFill>
        </w:rPr>
        <w:t>，决算数等于预算数。</w:t>
      </w:r>
    </w:p>
    <w:p>
      <w:pPr>
        <w:spacing w:line="600" w:lineRule="exact"/>
        <w:ind w:firstLine="642" w:firstLineChars="200"/>
        <w:rPr>
          <w:rFonts w:ascii="仿宋" w:hAnsi="仿宋" w:eastAsia="仿宋"/>
          <w:b/>
          <w:color w:val="000000"/>
          <w:sz w:val="32"/>
          <w:szCs w:val="32"/>
        </w:rPr>
      </w:pPr>
      <w:r>
        <w:rPr>
          <w:rStyle w:val="14"/>
          <w:rFonts w:hint="eastAsia" w:ascii="仿宋" w:hAnsi="仿宋" w:eastAsia="仿宋"/>
          <w:bCs/>
          <w:color w:val="000000" w:themeColor="text1"/>
          <w:sz w:val="32"/>
          <w:szCs w:val="32"/>
          <w:lang w:val="en-US" w:eastAsia="zh-CN"/>
          <w14:textFill>
            <w14:solidFill>
              <w14:schemeClr w14:val="tx1"/>
            </w14:solidFill>
          </w14:textFill>
        </w:rPr>
        <w:t>8</w:t>
      </w:r>
      <w:r>
        <w:rPr>
          <w:rStyle w:val="14"/>
          <w:rFonts w:ascii="仿宋" w:hAnsi="仿宋" w:eastAsia="仿宋"/>
          <w:bCs/>
          <w:color w:val="000000" w:themeColor="text1"/>
          <w:sz w:val="32"/>
          <w:szCs w:val="32"/>
          <w14:textFill>
            <w14:solidFill>
              <w14:schemeClr w14:val="tx1"/>
            </w14:solidFill>
          </w14:textFill>
        </w:rPr>
        <w:t>.</w:t>
      </w:r>
      <w:r>
        <w:rPr>
          <w:rStyle w:val="14"/>
          <w:rFonts w:hint="eastAsia" w:ascii="仿宋" w:hAnsi="仿宋" w:eastAsia="仿宋"/>
          <w:bCs/>
          <w:color w:val="000000" w:themeColor="text1"/>
          <w:sz w:val="32"/>
          <w:szCs w:val="32"/>
          <w:lang w:eastAsia="zh-CN"/>
          <w14:textFill>
            <w14:solidFill>
              <w14:schemeClr w14:val="tx1"/>
            </w14:solidFill>
          </w14:textFill>
        </w:rPr>
        <w:t>住房保障</w:t>
      </w:r>
      <w:r>
        <w:rPr>
          <w:rStyle w:val="14"/>
          <w:rFonts w:hint="eastAsia" w:ascii="仿宋" w:hAnsi="仿宋" w:eastAsia="仿宋"/>
          <w:bCs/>
          <w:color w:val="000000" w:themeColor="text1"/>
          <w:sz w:val="32"/>
          <w:szCs w:val="32"/>
          <w14:textFill>
            <w14:solidFill>
              <w14:schemeClr w14:val="tx1"/>
            </w14:solidFill>
          </w14:textFill>
        </w:rPr>
        <w:t>（类）</w:t>
      </w:r>
      <w:r>
        <w:rPr>
          <w:rStyle w:val="14"/>
          <w:rFonts w:hint="eastAsia" w:ascii="仿宋" w:hAnsi="仿宋" w:eastAsia="仿宋"/>
          <w:bCs/>
          <w:color w:val="000000" w:themeColor="text1"/>
          <w:sz w:val="32"/>
          <w:szCs w:val="32"/>
          <w:lang w:val="en-US" w:eastAsia="zh-CN"/>
          <w14:textFill>
            <w14:solidFill>
              <w14:schemeClr w14:val="tx1"/>
            </w14:solidFill>
          </w14:textFill>
        </w:rPr>
        <w:t>2210201</w:t>
      </w:r>
      <w:r>
        <w:rPr>
          <w:rStyle w:val="14"/>
          <w:rFonts w:ascii="仿宋" w:hAnsi="仿宋" w:eastAsia="仿宋"/>
          <w:bCs/>
          <w:color w:val="000000" w:themeColor="text1"/>
          <w:sz w:val="32"/>
          <w:szCs w:val="32"/>
          <w14:textFill>
            <w14:solidFill>
              <w14:schemeClr w14:val="tx1"/>
            </w14:solidFill>
          </w14:textFill>
        </w:rPr>
        <w:t>:</w:t>
      </w:r>
      <w:r>
        <w:rPr>
          <w:rStyle w:val="14"/>
          <w:rFonts w:hint="eastAsia" w:ascii="仿宋" w:hAnsi="仿宋" w:eastAsia="仿宋"/>
          <w:b w:val="0"/>
          <w:bCs/>
          <w:color w:val="000000" w:themeColor="text1"/>
          <w:sz w:val="32"/>
          <w:szCs w:val="32"/>
          <w14:textFill>
            <w14:solidFill>
              <w14:schemeClr w14:val="tx1"/>
            </w14:solidFill>
          </w14:textFill>
        </w:rPr>
        <w:t>支出决算为</w:t>
      </w:r>
      <w:r>
        <w:rPr>
          <w:rStyle w:val="14"/>
          <w:rFonts w:hint="eastAsia" w:ascii="仿宋" w:hAnsi="仿宋" w:eastAsia="仿宋"/>
          <w:b w:val="0"/>
          <w:bCs/>
          <w:color w:val="000000" w:themeColor="text1"/>
          <w:sz w:val="32"/>
          <w:szCs w:val="32"/>
          <w:lang w:val="en-US" w:eastAsia="zh-CN"/>
          <w14:textFill>
            <w14:solidFill>
              <w14:schemeClr w14:val="tx1"/>
            </w14:solidFill>
          </w14:textFill>
        </w:rPr>
        <w:t>10.8</w:t>
      </w:r>
      <w:r>
        <w:rPr>
          <w:rStyle w:val="14"/>
          <w:rFonts w:hint="eastAsia" w:ascii="仿宋" w:hAnsi="仿宋" w:eastAsia="仿宋"/>
          <w:b w:val="0"/>
          <w:bCs/>
          <w:color w:val="000000" w:themeColor="text1"/>
          <w:sz w:val="32"/>
          <w:szCs w:val="32"/>
          <w14:textFill>
            <w14:solidFill>
              <w14:schemeClr w14:val="tx1"/>
            </w14:solidFill>
          </w14:textFill>
        </w:rPr>
        <w:t>万元，完成预算</w:t>
      </w:r>
      <w:r>
        <w:rPr>
          <w:rStyle w:val="14"/>
          <w:rFonts w:hint="eastAsia" w:ascii="仿宋" w:hAnsi="仿宋" w:eastAsia="仿宋"/>
          <w:b w:val="0"/>
          <w:bCs/>
          <w:color w:val="000000" w:themeColor="text1"/>
          <w:sz w:val="32"/>
          <w:szCs w:val="32"/>
          <w:lang w:val="en-US" w:eastAsia="zh-CN"/>
          <w14:textFill>
            <w14:solidFill>
              <w14:schemeClr w14:val="tx1"/>
            </w14:solidFill>
          </w14:textFill>
        </w:rPr>
        <w:t>100</w:t>
      </w:r>
      <w:r>
        <w:rPr>
          <w:rStyle w:val="14"/>
          <w:rFonts w:ascii="仿宋" w:hAnsi="仿宋" w:eastAsia="仿宋"/>
          <w:b w:val="0"/>
          <w:bCs/>
          <w:color w:val="000000" w:themeColor="text1"/>
          <w:sz w:val="32"/>
          <w:szCs w:val="32"/>
          <w14:textFill>
            <w14:solidFill>
              <w14:schemeClr w14:val="tx1"/>
            </w14:solidFill>
          </w14:textFill>
        </w:rPr>
        <w:t>%</w:t>
      </w:r>
      <w:r>
        <w:rPr>
          <w:rStyle w:val="14"/>
          <w:rFonts w:hint="eastAsia" w:ascii="仿宋" w:hAnsi="仿宋" w:eastAsia="仿宋"/>
          <w:b w:val="0"/>
          <w:bCs/>
          <w:color w:val="000000" w:themeColor="text1"/>
          <w:sz w:val="32"/>
          <w:szCs w:val="32"/>
          <w14:textFill>
            <w14:solidFill>
              <w14:schemeClr w14:val="tx1"/>
            </w14:solidFill>
          </w14:textFill>
        </w:rPr>
        <w:t>，决算数等于预算数。</w:t>
      </w:r>
    </w:p>
    <w:p>
      <w:pPr>
        <w:tabs>
          <w:tab w:val="right" w:pos="8306"/>
        </w:tabs>
        <w:spacing w:line="600" w:lineRule="exact"/>
        <w:ind w:firstLine="640"/>
        <w:outlineLvl w:val="1"/>
        <w:rPr>
          <w:rStyle w:val="25"/>
        </w:rPr>
      </w:pPr>
      <w:bookmarkStart w:id="40" w:name="_Toc15377214"/>
      <w:bookmarkStart w:id="41"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40"/>
      <w:bookmarkEnd w:id="41"/>
      <w:r>
        <w:rPr>
          <w:rStyle w:val="25"/>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8年一般公共预算财政拨款基本支出</w:t>
      </w:r>
      <w:r>
        <w:rPr>
          <w:rFonts w:hint="eastAsia" w:ascii="仿宋" w:hAnsi="仿宋" w:eastAsia="仿宋"/>
          <w:color w:val="000000"/>
          <w:sz w:val="32"/>
          <w:szCs w:val="32"/>
          <w:lang w:val="en-US" w:eastAsia="zh-CN"/>
        </w:rPr>
        <w:t>198</w:t>
      </w:r>
      <w:r>
        <w:rPr>
          <w:rFonts w:hint="eastAsia" w:ascii="仿宋" w:hAnsi="仿宋" w:eastAsia="仿宋"/>
          <w:color w:val="000000"/>
          <w:sz w:val="32"/>
          <w:szCs w:val="32"/>
        </w:rPr>
        <w:t>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172.63</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公用经费</w:t>
      </w:r>
      <w:r>
        <w:rPr>
          <w:rFonts w:hint="eastAsia" w:ascii="仿宋" w:hAnsi="仿宋" w:eastAsia="仿宋"/>
          <w:color w:val="000000"/>
          <w:sz w:val="32"/>
          <w:szCs w:val="32"/>
          <w:lang w:val="en-US" w:eastAsia="zh-CN"/>
        </w:rPr>
        <w:t>25.38</w:t>
      </w:r>
      <w:r>
        <w:rPr>
          <w:rFonts w:hint="eastAsia" w:ascii="仿宋" w:hAnsi="仿宋" w:eastAsia="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5"/>
          <w:rFonts w:ascii="黑体" w:hAnsi="黑体" w:eastAsia="黑体"/>
          <w:b w:val="0"/>
        </w:rPr>
      </w:pPr>
      <w:bookmarkStart w:id="42" w:name="_Toc15377215"/>
      <w:bookmarkStart w:id="43" w:name="_Toc15396609"/>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b/>
          <w:color w:val="000000" w:themeColor="text1"/>
          <w:sz w:val="32"/>
          <w:szCs w:val="32"/>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8年“三公”经费财政拨款支出决算为</w:t>
      </w:r>
      <w:r>
        <w:rPr>
          <w:rFonts w:hint="eastAsia" w:ascii="仿宋" w:hAnsi="仿宋" w:eastAsia="仿宋"/>
          <w:color w:val="000000"/>
          <w:sz w:val="32"/>
          <w:szCs w:val="32"/>
          <w:lang w:val="en-US" w:eastAsia="zh-CN"/>
        </w:rPr>
        <w:t>0.96</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，决算数与预算数持平。</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hint="eastAsia"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8年“三公”经费财政拨款支出决算中，因公出国（境）费支出决算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0.96</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drawing>
          <wp:anchor distT="0" distB="0" distL="114300" distR="114300" simplePos="0" relativeHeight="251664384" behindDoc="1" locked="0" layoutInCell="1" allowOverlap="1">
            <wp:simplePos x="0" y="0"/>
            <wp:positionH relativeFrom="column">
              <wp:posOffset>896620</wp:posOffset>
            </wp:positionH>
            <wp:positionV relativeFrom="paragraph">
              <wp:posOffset>47625</wp:posOffset>
            </wp:positionV>
            <wp:extent cx="3251835" cy="1582420"/>
            <wp:effectExtent l="4445" t="4445" r="20320" b="13335"/>
            <wp:wrapTight wrapText="bothSides">
              <wp:wrapPolygon>
                <wp:start x="-30" y="-61"/>
                <wp:lineTo x="-30" y="21522"/>
                <wp:lineTo x="21482" y="21522"/>
                <wp:lineTo x="21482" y="-61"/>
                <wp:lineTo x="-30" y="-61"/>
              </wp:wrapPolygon>
            </wp:wrapTight>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spacing w:line="600" w:lineRule="exact"/>
        <w:rPr>
          <w:rFonts w:hint="eastAsia" w:ascii="仿宋" w:hAnsi="仿宋" w:eastAsia="仿宋"/>
          <w:color w:val="000000"/>
          <w:sz w:val="32"/>
          <w:szCs w:val="32"/>
        </w:rPr>
      </w:pP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（图8：“三公”经费财政拨款支出结构）</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lang w:val="en-US" w:eastAsia="zh-CN"/>
        </w:rPr>
        <w:t>0.96</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w:t>
      </w:r>
      <w:r>
        <w:rPr>
          <w:rFonts w:hint="eastAsia" w:ascii="仿宋_GB2312" w:eastAsia="仿宋_GB2312"/>
          <w:color w:val="000000"/>
          <w:sz w:val="32"/>
          <w:szCs w:val="32"/>
          <w:lang w:eastAsia="zh-CN"/>
        </w:rPr>
        <w:t>与</w:t>
      </w:r>
      <w:r>
        <w:rPr>
          <w:rFonts w:ascii="仿宋_GB2312" w:eastAsia="仿宋_GB2312"/>
          <w:color w:val="000000"/>
          <w:sz w:val="32"/>
          <w:szCs w:val="32"/>
        </w:rPr>
        <w:t>201</w:t>
      </w:r>
      <w:r>
        <w:rPr>
          <w:rFonts w:hint="eastAsia" w:ascii="仿宋_GB2312" w:eastAsia="仿宋_GB2312"/>
          <w:color w:val="000000"/>
          <w:sz w:val="32"/>
          <w:szCs w:val="32"/>
        </w:rPr>
        <w:t>7年减少</w:t>
      </w:r>
      <w:r>
        <w:rPr>
          <w:rFonts w:hint="eastAsia" w:ascii="仿宋_GB2312" w:eastAsia="仿宋_GB2312"/>
          <w:color w:val="000000"/>
          <w:sz w:val="32"/>
          <w:szCs w:val="32"/>
          <w:lang w:val="en-US" w:eastAsia="zh-CN"/>
        </w:rPr>
        <w:t>0.01</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1</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_GB2312" w:eastAsia="仿宋_GB2312"/>
          <w:color w:val="000000"/>
          <w:sz w:val="32"/>
          <w:szCs w:val="32"/>
          <w:lang w:eastAsia="zh-CN"/>
        </w:rPr>
        <w:t>公务接待减少</w:t>
      </w:r>
      <w:r>
        <w:rPr>
          <w:rFonts w:hint="eastAsia" w:ascii="仿宋_GB2312" w:eastAsia="仿宋_GB2312"/>
          <w:color w:val="000000"/>
          <w:sz w:val="32"/>
          <w:szCs w:val="32"/>
        </w:rPr>
        <w:t>。</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主要用于执行公务、开展业务活动开支的交通费、住宿费、用餐费等。国内公务接待</w:t>
      </w:r>
      <w:r>
        <w:rPr>
          <w:rFonts w:hint="eastAsia" w:ascii="仿宋_GB2312" w:eastAsia="仿宋_GB2312"/>
          <w:color w:val="000000"/>
          <w:sz w:val="32"/>
          <w:szCs w:val="32"/>
          <w:lang w:val="en-US" w:eastAsia="zh-CN"/>
        </w:rPr>
        <w:t>10</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112</w:t>
      </w:r>
      <w:r>
        <w:rPr>
          <w:rFonts w:hint="eastAsia" w:ascii="仿宋_GB2312" w:eastAsia="仿宋_GB2312"/>
          <w:color w:val="000000"/>
          <w:sz w:val="32"/>
          <w:szCs w:val="32"/>
        </w:rPr>
        <w:t>人次（不包括陪同人员），共计支出</w:t>
      </w:r>
      <w:r>
        <w:rPr>
          <w:rFonts w:hint="eastAsia" w:ascii="仿宋_GB2312" w:eastAsia="仿宋_GB2312"/>
          <w:color w:val="000000"/>
          <w:sz w:val="32"/>
          <w:szCs w:val="32"/>
          <w:lang w:val="en-US" w:eastAsia="zh-CN"/>
        </w:rPr>
        <w:t>0.96</w:t>
      </w:r>
      <w:r>
        <w:rPr>
          <w:rFonts w:hint="eastAsia" w:ascii="仿宋_GB2312" w:eastAsia="仿宋_GB2312"/>
          <w:color w:val="000000"/>
          <w:sz w:val="32"/>
          <w:szCs w:val="32"/>
        </w:rPr>
        <w:t>万元，具体内容包括：</w:t>
      </w:r>
      <w:r>
        <w:rPr>
          <w:rFonts w:hint="eastAsia" w:ascii="仿宋_GB2312" w:eastAsia="仿宋_GB2312"/>
          <w:color w:val="000000"/>
          <w:sz w:val="32"/>
          <w:szCs w:val="32"/>
          <w:lang w:eastAsia="zh-CN"/>
        </w:rPr>
        <w:t>市级以上部门检查我区网格化及人民满意度窗口建设和外县区考察学习</w:t>
      </w:r>
      <w:r>
        <w:rPr>
          <w:rFonts w:hint="eastAsia" w:ascii="仿宋_GB2312" w:eastAsia="仿宋_GB2312"/>
          <w:color w:val="000000"/>
          <w:sz w:val="32"/>
          <w:szCs w:val="32"/>
        </w:rPr>
        <w:t>。其中：</w:t>
      </w:r>
    </w:p>
    <w:p>
      <w:pPr>
        <w:spacing w:line="600" w:lineRule="exact"/>
        <w:ind w:firstLine="640"/>
        <w:rPr>
          <w:rFonts w:hint="eastAsia" w:ascii="黑体" w:eastAsia="黑体"/>
          <w:color w:val="000000"/>
          <w:sz w:val="32"/>
          <w:szCs w:val="32"/>
        </w:rPr>
      </w:pPr>
      <w:r>
        <w:rPr>
          <w:rFonts w:hint="eastAsia" w:ascii="仿宋" w:hAnsi="仿宋" w:eastAsia="仿宋"/>
          <w:b/>
          <w:color w:val="000000"/>
          <w:sz w:val="32"/>
          <w:szCs w:val="32"/>
        </w:rPr>
        <w:t>其他国内公务接待支出</w:t>
      </w:r>
      <w:r>
        <w:rPr>
          <w:rFonts w:hint="eastAsia" w:ascii="仿宋" w:hAnsi="仿宋" w:eastAsia="仿宋"/>
          <w:color w:val="000000"/>
          <w:sz w:val="32"/>
          <w:szCs w:val="32"/>
          <w:lang w:val="en-US" w:eastAsia="zh-CN"/>
        </w:rPr>
        <w:t>0.96</w:t>
      </w:r>
      <w:r>
        <w:rPr>
          <w:rFonts w:hint="eastAsia" w:ascii="仿宋_GB2312" w:eastAsia="仿宋_GB2312"/>
          <w:color w:val="000000"/>
          <w:sz w:val="32"/>
          <w:szCs w:val="32"/>
        </w:rPr>
        <w:t>万元，主要用于</w:t>
      </w:r>
      <w:r>
        <w:rPr>
          <w:rFonts w:hint="eastAsia" w:ascii="仿宋_GB2312" w:eastAsia="仿宋_GB2312"/>
          <w:color w:val="000000"/>
          <w:sz w:val="32"/>
          <w:szCs w:val="32"/>
          <w:lang w:eastAsia="zh-CN"/>
        </w:rPr>
        <w:t>市级以上部门检查我区网格化及人民满意度窗口建设和外县区考察学习公务接待</w:t>
      </w:r>
      <w:r>
        <w:rPr>
          <w:rFonts w:hint="eastAsia" w:ascii="仿宋_GB2312" w:eastAsia="仿宋_GB2312"/>
          <w:color w:val="000000"/>
          <w:sz w:val="32"/>
          <w:szCs w:val="32"/>
        </w:rPr>
        <w:t>。</w:t>
      </w:r>
      <w:bookmarkStart w:id="46" w:name="_Toc15377218"/>
      <w:bookmarkStart w:id="47" w:name="_Toc15396610"/>
    </w:p>
    <w:p>
      <w:pPr>
        <w:spacing w:line="600" w:lineRule="exact"/>
        <w:ind w:firstLine="640"/>
        <w:outlineLvl w:val="1"/>
        <w:rPr>
          <w:rStyle w:val="25"/>
          <w:rFonts w:ascii="黑体" w:hAnsi="黑体" w:eastAsia="黑体"/>
        </w:rPr>
      </w:pPr>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8年政府性基金预算拨款支出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numPr>
          <w:ilvl w:val="0"/>
          <w:numId w:val="2"/>
        </w:numPr>
        <w:spacing w:line="600" w:lineRule="exact"/>
        <w:ind w:firstLine="640"/>
        <w:outlineLvl w:val="1"/>
        <w:rPr>
          <w:rStyle w:val="25"/>
          <w:rFonts w:ascii="黑体" w:hAnsi="黑体" w:eastAsia="黑体"/>
          <w:b w:val="0"/>
        </w:rPr>
      </w:pPr>
      <w:bookmarkStart w:id="48" w:name="_Toc15396611"/>
      <w:bookmarkStart w:id="49" w:name="_Toc15377219"/>
      <w:r>
        <w:rPr>
          <w:rStyle w:val="25"/>
          <w:rFonts w:hint="eastAsia" w:ascii="黑体" w:hAnsi="黑体" w:eastAsia="黑体"/>
          <w:b w:val="0"/>
        </w:rPr>
        <w:t>国有资本经营预算支出决算情况说明</w:t>
      </w:r>
      <w:bookmarkEnd w:id="48"/>
      <w:bookmarkEnd w:id="49"/>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pStyle w:val="23"/>
        <w:numPr>
          <w:ilvl w:val="0"/>
          <w:numId w:val="3"/>
        </w:numPr>
        <w:spacing w:line="580" w:lineRule="exact"/>
        <w:ind w:firstLineChars="0"/>
        <w:rPr>
          <w:rStyle w:val="25"/>
          <w:rFonts w:ascii="黑体" w:hAnsi="黑体" w:eastAsia="黑体"/>
          <w:b w:val="0"/>
        </w:rPr>
      </w:pPr>
      <w:r>
        <w:rPr>
          <w:rStyle w:val="25"/>
          <w:rFonts w:hint="eastAsia" w:ascii="黑体" w:hAnsi="黑体" w:eastAsia="黑体"/>
          <w:b w:val="0"/>
        </w:rPr>
        <w:t>预算绩效情况说明</w:t>
      </w:r>
    </w:p>
    <w:p>
      <w:pPr>
        <w:numPr>
          <w:ilvl w:val="0"/>
          <w:numId w:val="4"/>
        </w:numPr>
        <w:spacing w:line="580" w:lineRule="exact"/>
        <w:ind w:firstLine="642"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项目开展了预算事前绩效评估，对</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个项目开展了绩效目标完成情况梳理填报。</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本部门按要求对2018年部门整体支出开展绩效自评，从评价情况来看</w:t>
      </w:r>
      <w:r>
        <w:rPr>
          <w:rFonts w:hint="eastAsia" w:ascii="仿宋_GB2312" w:hAnsi="仿宋_GB2312" w:eastAsia="仿宋_GB2312" w:cs="仿宋_GB2312"/>
          <w:sz w:val="32"/>
          <w:szCs w:val="32"/>
          <w:lang w:eastAsia="zh-CN"/>
        </w:rPr>
        <w:t>整体绩效完成较好，全区层面达到了重大信访问题处理及时、重点群体及重点事项保持稳定，保障了全区各项重点工作有序开展和社会稳定</w:t>
      </w:r>
      <w:r>
        <w:rPr>
          <w:rFonts w:hint="eastAsia" w:ascii="仿宋_GB2312" w:hAnsi="仿宋_GB2312" w:eastAsia="仿宋_GB2312" w:cs="仿宋_GB2312"/>
          <w:sz w:val="32"/>
          <w:szCs w:val="32"/>
        </w:rPr>
        <w:t>。本部门还自行组织了</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个项目绩效评价，从评价情况来看这</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个项目都已圆满完成，</w:t>
      </w:r>
      <w:r>
        <w:rPr>
          <w:rFonts w:hint="eastAsia" w:ascii="仿宋_GB2312" w:hAnsi="仿宋_GB2312" w:eastAsia="仿宋_GB2312" w:cs="仿宋_GB2312"/>
          <w:sz w:val="32"/>
          <w:szCs w:val="32"/>
          <w:lang w:eastAsia="zh-CN"/>
        </w:rPr>
        <w:t>达到预期目标</w:t>
      </w:r>
      <w:r>
        <w:rPr>
          <w:rFonts w:hint="eastAsia" w:ascii="仿宋_GB2312" w:hAnsi="仿宋_GB2312" w:eastAsia="仿宋_GB2312" w:cs="仿宋_GB2312"/>
          <w:sz w:val="32"/>
          <w:szCs w:val="32"/>
        </w:rPr>
        <w:t>。</w:t>
      </w:r>
    </w:p>
    <w:p>
      <w:pPr>
        <w:numPr>
          <w:ilvl w:val="0"/>
          <w:numId w:val="4"/>
        </w:numPr>
        <w:spacing w:line="580" w:lineRule="exact"/>
        <w:ind w:firstLine="642" w:firstLineChars="200"/>
        <w:rPr>
          <w:rFonts w:ascii="仿宋_GB2312" w:hAnsi="仿宋_GB2312" w:eastAsia="仿宋_GB2312" w:cs="仿宋_GB2312"/>
          <w:sz w:val="32"/>
          <w:szCs w:val="32"/>
        </w:rPr>
      </w:pPr>
      <w:r>
        <w:rPr>
          <w:rFonts w:hint="eastAsia" w:ascii="仿宋" w:hAnsi="仿宋" w:eastAsia="仿宋" w:cs="楷体_GB2312"/>
          <w:b/>
          <w:bCs/>
          <w:sz w:val="32"/>
          <w:szCs w:val="32"/>
        </w:rPr>
        <w:t>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本部门在2018年度部门决算中反映“</w:t>
      </w:r>
      <w:r>
        <w:rPr>
          <w:rFonts w:hint="eastAsia" w:ascii="仿宋_GB2312" w:hAnsi="仿宋_GB2312" w:eastAsia="仿宋_GB2312" w:cs="仿宋_GB2312"/>
          <w:sz w:val="32"/>
          <w:szCs w:val="32"/>
          <w:lang w:eastAsia="zh-CN"/>
        </w:rPr>
        <w:t>群众工作专项经费</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“投融资理财群体工作经费专项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个项目绩效目标实际完成情况。</w:t>
      </w:r>
    </w:p>
    <w:p>
      <w:pPr>
        <w:numPr>
          <w:ilvl w:val="0"/>
          <w:numId w:val="5"/>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群众工作专项经费</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%。通过项目实施，保障</w:t>
      </w:r>
      <w:r>
        <w:rPr>
          <w:rFonts w:hint="eastAsia" w:ascii="仿宋_GB2312" w:hAnsi="仿宋_GB2312" w:eastAsia="仿宋_GB2312" w:cs="仿宋_GB2312"/>
          <w:sz w:val="32"/>
          <w:szCs w:val="32"/>
          <w:lang w:eastAsia="zh-CN"/>
        </w:rPr>
        <w:t>了全区群众信访工作的有序开展，</w:t>
      </w:r>
      <w:r>
        <w:rPr>
          <w:rFonts w:hint="eastAsia" w:ascii="仿宋_GB2312" w:hAnsi="仿宋_GB2312" w:eastAsia="仿宋_GB2312" w:cs="仿宋_GB2312"/>
          <w:sz w:val="32"/>
          <w:szCs w:val="32"/>
        </w:rPr>
        <w:t>全面贯彻党的十九大及省、市、区全会精神，积极适应社会主要矛盾的新变化，聚力聚焦摘掉贫困帽、建成核心区、挺进三十强“三项重点工作”，坚持以人民为中心的工作理念，以社会治理创新为动力，以依法及时就地解决群众合理诉求为目标，坚定不移推进信访工作制度改革和信访法治化建设，持续打造阳光信访、责任信访、法治信访，</w:t>
      </w:r>
      <w:r>
        <w:rPr>
          <w:rFonts w:hint="eastAsia" w:ascii="仿宋_GB2312" w:hAnsi="仿宋" w:eastAsia="仿宋_GB2312" w:cs="仿宋"/>
          <w:sz w:val="32"/>
          <w:szCs w:val="32"/>
        </w:rPr>
        <w:t>为促进全区经济发展、民生改善、社会和谐稳定做出了积极贡献。</w:t>
      </w:r>
      <w:r>
        <w:rPr>
          <w:rFonts w:hint="eastAsia" w:ascii="仿宋_GB2312" w:hAnsi="仿宋_GB2312" w:eastAsia="仿宋_GB2312" w:cs="仿宋_GB2312"/>
          <w:sz w:val="32"/>
          <w:szCs w:val="32"/>
        </w:rPr>
        <w:t>发现的主要问题：</w:t>
      </w:r>
      <w:r>
        <w:rPr>
          <w:rFonts w:hint="eastAsia" w:ascii="仿宋_GB2312" w:hAnsi="仿宋_GB2312" w:eastAsia="仿宋_GB2312" w:cs="仿宋_GB2312"/>
          <w:sz w:val="32"/>
          <w:szCs w:val="32"/>
          <w:lang w:eastAsia="zh-CN"/>
        </w:rPr>
        <w:t>经费申报使用过程中，资金拨付不及时</w:t>
      </w:r>
      <w:r>
        <w:rPr>
          <w:rFonts w:hint="eastAsia" w:ascii="仿宋_GB2312" w:hAnsi="仿宋_GB2312" w:eastAsia="仿宋_GB2312" w:cs="仿宋_GB2312"/>
          <w:sz w:val="32"/>
          <w:szCs w:val="32"/>
        </w:rPr>
        <w:t>。下一步改进措施：</w:t>
      </w:r>
      <w:r>
        <w:rPr>
          <w:rFonts w:hint="eastAsia" w:ascii="仿宋_GB2312" w:hAnsi="仿宋_GB2312" w:eastAsia="仿宋_GB2312" w:cs="仿宋_GB2312"/>
          <w:sz w:val="32"/>
          <w:szCs w:val="32"/>
          <w:lang w:eastAsia="zh-CN"/>
        </w:rPr>
        <w:t>进一步加强项目资金管理，进一步提高资金使用效率，及时申报拨付专项资金。</w:t>
      </w:r>
    </w:p>
    <w:p>
      <w:pPr>
        <w:numPr>
          <w:ilvl w:val="0"/>
          <w:numId w:val="5"/>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投融资理财群体工作经费专项</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24.95</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83.17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剩余</w:t>
      </w:r>
      <w:r>
        <w:rPr>
          <w:rFonts w:hint="eastAsia" w:ascii="仿宋_GB2312" w:hAnsi="仿宋_GB2312" w:eastAsia="仿宋_GB2312" w:cs="仿宋_GB2312"/>
          <w:sz w:val="32"/>
          <w:szCs w:val="32"/>
          <w:lang w:val="en-US" w:eastAsia="zh-CN"/>
        </w:rPr>
        <w:t>5.05万元将继续实施。</w:t>
      </w:r>
      <w:r>
        <w:rPr>
          <w:rFonts w:hint="eastAsia" w:ascii="仿宋_GB2312" w:hAnsi="仿宋_GB2312" w:eastAsia="仿宋_GB2312" w:cs="仿宋_GB2312"/>
          <w:sz w:val="32"/>
          <w:szCs w:val="32"/>
        </w:rPr>
        <w:t>通过项目实施，保障了</w:t>
      </w:r>
      <w:r>
        <w:rPr>
          <w:rFonts w:hint="eastAsia" w:ascii="仿宋_GB2312" w:hAnsi="仿宋_GB2312" w:eastAsia="仿宋_GB2312" w:cs="仿宋_GB2312"/>
          <w:sz w:val="32"/>
          <w:szCs w:val="32"/>
          <w:lang w:eastAsia="zh-CN"/>
        </w:rPr>
        <w:t>投融资理财工作需要</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救助了全市范围内的</w:t>
      </w:r>
      <w:r>
        <w:rPr>
          <w:rFonts w:hint="eastAsia" w:ascii="仿宋_GB2312" w:hAnsi="仿宋_GB2312" w:eastAsia="仿宋_GB2312" w:cs="仿宋_GB2312"/>
          <w:sz w:val="32"/>
          <w:szCs w:val="32"/>
          <w:lang w:val="en-US" w:eastAsia="zh-CN"/>
        </w:rPr>
        <w:t>100多名困难群众。</w:t>
      </w:r>
      <w:r>
        <w:rPr>
          <w:rFonts w:hint="eastAsia" w:ascii="仿宋_GB2312" w:hAnsi="仿宋_GB2312" w:eastAsia="仿宋_GB2312" w:cs="仿宋_GB2312"/>
          <w:sz w:val="32"/>
          <w:szCs w:val="32"/>
        </w:rPr>
        <w:t>发现的主要问题：</w:t>
      </w:r>
      <w:r>
        <w:rPr>
          <w:rFonts w:hint="eastAsia" w:ascii="仿宋_GB2312" w:hAnsi="仿宋_GB2312" w:eastAsia="仿宋_GB2312" w:cs="仿宋_GB2312"/>
          <w:sz w:val="32"/>
          <w:szCs w:val="32"/>
          <w:lang w:eastAsia="zh-CN"/>
        </w:rPr>
        <w:t>专项工作经费使用管理有待加强</w:t>
      </w:r>
      <w:r>
        <w:rPr>
          <w:rFonts w:hint="eastAsia" w:ascii="仿宋_GB2312" w:hAnsi="仿宋_GB2312" w:eastAsia="仿宋_GB2312" w:cs="仿宋_GB2312"/>
          <w:sz w:val="32"/>
          <w:szCs w:val="32"/>
        </w:rPr>
        <w:t>。下一步改进措施：</w:t>
      </w:r>
      <w:r>
        <w:rPr>
          <w:rFonts w:hint="eastAsia" w:ascii="仿宋_GB2312" w:hAnsi="仿宋_GB2312" w:eastAsia="仿宋_GB2312" w:cs="仿宋_GB2312"/>
          <w:sz w:val="32"/>
          <w:szCs w:val="32"/>
          <w:lang w:eastAsia="zh-CN"/>
        </w:rPr>
        <w:t>进一步完善专项资金管理使用制度，严格执行资金申报审批制度，保障投融资理财群体稳定。</w:t>
      </w: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3"/>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lang w:bidi="ar"/>
              </w:rPr>
              <w:t>项目支出绩效目标完成情况表</w:t>
            </w:r>
            <w:r>
              <w:rPr>
                <w:rFonts w:hint="eastAsia" w:ascii="宋体" w:hAnsi="宋体" w:cs="宋体"/>
                <w:b/>
                <w:bCs/>
                <w:color w:val="000000"/>
                <w:kern w:val="0"/>
                <w:sz w:val="36"/>
                <w:szCs w:val="36"/>
                <w:lang w:bidi="ar"/>
              </w:rPr>
              <w:br w:type="textWrapping"/>
            </w:r>
            <w:r>
              <w:rPr>
                <w:rFonts w:hint="eastAsia" w:ascii="宋体" w:hAnsi="宋体" w:cs="宋体"/>
                <w:color w:val="000000"/>
                <w:kern w:val="0"/>
                <w:sz w:val="36"/>
                <w:szCs w:val="36"/>
                <w:lang w:bidi="ar"/>
              </w:rPr>
              <w:t>(2018 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仿宋_GB2312" w:hAnsi="仿宋_GB2312" w:eastAsia="仿宋_GB2312" w:cs="仿宋_GB2312"/>
                <w:sz w:val="32"/>
                <w:szCs w:val="32"/>
                <w:lang w:eastAsia="zh-CN"/>
              </w:rPr>
              <w:t>群众工作专项</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中共广元市利州区委群众工作局</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10万元</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10万元</w:t>
            </w:r>
          </w:p>
        </w:tc>
      </w:tr>
      <w:tr>
        <w:tblPrEx>
          <w:tblCellMar>
            <w:top w:w="0" w:type="dxa"/>
            <w:left w:w="0" w:type="dxa"/>
            <w:bottom w:w="0" w:type="dxa"/>
            <w:right w:w="0" w:type="dxa"/>
          </w:tblCellMar>
        </w:tblPrEx>
        <w:trPr>
          <w:trHeight w:val="1394"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p>
          <w:p>
            <w:pPr>
              <w:widowControl/>
              <w:jc w:val="center"/>
              <w:textAlignment w:val="center"/>
              <w:rPr>
                <w:rFonts w:ascii="宋体" w:hAnsi="宋体" w:cs="宋体"/>
                <w:color w:val="000000"/>
                <w:sz w:val="24"/>
              </w:rPr>
            </w:pPr>
            <w:r>
              <w:rPr>
                <w:rFonts w:hint="eastAsia" w:ascii="仿宋_GB2312" w:hAnsi="仿宋_GB2312" w:eastAsia="仿宋_GB2312" w:cs="仿宋_GB2312"/>
                <w:sz w:val="24"/>
                <w:szCs w:val="24"/>
              </w:rPr>
              <w:t>以社会治理创新为动力，以依法及时就地解决群众合理诉求为目标，坚定不移推进信访工作制度改革和信访法治化建设，持续打造阳光信访、责任信访、法治信访</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仿宋_GB2312" w:hAnsi="仿宋_GB2312" w:eastAsia="仿宋_GB2312" w:cs="仿宋_GB2312"/>
                <w:sz w:val="24"/>
                <w:szCs w:val="24"/>
              </w:rPr>
              <w:t>以社会治理创新为动力，以依法及时就地解决群众合理诉求为目标，坚定不移推进信访工作制度改革和信访法治化建设，持续打造阳光信访、责任信访、法治信访，</w:t>
            </w:r>
            <w:r>
              <w:rPr>
                <w:rFonts w:hint="eastAsia" w:ascii="仿宋_GB2312" w:hAnsi="仿宋" w:eastAsia="仿宋_GB2312" w:cs="仿宋"/>
                <w:sz w:val="24"/>
                <w:szCs w:val="24"/>
              </w:rPr>
              <w:t>促进全区经济发展、民生改善、社会和谐稳定</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全区各项</w:t>
            </w:r>
            <w:r>
              <w:rPr>
                <w:rFonts w:hint="eastAsia" w:ascii="宋体" w:hAnsi="宋体" w:cs="宋体"/>
                <w:color w:val="000000"/>
                <w:sz w:val="24"/>
                <w:lang w:eastAsia="zh-CN"/>
              </w:rPr>
              <w:t>群众信访工作</w:t>
            </w:r>
            <w:r>
              <w:rPr>
                <w:rFonts w:hint="eastAsia" w:ascii="宋体" w:hAnsi="宋体" w:cs="宋体"/>
                <w:color w:val="000000"/>
                <w:sz w:val="24"/>
              </w:rPr>
              <w:t>正常进行</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保障重点敏感时段、节点群众工作顺利开展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cs="宋体"/>
                <w:color w:val="000000"/>
                <w:sz w:val="24"/>
                <w:lang w:val="en-US"/>
              </w:rPr>
            </w:pPr>
            <w:r>
              <w:rPr>
                <w:rFonts w:hint="eastAsia" w:ascii="宋体" w:hAnsi="宋体" w:cs="宋体"/>
                <w:color w:val="000000"/>
                <w:sz w:val="24"/>
                <w:lang w:eastAsia="zh-CN"/>
              </w:rPr>
              <w:t>全年派驻到省、驻京参加日常值班</w:t>
            </w:r>
            <w:r>
              <w:rPr>
                <w:rFonts w:hint="eastAsia" w:ascii="宋体" w:hAnsi="宋体" w:cs="宋体"/>
                <w:color w:val="000000"/>
                <w:sz w:val="24"/>
                <w:lang w:val="en-US" w:eastAsia="zh-CN"/>
              </w:rPr>
              <w:t>20余人次</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可持续影响</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abs>
                <w:tab w:val="left" w:pos="533"/>
              </w:tabs>
              <w:jc w:val="left"/>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持续有效指导全区群众信访工作有序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保障社会稳定、和谐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高质量完成国务院大督查、脱贫攻坚省级考核、文明城市创建暗访等重大活动稳定有序</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bl>
    <w:p>
      <w:pPr>
        <w:numPr>
          <w:ilvl w:val="0"/>
          <w:numId w:val="0"/>
        </w:numPr>
        <w:spacing w:line="580" w:lineRule="exact"/>
        <w:rPr>
          <w:rFonts w:ascii="仿宋_GB2312" w:hAnsi="仿宋_GB2312" w:eastAsia="仿宋_GB2312" w:cs="仿宋_GB2312"/>
          <w:sz w:val="32"/>
          <w:szCs w:val="32"/>
        </w:rPr>
      </w:pP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3"/>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lang w:bidi="ar"/>
              </w:rPr>
              <w:t>项目支出绩效目标完成情况表</w:t>
            </w:r>
            <w:r>
              <w:rPr>
                <w:rFonts w:hint="eastAsia" w:ascii="宋体" w:hAnsi="宋体" w:cs="宋体"/>
                <w:b/>
                <w:bCs/>
                <w:color w:val="000000"/>
                <w:kern w:val="0"/>
                <w:sz w:val="36"/>
                <w:szCs w:val="36"/>
                <w:lang w:bidi="ar"/>
              </w:rPr>
              <w:br w:type="textWrapping"/>
            </w:r>
            <w:r>
              <w:rPr>
                <w:rFonts w:hint="eastAsia" w:ascii="宋体" w:hAnsi="宋体" w:cs="宋体"/>
                <w:color w:val="000000"/>
                <w:kern w:val="0"/>
                <w:sz w:val="36"/>
                <w:szCs w:val="36"/>
                <w:lang w:bidi="ar"/>
              </w:rPr>
              <w:t>(2018 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投融资理财群体工作经费专项</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中共广元市利州区委群众工作局</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30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24.95</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30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24.95</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保障投融资理财工作顺利进行，维护社会稳定，救助困难群众</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保障全市范围内投融资理财处置工作顺利推进，救助困难群众</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仿宋_GB2312" w:hAnsi="仿宋_GB2312" w:eastAsia="仿宋_GB2312" w:cs="仿宋_GB2312"/>
                <w:sz w:val="24"/>
                <w:szCs w:val="24"/>
              </w:rPr>
              <w:t>保障了</w:t>
            </w:r>
            <w:r>
              <w:rPr>
                <w:rFonts w:hint="eastAsia" w:ascii="仿宋_GB2312" w:hAnsi="仿宋_GB2312" w:eastAsia="仿宋_GB2312" w:cs="仿宋_GB2312"/>
                <w:sz w:val="24"/>
                <w:szCs w:val="24"/>
                <w:lang w:eastAsia="zh-CN"/>
              </w:rPr>
              <w:t>投融资理财工作需要</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保障处置工作顺利推进</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完成各类处置宣传工作</w:t>
            </w:r>
            <w:r>
              <w:rPr>
                <w:rFonts w:hint="eastAsia" w:ascii="宋体" w:hAnsi="宋体" w:cs="宋体"/>
                <w:color w:val="000000"/>
                <w:sz w:val="24"/>
                <w:lang w:val="en-US" w:eastAsia="zh-CN"/>
              </w:rPr>
              <w:t>20余次</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可持续影响</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保障投融资理财困难群体救助到位</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投融资理财领域困难群众安全过春节</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完成全市范围内投融资理财领域困难群体救助</w:t>
            </w:r>
            <w:r>
              <w:rPr>
                <w:rFonts w:hint="eastAsia" w:ascii="宋体" w:hAnsi="宋体" w:cs="宋体"/>
                <w:color w:val="000000"/>
                <w:sz w:val="24"/>
                <w:lang w:val="en-US" w:eastAsia="zh-CN"/>
              </w:rPr>
              <w:t>100余人次</w:t>
            </w: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bl>
    <w:p>
      <w:pPr>
        <w:rPr>
          <w:rFonts w:ascii="Calibri" w:hAnsi="Calibri"/>
        </w:rPr>
      </w:pPr>
    </w:p>
    <w:p>
      <w:pPr>
        <w:spacing w:line="580" w:lineRule="exact"/>
        <w:rPr>
          <w:rFonts w:ascii="仿宋_GB2312" w:hAnsi="仿宋_GB2312" w:eastAsia="仿宋_GB2312" w:cs="仿宋_GB2312"/>
          <w:sz w:val="32"/>
          <w:szCs w:val="32"/>
        </w:rPr>
      </w:pPr>
    </w:p>
    <w:p>
      <w:pPr>
        <w:numPr>
          <w:ilvl w:val="0"/>
          <w:numId w:val="4"/>
        </w:numPr>
        <w:spacing w:line="580" w:lineRule="exact"/>
        <w:ind w:firstLine="642" w:firstLineChars="200"/>
        <w:rPr>
          <w:rFonts w:ascii="仿宋" w:hAnsi="仿宋" w:eastAsia="仿宋" w:cs="仿宋_GB2312"/>
          <w:sz w:val="32"/>
          <w:szCs w:val="32"/>
        </w:rPr>
      </w:pPr>
      <w:r>
        <w:rPr>
          <w:rFonts w:hint="eastAsia" w:ascii="仿宋" w:hAnsi="仿宋" w:eastAsia="仿宋" w:cs="楷体_GB2312"/>
          <w:b/>
          <w:bCs/>
          <w:sz w:val="32"/>
          <w:szCs w:val="32"/>
        </w:rPr>
        <w:t>部门开展绩效评价结果。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本部门按要求对2018年部门整体支出绩效评价情况开展自评，《</w:t>
      </w:r>
      <w:r>
        <w:rPr>
          <w:rFonts w:hint="eastAsia" w:ascii="仿宋_GB2312" w:hAnsi="仿宋_GB2312" w:eastAsia="仿宋_GB2312" w:cs="仿宋_GB2312"/>
          <w:sz w:val="32"/>
          <w:szCs w:val="32"/>
          <w:lang w:eastAsia="zh-CN"/>
        </w:rPr>
        <w:t>区委群工局</w:t>
      </w:r>
      <w:r>
        <w:rPr>
          <w:rFonts w:hint="eastAsia" w:ascii="仿宋_GB2312" w:hAnsi="仿宋_GB2312" w:eastAsia="仿宋_GB2312" w:cs="仿宋_GB2312"/>
          <w:sz w:val="32"/>
          <w:szCs w:val="32"/>
        </w:rPr>
        <w:t>2018年部门整体支出绩效评价报告》见附件。</w:t>
      </w:r>
    </w:p>
    <w:p>
      <w:pPr>
        <w:spacing w:line="580" w:lineRule="exact"/>
        <w:ind w:firstLine="640" w:firstLineChars="200"/>
        <w:rPr>
          <w:rFonts w:ascii="方正小标宋简体" w:hAnsi="方正小标宋简体" w:eastAsia="方正小标宋简体" w:cs="方正小标宋简体"/>
          <w:sz w:val="44"/>
          <w:szCs w:val="44"/>
        </w:rPr>
      </w:pPr>
      <w:r>
        <w:rPr>
          <w:rFonts w:hint="eastAsia" w:ascii="仿宋_GB2312" w:hAnsi="仿宋_GB2312" w:eastAsia="仿宋_GB2312" w:cs="仿宋_GB2312"/>
          <w:sz w:val="32"/>
          <w:szCs w:val="32"/>
        </w:rPr>
        <w:t>本部门自行组织对“</w:t>
      </w:r>
      <w:r>
        <w:rPr>
          <w:rFonts w:hint="eastAsia" w:ascii="仿宋_GB2312" w:hAnsi="仿宋_GB2312" w:eastAsia="仿宋_GB2312" w:cs="仿宋_GB2312"/>
          <w:sz w:val="32"/>
          <w:szCs w:val="32"/>
          <w:lang w:eastAsia="zh-CN"/>
        </w:rPr>
        <w:t>群众工作专项</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“投融资理财群体工作专项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开展了绩效评价，《</w:t>
      </w:r>
      <w:r>
        <w:rPr>
          <w:rFonts w:hint="eastAsia" w:ascii="仿宋_GB2312" w:hAnsi="仿宋_GB2312" w:eastAsia="仿宋_GB2312" w:cs="仿宋_GB2312"/>
          <w:sz w:val="32"/>
          <w:szCs w:val="32"/>
          <w:lang w:eastAsia="zh-CN"/>
        </w:rPr>
        <w:t>区委群工局群众工作专项</w:t>
      </w:r>
      <w:r>
        <w:rPr>
          <w:rFonts w:hint="eastAsia" w:ascii="仿宋_GB2312" w:hAnsi="仿宋_GB2312" w:eastAsia="仿宋_GB2312" w:cs="仿宋_GB2312"/>
          <w:sz w:val="32"/>
          <w:szCs w:val="32"/>
        </w:rPr>
        <w:t>项目2018年绩效评价报告》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区委群工局投融资理财群体工作专项</w:t>
      </w:r>
      <w:r>
        <w:rPr>
          <w:rFonts w:hint="eastAsia" w:ascii="仿宋_GB2312" w:hAnsi="仿宋_GB2312" w:eastAsia="仿宋_GB2312" w:cs="仿宋_GB2312"/>
          <w:sz w:val="32"/>
          <w:szCs w:val="32"/>
        </w:rPr>
        <w:t>项目2018年绩效评价报告》见附件。</w:t>
      </w:r>
    </w:p>
    <w:p>
      <w:pPr>
        <w:spacing w:line="600" w:lineRule="exact"/>
        <w:ind w:firstLine="800" w:firstLineChars="250"/>
        <w:outlineLvl w:val="1"/>
        <w:rPr>
          <w:rStyle w:val="25"/>
          <w:rFonts w:ascii="黑体" w:hAnsi="黑体" w:eastAsia="黑体"/>
        </w:rPr>
      </w:pPr>
      <w:bookmarkStart w:id="50" w:name="_Toc15396612"/>
      <w:bookmarkStart w:id="51" w:name="_Toc15377221"/>
      <w:r>
        <w:rPr>
          <w:rFonts w:hint="eastAsia" w:ascii="黑体" w:hAnsi="黑体" w:eastAsia="黑体"/>
          <w:color w:val="000000"/>
          <w:sz w:val="32"/>
          <w:szCs w:val="32"/>
        </w:rPr>
        <w:t>十</w:t>
      </w:r>
      <w:r>
        <w:rPr>
          <w:rStyle w:val="25"/>
          <w:rFonts w:hint="eastAsia" w:ascii="黑体" w:hAnsi="黑体" w:eastAsia="黑体"/>
        </w:rPr>
        <w:t>一、</w:t>
      </w:r>
      <w:r>
        <w:rPr>
          <w:rStyle w:val="25"/>
          <w:rFonts w:hint="eastAsia" w:ascii="黑体" w:hAnsi="黑体" w:eastAsia="黑体"/>
          <w:b w:val="0"/>
        </w:rPr>
        <w:t>其他重要事项的情况说明</w:t>
      </w:r>
      <w:bookmarkEnd w:id="50"/>
      <w:bookmarkEnd w:id="51"/>
    </w:p>
    <w:p>
      <w:pPr>
        <w:spacing w:line="600" w:lineRule="exact"/>
        <w:ind w:firstLine="642"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spacing w:line="600" w:lineRule="exact"/>
        <w:ind w:firstLine="640" w:firstLineChars="200"/>
        <w:rPr>
          <w:rFonts w:hint="eastAsia" w:ascii="仿宋_GB2312" w:eastAsia="仿宋_GB2312"/>
          <w:color w:val="000000" w:themeColor="text1"/>
          <w:sz w:val="32"/>
          <w:szCs w:val="32"/>
          <w:lang w:eastAsia="zh-CN"/>
          <w14:textFill>
            <w14:solidFill>
              <w14:schemeClr w14:val="tx1"/>
            </w14:solidFill>
          </w14:textFill>
        </w:rPr>
      </w:pPr>
      <w:r>
        <w:rPr>
          <w:rFonts w:ascii="仿宋_GB2312" w:eastAsia="仿宋_GB2312"/>
          <w:color w:val="000000"/>
          <w:sz w:val="32"/>
          <w:szCs w:val="32"/>
        </w:rPr>
        <w:t>201</w:t>
      </w:r>
      <w:r>
        <w:rPr>
          <w:rFonts w:hint="eastAsia" w:ascii="仿宋_GB2312" w:eastAsia="仿宋_GB2312"/>
          <w:color w:val="000000"/>
          <w:sz w:val="32"/>
          <w:szCs w:val="32"/>
        </w:rPr>
        <w:t>8年，</w:t>
      </w:r>
      <w:r>
        <w:rPr>
          <w:rFonts w:hint="eastAsia" w:ascii="仿宋_GB2312" w:eastAsia="仿宋_GB2312"/>
          <w:color w:val="000000"/>
          <w:sz w:val="32"/>
          <w:szCs w:val="32"/>
          <w:lang w:eastAsia="zh-CN"/>
        </w:rPr>
        <w:t>区委群众工作局</w:t>
      </w:r>
      <w:r>
        <w:rPr>
          <w:rFonts w:hint="eastAsia" w:ascii="仿宋_GB2312" w:eastAsia="仿宋_GB2312"/>
          <w:color w:val="000000"/>
          <w:sz w:val="32"/>
          <w:szCs w:val="32"/>
        </w:rPr>
        <w:t>机关运行经费支出</w:t>
      </w:r>
      <w:r>
        <w:rPr>
          <w:rFonts w:hint="eastAsia" w:ascii="仿宋_GB2312" w:eastAsia="仿宋_GB2312"/>
          <w:color w:val="000000"/>
          <w:sz w:val="32"/>
          <w:szCs w:val="32"/>
          <w:lang w:val="en-US" w:eastAsia="zh-CN"/>
        </w:rPr>
        <w:t>25.38</w:t>
      </w:r>
      <w:r>
        <w:rPr>
          <w:rFonts w:hint="eastAsia" w:ascii="仿宋_GB2312" w:eastAsia="仿宋_GB2312"/>
          <w:color w:val="000000"/>
          <w:sz w:val="32"/>
          <w:szCs w:val="32"/>
        </w:rPr>
        <w:t>万元，比</w:t>
      </w:r>
      <w:r>
        <w:rPr>
          <w:rFonts w:ascii="仿宋_GB2312" w:eastAsia="仿宋_GB2312"/>
          <w:color w:val="000000"/>
          <w:sz w:val="32"/>
          <w:szCs w:val="32"/>
        </w:rPr>
        <w:t>201</w:t>
      </w:r>
      <w:r>
        <w:rPr>
          <w:rFonts w:hint="eastAsia" w:ascii="仿宋_GB2312" w:eastAsia="仿宋_GB2312"/>
          <w:color w:val="000000"/>
          <w:sz w:val="32"/>
          <w:szCs w:val="32"/>
        </w:rPr>
        <w:t>7年减少</w:t>
      </w:r>
      <w:r>
        <w:rPr>
          <w:rFonts w:hint="eastAsia" w:ascii="仿宋_GB2312" w:eastAsia="仿宋_GB2312"/>
          <w:color w:val="000000"/>
          <w:sz w:val="32"/>
          <w:szCs w:val="32"/>
          <w:lang w:val="en-US" w:eastAsia="zh-CN"/>
        </w:rPr>
        <w:t>21.02</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45.3</w:t>
      </w:r>
      <w:r>
        <w:rPr>
          <w:rFonts w:ascii="仿宋_GB2312" w:eastAsia="仿宋_GB2312"/>
          <w:color w:val="000000"/>
          <w:sz w:val="32"/>
          <w:szCs w:val="32"/>
        </w:rPr>
        <w:t>%</w:t>
      </w:r>
      <w:r>
        <w:rPr>
          <w:rFonts w:hint="eastAsia" w:ascii="仿宋_GB2312" w:eastAsia="仿宋_GB2312"/>
          <w:color w:val="000000"/>
          <w:sz w:val="32"/>
          <w:szCs w:val="32"/>
        </w:rPr>
        <w:t>。</w:t>
      </w:r>
      <w:r>
        <w:rPr>
          <w:rFonts w:hint="eastAsia" w:ascii="仿宋_GB2312" w:eastAsia="仿宋_GB2312"/>
          <w:color w:val="000000" w:themeColor="text1"/>
          <w:sz w:val="32"/>
          <w:szCs w:val="32"/>
          <w14:textFill>
            <w14:solidFill>
              <w14:schemeClr w14:val="tx1"/>
            </w14:solidFill>
          </w14:textFill>
        </w:rPr>
        <w:t>主要原因是</w:t>
      </w:r>
      <w:r>
        <w:rPr>
          <w:rFonts w:hint="eastAsia" w:ascii="仿宋_GB2312" w:eastAsia="仿宋_GB2312"/>
          <w:color w:val="000000" w:themeColor="text1"/>
          <w:sz w:val="32"/>
          <w:szCs w:val="32"/>
          <w:lang w:eastAsia="zh-CN"/>
          <w14:textFill>
            <w14:solidFill>
              <w14:schemeClr w14:val="tx1"/>
            </w14:solidFill>
          </w14:textFill>
        </w:rPr>
        <w:t>机关办公室搬迁结束后，办公设备采购减少。</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pPr>
        <w:autoSpaceDE w:val="0"/>
        <w:autoSpaceDN w:val="0"/>
        <w:adjustRightInd w:val="0"/>
        <w:spacing w:line="600" w:lineRule="exact"/>
        <w:ind w:firstLine="640" w:firstLineChars="200"/>
        <w:jc w:val="left"/>
        <w:outlineLvl w:val="2"/>
        <w:rPr>
          <w:rFonts w:ascii="仿宋" w:hAnsi="仿宋" w:eastAsia="仿宋"/>
          <w:b/>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w:t>
      </w:r>
      <w:r>
        <w:rPr>
          <w:rFonts w:hint="eastAsia" w:ascii="仿宋_GB2312" w:eastAsia="仿宋_GB2312"/>
          <w:color w:val="000000"/>
          <w:sz w:val="32"/>
          <w:szCs w:val="32"/>
          <w:lang w:eastAsia="zh-CN"/>
        </w:rPr>
        <w:t>区委群众工作局</w:t>
      </w:r>
      <w:r>
        <w:rPr>
          <w:rFonts w:hint="eastAsia" w:ascii="仿宋_GB2312" w:eastAsia="仿宋_GB2312"/>
          <w:color w:val="000000"/>
          <w:sz w:val="32"/>
          <w:szCs w:val="32"/>
        </w:rPr>
        <w:t>政府采购支出总额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万元，其中：政府采购货物支出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万元、政府采购工程支出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万元、政府采购服务支出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lang w:eastAsia="zh-CN"/>
        </w:rPr>
        <w:t>区委群众工作局</w:t>
      </w:r>
      <w:r>
        <w:rPr>
          <w:rFonts w:hint="eastAsia" w:ascii="仿宋_GB2312" w:eastAsia="仿宋_GB2312"/>
          <w:color w:val="000000"/>
          <w:sz w:val="32"/>
          <w:szCs w:val="32"/>
        </w:rPr>
        <w:t>共有车辆</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r>
        <w:rPr>
          <w:rFonts w:hint="eastAsia" w:ascii="仿宋_GB2312" w:eastAsia="仿宋_GB2312"/>
          <w:color w:val="000000" w:themeColor="text1"/>
          <w:sz w:val="32"/>
          <w:szCs w:val="32"/>
          <w14:textFill>
            <w14:solidFill>
              <w14:schemeClr w14:val="tx1"/>
            </w14:solidFill>
          </w14:textFill>
        </w:rPr>
        <w:t>单价</w:t>
      </w:r>
      <w:r>
        <w:rPr>
          <w:rFonts w:ascii="仿宋_GB2312" w:eastAsia="仿宋_GB2312"/>
          <w:color w:val="000000" w:themeColor="text1"/>
          <w:sz w:val="32"/>
          <w:szCs w:val="32"/>
          <w14:textFill>
            <w14:solidFill>
              <w14:schemeClr w14:val="tx1"/>
            </w14:solidFill>
          </w14:textFill>
        </w:rPr>
        <w:t>50</w:t>
      </w:r>
      <w:r>
        <w:rPr>
          <w:rFonts w:hint="eastAsia" w:ascii="仿宋_GB2312" w:eastAsia="仿宋_GB2312"/>
          <w:color w:val="000000" w:themeColor="text1"/>
          <w:sz w:val="32"/>
          <w:szCs w:val="32"/>
          <w14:textFill>
            <w14:solidFill>
              <w14:schemeClr w14:val="tx1"/>
            </w14:solidFill>
          </w14:textFill>
        </w:rPr>
        <w:t>万元以上通用设备</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台（套），单价</w:t>
      </w:r>
      <w:r>
        <w:rPr>
          <w:rFonts w:ascii="仿宋_GB2312" w:eastAsia="仿宋_GB2312"/>
          <w:color w:val="000000" w:themeColor="text1"/>
          <w:sz w:val="32"/>
          <w:szCs w:val="32"/>
          <w14:textFill>
            <w14:solidFill>
              <w14:schemeClr w14:val="tx1"/>
            </w14:solidFill>
          </w14:textFill>
        </w:rPr>
        <w:t>100</w:t>
      </w:r>
      <w:r>
        <w:rPr>
          <w:rFonts w:hint="eastAsia" w:ascii="仿宋_GB2312" w:eastAsia="仿宋_GB2312"/>
          <w:color w:val="000000"/>
          <w:sz w:val="32"/>
          <w:szCs w:val="32"/>
        </w:rPr>
        <w:t>万元以上专用设备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p>
    <w:p>
      <w:pPr>
        <w:spacing w:line="600" w:lineRule="atLeast"/>
        <w:ind w:firstLine="642" w:firstLineChars="200"/>
        <w:rPr>
          <w:rFonts w:ascii="仿宋_GB2312" w:eastAsia="仿宋_GB2312"/>
          <w:b/>
          <w:color w:val="000000"/>
          <w:sz w:val="32"/>
          <w:szCs w:val="32"/>
        </w:rPr>
      </w:pP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6"/>
        </w:numPr>
        <w:spacing w:line="600" w:lineRule="exact"/>
        <w:ind w:firstLine="662" w:firstLineChars="150"/>
        <w:jc w:val="center"/>
        <w:outlineLvl w:val="0"/>
        <w:rPr>
          <w:rStyle w:val="24"/>
          <w:rFonts w:ascii="黑体" w:hAnsi="黑体" w:eastAsia="黑体"/>
          <w:b w:val="0"/>
        </w:rPr>
      </w:pPr>
      <w:bookmarkStart w:id="55" w:name="_Toc15377225"/>
      <w:bookmarkStart w:id="56" w:name="_Toc15396613"/>
      <w:r>
        <w:rPr>
          <w:rFonts w:hint="eastAsia" w:ascii="黑体" w:hAnsi="黑体" w:eastAsia="黑体"/>
          <w:b/>
          <w:color w:val="000000"/>
          <w:sz w:val="44"/>
          <w:szCs w:val="44"/>
        </w:rPr>
        <w:t>名</w:t>
      </w:r>
      <w:r>
        <w:rPr>
          <w:rStyle w:val="24"/>
          <w:rFonts w:hint="eastAsia" w:ascii="黑体" w:hAnsi="黑体" w:eastAsia="黑体"/>
          <w:b w:val="0"/>
        </w:rPr>
        <w:t>词解释</w:t>
      </w:r>
      <w:bookmarkEnd w:id="55"/>
      <w:bookmarkEnd w:id="56"/>
    </w:p>
    <w:p>
      <w:pPr>
        <w:spacing w:line="600" w:lineRule="exact"/>
        <w:jc w:val="left"/>
        <w:rPr>
          <w:rFonts w:ascii="宋体"/>
          <w:b/>
          <w:color w:val="000000"/>
          <w:sz w:val="44"/>
          <w:szCs w:val="44"/>
        </w:rPr>
      </w:pPr>
    </w:p>
    <w:p>
      <w:pPr>
        <w:pStyle w:val="22"/>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2</w:t>
      </w:r>
      <w:r>
        <w:rPr>
          <w:rFonts w:ascii="仿宋_GB2312" w:eastAsia="仿宋_GB2312"/>
          <w:sz w:val="32"/>
          <w:szCs w:val="32"/>
        </w:rPr>
        <w:t>.</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、年末结转和结余：指单位按有关规定结转到下年或以后年度继续使用的资金。</w:t>
      </w:r>
    </w:p>
    <w:p>
      <w:pPr>
        <w:ind w:firstLine="640" w:firstLineChars="200"/>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4</w:t>
      </w:r>
      <w:r>
        <w:rPr>
          <w:rFonts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一般公共服务</w:t>
      </w:r>
      <w:r>
        <w:rPr>
          <w:rFonts w:hint="eastAsia" w:ascii="仿宋_GB2312" w:eastAsia="仿宋_GB2312"/>
          <w:color w:val="000000" w:themeColor="text1"/>
          <w:sz w:val="32"/>
          <w:szCs w:val="32"/>
          <w:highlight w:val="none"/>
          <w:lang w:val="en-US" w:eastAsia="zh-CN"/>
          <w14:textFill>
            <w14:solidFill>
              <w14:schemeClr w14:val="tx1"/>
            </w14:solidFill>
          </w14:textFill>
        </w:rPr>
        <w:t>2010301</w:t>
      </w:r>
      <w:r>
        <w:rPr>
          <w:rFonts w:hint="eastAsia" w:ascii="仿宋_GB2312" w:eastAsia="仿宋_GB2312"/>
          <w:color w:val="000000" w:themeColor="text1"/>
          <w:sz w:val="32"/>
          <w:szCs w:val="32"/>
          <w:highlight w:val="none"/>
          <w14:textFill>
            <w14:solidFill>
              <w14:schemeClr w14:val="tx1"/>
            </w14:solidFill>
          </w14:textFill>
        </w:rPr>
        <w:t>：指</w:t>
      </w:r>
      <w:r>
        <w:rPr>
          <w:rFonts w:hint="eastAsia" w:ascii="仿宋_GB2312" w:eastAsia="仿宋_GB2312"/>
          <w:color w:val="000000" w:themeColor="text1"/>
          <w:sz w:val="32"/>
          <w:szCs w:val="32"/>
          <w:highlight w:val="none"/>
          <w:lang w:eastAsia="zh-CN"/>
          <w14:textFill>
            <w14:solidFill>
              <w14:schemeClr w14:val="tx1"/>
            </w14:solidFill>
          </w14:textFill>
        </w:rPr>
        <w:t>机关行政运行经费</w:t>
      </w:r>
      <w:r>
        <w:rPr>
          <w:rFonts w:hint="eastAsia" w:ascii="仿宋_GB2312" w:eastAsia="仿宋_GB2312"/>
          <w:color w:val="000000" w:themeColor="text1"/>
          <w:sz w:val="32"/>
          <w:szCs w:val="32"/>
          <w:highlight w:val="none"/>
          <w14:textFill>
            <w14:solidFill>
              <w14:schemeClr w14:val="tx1"/>
            </w14:solidFill>
          </w14:textFill>
        </w:rPr>
        <w:t>。</w:t>
      </w:r>
    </w:p>
    <w:p>
      <w:pPr>
        <w:ind w:firstLine="640" w:firstLineChars="200"/>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5.</w:t>
      </w:r>
      <w:r>
        <w:rPr>
          <w:rFonts w:hint="eastAsia" w:ascii="仿宋_GB2312" w:eastAsia="仿宋_GB2312"/>
          <w:color w:val="000000" w:themeColor="text1"/>
          <w:sz w:val="32"/>
          <w:szCs w:val="32"/>
          <w:highlight w:val="none"/>
          <w14:textFill>
            <w14:solidFill>
              <w14:schemeClr w14:val="tx1"/>
            </w14:solidFill>
          </w14:textFill>
        </w:rPr>
        <w:t>一般公共服务</w:t>
      </w:r>
      <w:r>
        <w:rPr>
          <w:rFonts w:hint="eastAsia" w:ascii="仿宋_GB2312" w:eastAsia="仿宋_GB2312"/>
          <w:color w:val="000000" w:themeColor="text1"/>
          <w:sz w:val="32"/>
          <w:szCs w:val="32"/>
          <w:highlight w:val="none"/>
          <w:lang w:val="en-US" w:eastAsia="zh-CN"/>
          <w14:textFill>
            <w14:solidFill>
              <w14:schemeClr w14:val="tx1"/>
            </w14:solidFill>
          </w14:textFill>
        </w:rPr>
        <w:t>2010302</w:t>
      </w:r>
      <w:r>
        <w:rPr>
          <w:rFonts w:hint="eastAsia" w:ascii="仿宋_GB2312" w:eastAsia="仿宋_GB2312"/>
          <w:color w:val="000000" w:themeColor="text1"/>
          <w:sz w:val="32"/>
          <w:szCs w:val="32"/>
          <w:highlight w:val="none"/>
          <w14:textFill>
            <w14:solidFill>
              <w14:schemeClr w14:val="tx1"/>
            </w14:solidFill>
          </w14:textFill>
        </w:rPr>
        <w:t>：指</w:t>
      </w:r>
      <w:r>
        <w:rPr>
          <w:rFonts w:hint="eastAsia" w:ascii="仿宋_GB2312" w:eastAsia="仿宋_GB2312"/>
          <w:color w:val="000000" w:themeColor="text1"/>
          <w:sz w:val="32"/>
          <w:szCs w:val="32"/>
          <w:highlight w:val="none"/>
          <w:lang w:eastAsia="zh-CN"/>
          <w14:textFill>
            <w14:solidFill>
              <w14:schemeClr w14:val="tx1"/>
            </w14:solidFill>
          </w14:textFill>
        </w:rPr>
        <w:t>一般行政管理事务</w:t>
      </w:r>
      <w:r>
        <w:rPr>
          <w:rFonts w:hint="eastAsia" w:ascii="仿宋_GB2312" w:eastAsia="仿宋_GB2312"/>
          <w:color w:val="000000" w:themeColor="text1"/>
          <w:sz w:val="32"/>
          <w:szCs w:val="32"/>
          <w:highlight w:val="none"/>
          <w14:textFill>
            <w14:solidFill>
              <w14:schemeClr w14:val="tx1"/>
            </w14:solidFill>
          </w14:textFill>
        </w:rPr>
        <w:t>。</w:t>
      </w:r>
    </w:p>
    <w:p>
      <w:pPr>
        <w:ind w:firstLine="640" w:firstLineChars="200"/>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6.</w:t>
      </w:r>
      <w:r>
        <w:rPr>
          <w:rFonts w:hint="eastAsia" w:ascii="仿宋_GB2312" w:eastAsia="仿宋_GB2312"/>
          <w:color w:val="000000" w:themeColor="text1"/>
          <w:sz w:val="32"/>
          <w:szCs w:val="32"/>
          <w:highlight w:val="none"/>
          <w14:textFill>
            <w14:solidFill>
              <w14:schemeClr w14:val="tx1"/>
            </w14:solidFill>
          </w14:textFill>
        </w:rPr>
        <w:t>一般公共服务</w:t>
      </w:r>
      <w:r>
        <w:rPr>
          <w:rFonts w:hint="eastAsia" w:ascii="仿宋_GB2312" w:eastAsia="仿宋_GB2312"/>
          <w:color w:val="000000" w:themeColor="text1"/>
          <w:sz w:val="32"/>
          <w:szCs w:val="32"/>
          <w:highlight w:val="none"/>
          <w:lang w:val="en-US" w:eastAsia="zh-CN"/>
          <w14:textFill>
            <w14:solidFill>
              <w14:schemeClr w14:val="tx1"/>
            </w14:solidFill>
          </w14:textFill>
        </w:rPr>
        <w:t>2010699</w:t>
      </w:r>
      <w:r>
        <w:rPr>
          <w:rFonts w:hint="eastAsia" w:ascii="仿宋_GB2312" w:eastAsia="仿宋_GB2312"/>
          <w:color w:val="000000" w:themeColor="text1"/>
          <w:sz w:val="32"/>
          <w:szCs w:val="32"/>
          <w:highlight w:val="none"/>
          <w14:textFill>
            <w14:solidFill>
              <w14:schemeClr w14:val="tx1"/>
            </w14:solidFill>
          </w14:textFill>
        </w:rPr>
        <w:t>：指</w:t>
      </w:r>
      <w:r>
        <w:rPr>
          <w:rFonts w:hint="eastAsia" w:ascii="仿宋_GB2312" w:eastAsia="仿宋_GB2312"/>
          <w:color w:val="000000" w:themeColor="text1"/>
          <w:sz w:val="32"/>
          <w:szCs w:val="32"/>
          <w:highlight w:val="none"/>
          <w:lang w:eastAsia="zh-CN"/>
          <w14:textFill>
            <w14:solidFill>
              <w14:schemeClr w14:val="tx1"/>
            </w14:solidFill>
          </w14:textFill>
        </w:rPr>
        <w:t>其他财政事务</w:t>
      </w:r>
      <w:r>
        <w:rPr>
          <w:rFonts w:hint="eastAsia" w:ascii="仿宋_GB2312" w:eastAsia="仿宋_GB2312"/>
          <w:color w:val="000000" w:themeColor="text1"/>
          <w:sz w:val="32"/>
          <w:szCs w:val="32"/>
          <w:highlight w:val="none"/>
          <w14:textFill>
            <w14:solidFill>
              <w14:schemeClr w14:val="tx1"/>
            </w14:solidFill>
          </w14:textFill>
        </w:rPr>
        <w:t>。</w:t>
      </w:r>
    </w:p>
    <w:p>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7</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社会保障和就业</w:t>
      </w:r>
      <w:r>
        <w:rPr>
          <w:rFonts w:hint="eastAsia" w:ascii="仿宋_GB2312" w:eastAsia="仿宋_GB2312"/>
          <w:color w:val="000000" w:themeColor="text1"/>
          <w:sz w:val="32"/>
          <w:szCs w:val="32"/>
          <w:lang w:val="en-US" w:eastAsia="zh-CN"/>
          <w14:textFill>
            <w14:solidFill>
              <w14:schemeClr w14:val="tx1"/>
            </w14:solidFill>
          </w14:textFill>
        </w:rPr>
        <w:t>20805</w:t>
      </w:r>
      <w:r>
        <w:rPr>
          <w:rFonts w:hint="eastAsia" w:ascii="仿宋_GB2312" w:eastAsia="仿宋_GB2312"/>
          <w:color w:val="000000" w:themeColor="text1"/>
          <w:sz w:val="32"/>
          <w:szCs w:val="32"/>
          <w14:textFill>
            <w14:solidFill>
              <w14:schemeClr w14:val="tx1"/>
            </w14:solidFill>
          </w14:textFill>
        </w:rPr>
        <w:t>：指</w:t>
      </w:r>
      <w:r>
        <w:rPr>
          <w:rFonts w:hint="eastAsia" w:ascii="仿宋_GB2312" w:eastAsia="仿宋_GB2312"/>
          <w:color w:val="000000" w:themeColor="text1"/>
          <w:sz w:val="32"/>
          <w:szCs w:val="32"/>
          <w:lang w:eastAsia="zh-CN"/>
          <w14:textFill>
            <w14:solidFill>
              <w14:schemeClr w14:val="tx1"/>
            </w14:solidFill>
          </w14:textFill>
        </w:rPr>
        <w:t>机关事业单位养老保险及职业年金</w:t>
      </w:r>
      <w:r>
        <w:rPr>
          <w:rFonts w:hint="eastAsia" w:ascii="仿宋_GB2312" w:eastAsia="仿宋_GB2312"/>
          <w:color w:val="000000" w:themeColor="text1"/>
          <w:sz w:val="32"/>
          <w:szCs w:val="32"/>
          <w14:textFill>
            <w14:solidFill>
              <w14:schemeClr w14:val="tx1"/>
            </w14:solidFill>
          </w14:textFill>
        </w:rPr>
        <w:t>。</w:t>
      </w:r>
    </w:p>
    <w:p>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8</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医疗卫生与计划生育</w:t>
      </w:r>
      <w:r>
        <w:rPr>
          <w:rFonts w:hint="eastAsia" w:ascii="仿宋_GB2312" w:eastAsia="仿宋_GB2312"/>
          <w:color w:val="000000" w:themeColor="text1"/>
          <w:sz w:val="32"/>
          <w:szCs w:val="32"/>
          <w:lang w:val="en-US" w:eastAsia="zh-CN"/>
          <w14:textFill>
            <w14:solidFill>
              <w14:schemeClr w14:val="tx1"/>
            </w14:solidFill>
          </w14:textFill>
        </w:rPr>
        <w:t>2101101</w:t>
      </w:r>
      <w:r>
        <w:rPr>
          <w:rFonts w:hint="eastAsia" w:ascii="仿宋_GB2312" w:eastAsia="仿宋_GB2312"/>
          <w:color w:val="000000" w:themeColor="text1"/>
          <w:sz w:val="32"/>
          <w:szCs w:val="32"/>
          <w14:textFill>
            <w14:solidFill>
              <w14:schemeClr w14:val="tx1"/>
            </w14:solidFill>
          </w14:textFill>
        </w:rPr>
        <w:t>：指</w:t>
      </w:r>
      <w:r>
        <w:rPr>
          <w:rFonts w:hint="eastAsia" w:ascii="仿宋_GB2312" w:eastAsia="仿宋_GB2312"/>
          <w:color w:val="000000" w:themeColor="text1"/>
          <w:sz w:val="32"/>
          <w:szCs w:val="32"/>
          <w:lang w:eastAsia="zh-CN"/>
          <w14:textFill>
            <w14:solidFill>
              <w14:schemeClr w14:val="tx1"/>
            </w14:solidFill>
          </w14:textFill>
        </w:rPr>
        <w:t>行政单位医疗</w:t>
      </w:r>
      <w:r>
        <w:rPr>
          <w:rFonts w:hint="eastAsia" w:ascii="仿宋_GB2312" w:eastAsia="仿宋_GB2312"/>
          <w:color w:val="000000" w:themeColor="text1"/>
          <w:sz w:val="32"/>
          <w:szCs w:val="32"/>
          <w14:textFill>
            <w14:solidFill>
              <w14:schemeClr w14:val="tx1"/>
            </w14:solidFill>
          </w14:textFill>
        </w:rPr>
        <w:t>。</w:t>
      </w:r>
    </w:p>
    <w:p>
      <w:pPr>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9</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农林水</w:t>
      </w:r>
      <w:r>
        <w:rPr>
          <w:rFonts w:hint="eastAsia" w:ascii="仿宋_GB2312" w:eastAsia="仿宋_GB2312"/>
          <w:color w:val="000000" w:themeColor="text1"/>
          <w:sz w:val="32"/>
          <w:szCs w:val="32"/>
          <w:lang w:val="en-US" w:eastAsia="zh-CN"/>
          <w14:textFill>
            <w14:solidFill>
              <w14:schemeClr w14:val="tx1"/>
            </w14:solidFill>
          </w14:textFill>
        </w:rPr>
        <w:t>2130599</w:t>
      </w:r>
      <w:r>
        <w:rPr>
          <w:rFonts w:hint="eastAsia" w:ascii="仿宋_GB2312" w:eastAsia="仿宋_GB2312"/>
          <w:color w:val="000000" w:themeColor="text1"/>
          <w:sz w:val="32"/>
          <w:szCs w:val="32"/>
          <w14:textFill>
            <w14:solidFill>
              <w14:schemeClr w14:val="tx1"/>
            </w14:solidFill>
          </w14:textFill>
        </w:rPr>
        <w:t>：指</w:t>
      </w:r>
      <w:r>
        <w:rPr>
          <w:rFonts w:hint="eastAsia" w:ascii="仿宋_GB2312" w:eastAsia="仿宋_GB2312"/>
          <w:color w:val="000000" w:themeColor="text1"/>
          <w:sz w:val="32"/>
          <w:szCs w:val="32"/>
          <w:lang w:eastAsia="zh-CN"/>
          <w14:textFill>
            <w14:solidFill>
              <w14:schemeClr w14:val="tx1"/>
            </w14:solidFill>
          </w14:textFill>
        </w:rPr>
        <w:t>扶贫帮扶第一书记经费</w:t>
      </w:r>
      <w:r>
        <w:rPr>
          <w:rFonts w:hint="eastAsia" w:ascii="仿宋_GB2312" w:eastAsia="仿宋_GB2312"/>
          <w:color w:val="000000" w:themeColor="text1"/>
          <w:sz w:val="32"/>
          <w:szCs w:val="32"/>
          <w14:textFill>
            <w14:solidFill>
              <w14:schemeClr w14:val="tx1"/>
            </w14:solidFill>
          </w14:textFill>
        </w:rPr>
        <w:t>。</w:t>
      </w:r>
    </w:p>
    <w:p>
      <w:pPr>
        <w:ind w:firstLine="640" w:firstLineChars="200"/>
        <w:rPr>
          <w:rFonts w:hint="default"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10.住房保障2210201：指住房公积金。</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11</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12</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13</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14</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24"/>
          <w:rFonts w:ascii="黑体" w:hAnsi="黑体" w:eastAsia="黑体"/>
          <w:b w:val="0"/>
        </w:rPr>
      </w:pPr>
      <w:bookmarkStart w:id="57" w:name="_Toc15377226"/>
      <w:r>
        <w:rPr>
          <w:rFonts w:ascii="宋体"/>
          <w:b/>
          <w:color w:val="000000"/>
          <w:sz w:val="44"/>
          <w:szCs w:val="44"/>
        </w:rPr>
        <w:br w:type="page"/>
      </w:r>
      <w:bookmarkStart w:id="58" w:name="_Toc15396614"/>
      <w:r>
        <w:rPr>
          <w:rFonts w:hint="eastAsia" w:ascii="黑体" w:hAnsi="黑体" w:eastAsia="黑体"/>
          <w:color w:val="000000"/>
          <w:sz w:val="44"/>
          <w:szCs w:val="44"/>
        </w:rPr>
        <w:t>第</w:t>
      </w:r>
      <w:r>
        <w:rPr>
          <w:rStyle w:val="24"/>
          <w:rFonts w:hint="eastAsia" w:ascii="黑体" w:hAnsi="黑体" w:eastAsia="黑体"/>
          <w:b w:val="0"/>
        </w:rPr>
        <w:t>四部分 附件</w:t>
      </w:r>
      <w:bookmarkEnd w:id="58"/>
    </w:p>
    <w:p>
      <w:pPr>
        <w:spacing w:line="600" w:lineRule="exact"/>
        <w:jc w:val="center"/>
        <w:outlineLvl w:val="0"/>
        <w:rPr>
          <w:rStyle w:val="24"/>
        </w:rPr>
      </w:pPr>
    </w:p>
    <w:p>
      <w:pPr>
        <w:pStyle w:val="3"/>
        <w:rPr>
          <w:rStyle w:val="24"/>
          <w:rFonts w:ascii="仿宋" w:hAnsi="仿宋" w:eastAsia="仿宋"/>
          <w:b w:val="0"/>
          <w:bCs w:val="0"/>
          <w:sz w:val="32"/>
          <w:szCs w:val="32"/>
        </w:rPr>
      </w:pPr>
      <w:bookmarkStart w:id="59" w:name="_Toc15396615"/>
      <w:r>
        <w:rPr>
          <w:rStyle w:val="24"/>
          <w:rFonts w:hint="eastAsia" w:ascii="仿宋" w:hAnsi="仿宋" w:eastAsia="仿宋"/>
          <w:b w:val="0"/>
          <w:bCs w:val="0"/>
          <w:sz w:val="32"/>
          <w:szCs w:val="32"/>
        </w:rPr>
        <w:t>附件1</w:t>
      </w:r>
      <w:bookmarkEnd w:id="59"/>
    </w:p>
    <w:p>
      <w:pPr>
        <w:spacing w:line="600" w:lineRule="exact"/>
        <w:jc w:val="center"/>
        <w:outlineLvl w:val="0"/>
        <w:rPr>
          <w:rFonts w:hint="eastAsia" w:ascii="黑体" w:hAnsi="黑体" w:eastAsia="黑体" w:cs="方正小标宋简体"/>
          <w:sz w:val="36"/>
          <w:szCs w:val="36"/>
          <w:lang w:eastAsia="zh-CN"/>
        </w:rPr>
      </w:pPr>
      <w:bookmarkStart w:id="60" w:name="_Toc15396616"/>
      <w:r>
        <w:rPr>
          <w:rFonts w:hint="eastAsia" w:ascii="黑体" w:hAnsi="黑体" w:eastAsia="黑体" w:cs="方正小标宋简体"/>
          <w:sz w:val="36"/>
          <w:szCs w:val="36"/>
          <w:lang w:eastAsia="zh-CN"/>
        </w:rPr>
        <w:t>中共广元市利州区委群众工作局</w:t>
      </w:r>
    </w:p>
    <w:p>
      <w:pPr>
        <w:spacing w:line="600" w:lineRule="exact"/>
        <w:jc w:val="center"/>
        <w:outlineLvl w:val="0"/>
        <w:rPr>
          <w:rFonts w:ascii="黑体" w:hAnsi="黑体" w:eastAsia="黑体" w:cs="方正小标宋简体"/>
          <w:sz w:val="36"/>
          <w:szCs w:val="36"/>
        </w:rPr>
      </w:pPr>
      <w:r>
        <w:rPr>
          <w:rFonts w:hint="eastAsia" w:ascii="黑体" w:hAnsi="黑体" w:eastAsia="黑体" w:cs="方正小标宋简体"/>
          <w:sz w:val="36"/>
          <w:szCs w:val="36"/>
        </w:rPr>
        <w:t>2018年部门整体支出绩效评价报告</w:t>
      </w:r>
      <w:bookmarkEnd w:id="60"/>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pPr>
        <w:ind w:firstLine="480" w:firstLineChars="150"/>
        <w:rPr>
          <w:rFonts w:ascii="仿宋" w:hAnsi="仿宋" w:eastAsia="仿宋" w:cs="仿宋_GB2312"/>
          <w:sz w:val="32"/>
          <w:szCs w:val="32"/>
        </w:rPr>
      </w:pPr>
      <w:r>
        <w:rPr>
          <w:rFonts w:ascii="仿宋" w:hAnsi="仿宋" w:eastAsia="仿宋" w:cs="仿宋_GB2312"/>
          <w:sz w:val="32"/>
          <w:szCs w:val="32"/>
        </w:rPr>
        <w:t>（一）机构组成。</w:t>
      </w:r>
    </w:p>
    <w:p>
      <w:pPr>
        <w:ind w:firstLine="480" w:firstLineChars="150"/>
        <w:rPr>
          <w:rFonts w:hint="eastAsia" w:ascii="仿宋" w:hAnsi="仿宋" w:eastAsia="仿宋" w:cs="Times New Roman"/>
          <w:color w:val="000000"/>
          <w:kern w:val="0"/>
          <w:sz w:val="32"/>
          <w:szCs w:val="32"/>
          <w:lang w:val="en-US" w:eastAsia="zh-CN" w:bidi="ar-SA"/>
        </w:rPr>
      </w:pPr>
      <w:r>
        <w:rPr>
          <w:rFonts w:hint="eastAsia" w:ascii="仿宋" w:hAnsi="仿宋" w:eastAsia="仿宋" w:cs="仿宋_GB2312"/>
          <w:sz w:val="32"/>
          <w:szCs w:val="32"/>
          <w:lang w:eastAsia="zh-CN"/>
        </w:rPr>
        <w:t>中共广元市利州区委群众工作局</w:t>
      </w:r>
      <w:r>
        <w:rPr>
          <w:rFonts w:hint="eastAsia" w:ascii="仿宋" w:hAnsi="仿宋" w:eastAsia="仿宋" w:cs="Times New Roman"/>
          <w:color w:val="000000"/>
          <w:kern w:val="0"/>
          <w:sz w:val="32"/>
          <w:szCs w:val="32"/>
          <w:lang w:val="en-US" w:eastAsia="zh-CN" w:bidi="ar-SA"/>
        </w:rPr>
        <w:t>领导职数配备局长1人，副局长2人，中心主任1人，班子成员共3人；内设机构为办公室、接访室、监查督办股、办信股、排查调处股、社情民意短信平台等6个部门。</w:t>
      </w:r>
    </w:p>
    <w:p>
      <w:pPr>
        <w:ind w:firstLine="640" w:firstLineChars="200"/>
        <w:rPr>
          <w:rFonts w:hint="eastAsia" w:ascii="仿宋" w:hAnsi="仿宋" w:eastAsia="仿宋"/>
          <w:sz w:val="32"/>
          <w:szCs w:val="32"/>
        </w:rPr>
      </w:pPr>
      <w:r>
        <w:rPr>
          <w:rFonts w:hint="eastAsia" w:ascii="仿宋" w:hAnsi="仿宋" w:eastAsia="仿宋"/>
          <w:sz w:val="32"/>
          <w:szCs w:val="32"/>
          <w:lang w:eastAsia="zh-CN"/>
        </w:rPr>
        <w:t>中共广元市利州区委群众工作局</w:t>
      </w:r>
      <w:r>
        <w:rPr>
          <w:rFonts w:hint="eastAsia" w:ascii="仿宋" w:hAnsi="仿宋" w:eastAsia="仿宋"/>
          <w:sz w:val="32"/>
          <w:szCs w:val="32"/>
        </w:rPr>
        <w:t>下属二级单位</w:t>
      </w:r>
      <w:r>
        <w:rPr>
          <w:rFonts w:hint="eastAsia" w:ascii="仿宋" w:hAnsi="仿宋" w:eastAsia="仿宋"/>
          <w:sz w:val="32"/>
          <w:szCs w:val="32"/>
          <w:lang w:val="en-US" w:eastAsia="zh-CN"/>
        </w:rPr>
        <w:t>0</w:t>
      </w:r>
      <w:r>
        <w:rPr>
          <w:rFonts w:hint="eastAsia" w:ascii="仿宋" w:hAnsi="仿宋" w:eastAsia="仿宋"/>
          <w:sz w:val="32"/>
          <w:szCs w:val="32"/>
        </w:rPr>
        <w:t>个，其他事业单位</w:t>
      </w:r>
      <w:r>
        <w:rPr>
          <w:rFonts w:hint="eastAsia" w:ascii="仿宋" w:hAnsi="仿宋" w:eastAsia="仿宋"/>
          <w:sz w:val="32"/>
          <w:szCs w:val="32"/>
          <w:lang w:val="en-US" w:eastAsia="zh-CN"/>
        </w:rPr>
        <w:t>1</w:t>
      </w:r>
      <w:r>
        <w:rPr>
          <w:rFonts w:hint="eastAsia" w:ascii="仿宋" w:hAnsi="仿宋" w:eastAsia="仿宋"/>
          <w:sz w:val="32"/>
          <w:szCs w:val="32"/>
        </w:rPr>
        <w:t>个。</w:t>
      </w:r>
    </w:p>
    <w:p>
      <w:pPr>
        <w:numPr>
          <w:ilvl w:val="0"/>
          <w:numId w:val="7"/>
        </w:numPr>
        <w:ind w:firstLine="320" w:firstLineChars="100"/>
        <w:rPr>
          <w:rFonts w:ascii="仿宋" w:hAnsi="仿宋" w:eastAsia="仿宋" w:cs="仿宋_GB2312"/>
          <w:sz w:val="32"/>
          <w:szCs w:val="32"/>
        </w:rPr>
      </w:pPr>
      <w:r>
        <w:rPr>
          <w:rFonts w:ascii="仿宋" w:hAnsi="仿宋" w:eastAsia="仿宋" w:cs="仿宋_GB2312"/>
          <w:sz w:val="32"/>
          <w:szCs w:val="32"/>
        </w:rPr>
        <w:t>机构职能。</w:t>
      </w:r>
    </w:p>
    <w:p>
      <w:pPr>
        <w:numPr>
          <w:ilvl w:val="0"/>
          <w:numId w:val="0"/>
        </w:numPr>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 xml:space="preserve">   </w:t>
      </w:r>
      <w:r>
        <w:rPr>
          <w:rFonts w:hint="eastAsia" w:ascii="仿宋" w:hAnsi="仿宋" w:eastAsia="仿宋" w:cs="Times New Roman"/>
          <w:color w:val="000000"/>
          <w:kern w:val="2"/>
          <w:sz w:val="32"/>
          <w:szCs w:val="32"/>
          <w:lang w:val="en-US" w:eastAsia="zh-CN" w:bidi="ar-SA"/>
        </w:rPr>
        <w:t>中共广元市利州区委群众工作局主要从事群众信访、维稳、矛盾纠纷排查调处等工作。</w:t>
      </w:r>
    </w:p>
    <w:p>
      <w:pPr>
        <w:numPr>
          <w:ilvl w:val="0"/>
          <w:numId w:val="0"/>
        </w:numPr>
        <w:ind w:firstLine="320" w:firstLineChars="100"/>
        <w:rPr>
          <w:rFonts w:ascii="仿宋" w:hAnsi="仿宋" w:eastAsia="仿宋" w:cs="仿宋_GB2312"/>
          <w:sz w:val="32"/>
          <w:szCs w:val="32"/>
        </w:rPr>
      </w:pPr>
      <w:r>
        <w:rPr>
          <w:rFonts w:ascii="仿宋" w:hAnsi="仿宋" w:eastAsia="仿宋" w:cs="仿宋_GB2312"/>
          <w:sz w:val="32"/>
          <w:szCs w:val="32"/>
        </w:rPr>
        <w:t>（三）人员概况。</w:t>
      </w:r>
    </w:p>
    <w:p>
      <w:pPr>
        <w:ind w:firstLine="480" w:firstLineChars="150"/>
        <w:rPr>
          <w:rFonts w:ascii="仿宋" w:hAnsi="仿宋" w:eastAsia="仿宋" w:cs="仿宋_GB2312"/>
          <w:sz w:val="32"/>
          <w:szCs w:val="32"/>
        </w:rPr>
      </w:pPr>
      <w:r>
        <w:rPr>
          <w:rFonts w:hint="eastAsia" w:ascii="仿宋" w:hAnsi="仿宋" w:eastAsia="仿宋" w:cs="Times New Roman"/>
          <w:color w:val="000000"/>
          <w:kern w:val="0"/>
          <w:sz w:val="32"/>
          <w:szCs w:val="32"/>
          <w:lang w:val="en-US" w:eastAsia="zh-CN" w:bidi="ar-SA"/>
        </w:rPr>
        <w:t>中共广元市利州区委群众工作局总编制14名，其中行政编制6名，事业管理编制7名，工勤人员编制1名。在职人员总数19人，其中正式人员14人（行政人员6人，事业人员7人，工勤人员1人，2018年调区委巡察办1人），社情民意短信平台临聘人员4名。退休人员1人。遗属补助人员2人。</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二、部门财政资金收支情况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（一）部门财政资金收入情况。</w:t>
      </w:r>
    </w:p>
    <w:p>
      <w:pPr>
        <w:spacing w:line="600" w:lineRule="exact"/>
        <w:ind w:firstLine="640" w:firstLineChars="200"/>
        <w:outlineLvl w:val="1"/>
        <w:rPr>
          <w:rFonts w:ascii="仿宋" w:hAnsi="仿宋" w:eastAsia="仿宋" w:cs="仿宋_GB2312"/>
          <w:sz w:val="32"/>
          <w:szCs w:val="32"/>
        </w:rPr>
      </w:pPr>
      <w:r>
        <w:rPr>
          <w:rFonts w:ascii="仿宋" w:hAnsi="仿宋" w:eastAsia="仿宋"/>
          <w:color w:val="000000"/>
          <w:sz w:val="32"/>
          <w:szCs w:val="32"/>
        </w:rPr>
        <w:t>201</w:t>
      </w:r>
      <w:r>
        <w:rPr>
          <w:rFonts w:hint="eastAsia" w:ascii="仿宋" w:hAnsi="仿宋" w:eastAsia="仿宋"/>
          <w:color w:val="000000"/>
          <w:sz w:val="32"/>
          <w:szCs w:val="32"/>
        </w:rPr>
        <w:t>8年本年收入合计</w:t>
      </w:r>
      <w:r>
        <w:rPr>
          <w:rFonts w:hint="eastAsia" w:ascii="仿宋" w:hAnsi="仿宋" w:eastAsia="仿宋"/>
          <w:color w:val="000000"/>
          <w:sz w:val="32"/>
          <w:szCs w:val="32"/>
          <w:lang w:val="en-US" w:eastAsia="zh-CN"/>
        </w:rPr>
        <w:t>234.66</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234.66</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；国有资本经营预算财政拨款收入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；事业收入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；附属单位上缴收入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；其他收入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numPr>
          <w:ilvl w:val="0"/>
          <w:numId w:val="7"/>
        </w:numPr>
        <w:spacing w:line="580" w:lineRule="exact"/>
        <w:ind w:left="0" w:leftChars="0" w:firstLine="320" w:firstLineChars="100"/>
        <w:rPr>
          <w:rFonts w:ascii="仿宋" w:hAnsi="仿宋" w:eastAsia="仿宋" w:cs="仿宋_GB2312"/>
          <w:sz w:val="32"/>
          <w:szCs w:val="32"/>
        </w:rPr>
      </w:pPr>
      <w:r>
        <w:rPr>
          <w:rFonts w:ascii="仿宋" w:hAnsi="仿宋" w:eastAsia="仿宋" w:cs="仿宋_GB2312"/>
          <w:sz w:val="32"/>
          <w:szCs w:val="32"/>
        </w:rPr>
        <w:t>部门财政资金支出情况。</w:t>
      </w:r>
    </w:p>
    <w:p>
      <w:pPr>
        <w:numPr>
          <w:ilvl w:val="0"/>
          <w:numId w:val="0"/>
        </w:numPr>
        <w:spacing w:line="580" w:lineRule="exact"/>
        <w:ind w:firstLine="640" w:firstLineChars="200"/>
        <w:rPr>
          <w:rFonts w:ascii="仿宋" w:hAnsi="仿宋" w:eastAsia="仿宋" w:cs="仿宋_GB2312"/>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8年一般公共预算财政拨款支出</w:t>
      </w:r>
      <w:r>
        <w:rPr>
          <w:rFonts w:hint="eastAsia" w:ascii="仿宋" w:hAnsi="仿宋" w:eastAsia="仿宋"/>
          <w:color w:val="000000"/>
          <w:sz w:val="32"/>
          <w:szCs w:val="32"/>
          <w:lang w:val="en-US" w:eastAsia="zh-CN"/>
        </w:rPr>
        <w:t>233.46</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7年相比，一般公共预算财政拨款增加</w:t>
      </w:r>
      <w:r>
        <w:rPr>
          <w:rFonts w:hint="eastAsia" w:ascii="仿宋" w:hAnsi="仿宋" w:eastAsia="仿宋"/>
          <w:color w:val="000000"/>
          <w:sz w:val="36"/>
          <w:szCs w:val="36"/>
          <w:lang w:val="en-US" w:eastAsia="zh-CN"/>
        </w:rPr>
        <w:t>17.03</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7.86</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人员经费增加及投资理财类困难群众救助项目增加。</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三、部门整体预算绩效管理情况（根据适用指标体系进行调整）</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（一）部门预算管理。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eastAsia="zh-CN"/>
        </w:rPr>
        <w:t>区委群众工作局</w:t>
      </w:r>
      <w:r>
        <w:rPr>
          <w:rFonts w:hint="eastAsia" w:ascii="仿宋" w:hAnsi="仿宋" w:eastAsia="仿宋" w:cs="仿宋_GB2312"/>
          <w:sz w:val="32"/>
          <w:szCs w:val="32"/>
        </w:rPr>
        <w:t>成立了以</w:t>
      </w:r>
      <w:r>
        <w:rPr>
          <w:rFonts w:hint="eastAsia" w:ascii="仿宋" w:hAnsi="仿宋" w:eastAsia="仿宋" w:cs="仿宋_GB2312"/>
          <w:sz w:val="32"/>
          <w:szCs w:val="32"/>
          <w:lang w:eastAsia="zh-CN"/>
        </w:rPr>
        <w:t>分管副局长焦文奎</w:t>
      </w:r>
      <w:r>
        <w:rPr>
          <w:rFonts w:hint="eastAsia" w:ascii="仿宋" w:hAnsi="仿宋" w:eastAsia="仿宋" w:cs="仿宋_GB2312"/>
          <w:sz w:val="32"/>
          <w:szCs w:val="32"/>
        </w:rPr>
        <w:t>为组长、各股室负责人为成员的绩效管理领导小组。年初制定相应的股室绩效目标，分阶段进行相应的对照检查，确保目标的完成。严格按规定，根据实际需要编制预算，各种支出厉行节约，采取先申请后实施的方法，杜绝超预算支出。全年预算支出完成率达</w:t>
      </w:r>
      <w:r>
        <w:rPr>
          <w:rFonts w:hint="eastAsia" w:ascii="仿宋" w:hAnsi="仿宋" w:eastAsia="仿宋" w:cs="仿宋_GB2312"/>
          <w:sz w:val="32"/>
          <w:szCs w:val="32"/>
          <w:lang w:val="en-US" w:eastAsia="zh-CN"/>
        </w:rPr>
        <w:t>100</w:t>
      </w:r>
      <w:r>
        <w:rPr>
          <w:rFonts w:hint="eastAsia" w:ascii="仿宋" w:hAnsi="仿宋" w:eastAsia="仿宋" w:cs="仿宋_GB2312"/>
          <w:sz w:val="32"/>
          <w:szCs w:val="32"/>
        </w:rPr>
        <w:t>%，。全年无违规违纪现象发生。</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（二）专项预算管理。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eastAsia="zh-CN"/>
        </w:rPr>
        <w:t>区委群工局</w:t>
      </w:r>
      <w:r>
        <w:rPr>
          <w:rFonts w:hint="eastAsia" w:ascii="仿宋" w:hAnsi="仿宋" w:eastAsia="仿宋" w:cs="仿宋_GB2312"/>
          <w:sz w:val="32"/>
          <w:szCs w:val="32"/>
        </w:rPr>
        <w:t>在项目管理实施时先制定工作计划</w:t>
      </w:r>
      <w:r>
        <w:rPr>
          <w:rFonts w:hint="eastAsia" w:ascii="仿宋" w:hAnsi="仿宋" w:eastAsia="仿宋" w:cs="仿宋_GB2312"/>
          <w:sz w:val="32"/>
          <w:szCs w:val="32"/>
          <w:lang w:eastAsia="zh-CN"/>
        </w:rPr>
        <w:t>、明确</w:t>
      </w:r>
      <w:r>
        <w:rPr>
          <w:rFonts w:hint="eastAsia" w:ascii="仿宋" w:hAnsi="仿宋" w:eastAsia="仿宋" w:cs="仿宋_GB2312"/>
          <w:sz w:val="32"/>
          <w:szCs w:val="32"/>
        </w:rPr>
        <w:t>责任领导</w:t>
      </w:r>
      <w:r>
        <w:rPr>
          <w:rFonts w:hint="eastAsia" w:ascii="仿宋" w:hAnsi="仿宋" w:eastAsia="仿宋" w:cs="仿宋_GB2312"/>
          <w:sz w:val="32"/>
          <w:szCs w:val="32"/>
          <w:lang w:eastAsia="zh-CN"/>
        </w:rPr>
        <w:t>和</w:t>
      </w:r>
      <w:r>
        <w:rPr>
          <w:rFonts w:hint="eastAsia" w:ascii="仿宋" w:hAnsi="仿宋" w:eastAsia="仿宋" w:cs="仿宋_GB2312"/>
          <w:sz w:val="32"/>
          <w:szCs w:val="32"/>
        </w:rPr>
        <w:t>具体负责人等，</w:t>
      </w:r>
      <w:r>
        <w:rPr>
          <w:rFonts w:hint="eastAsia" w:ascii="仿宋" w:hAnsi="仿宋" w:eastAsia="仿宋" w:cs="仿宋_GB2312"/>
          <w:sz w:val="32"/>
          <w:szCs w:val="32"/>
          <w:lang w:eastAsia="zh-CN"/>
        </w:rPr>
        <w:t>严格项目绩效评估，</w:t>
      </w:r>
      <w:r>
        <w:rPr>
          <w:rFonts w:hint="eastAsia" w:ascii="仿宋" w:hAnsi="仿宋" w:eastAsia="仿宋" w:cs="仿宋_GB2312"/>
          <w:sz w:val="32"/>
          <w:szCs w:val="32"/>
        </w:rPr>
        <w:t>根据工作进程进行资金拨付使用。未达到目标或者工作执行不到位时，暂停资金使用，待整改后再进行拨付使用</w:t>
      </w:r>
      <w:r>
        <w:rPr>
          <w:rFonts w:hint="eastAsia" w:ascii="仿宋" w:hAnsi="仿宋" w:eastAsia="仿宋" w:cs="仿宋_GB2312"/>
          <w:sz w:val="32"/>
          <w:szCs w:val="32"/>
          <w:lang w:eastAsia="zh-CN"/>
        </w:rPr>
        <w:t>，专项资金支付达</w:t>
      </w:r>
      <w:r>
        <w:rPr>
          <w:rFonts w:hint="eastAsia" w:ascii="仿宋" w:hAnsi="仿宋" w:eastAsia="仿宋" w:cs="仿宋_GB2312"/>
          <w:sz w:val="32"/>
          <w:szCs w:val="32"/>
          <w:lang w:val="en-US" w:eastAsia="zh-CN"/>
        </w:rPr>
        <w:t>87.37%，主要为投融资理财专项未实施结束</w:t>
      </w:r>
      <w:r>
        <w:rPr>
          <w:rFonts w:hint="eastAsia" w:ascii="仿宋" w:hAnsi="仿宋" w:eastAsia="仿宋" w:cs="仿宋_GB2312"/>
          <w:sz w:val="32"/>
          <w:szCs w:val="32"/>
        </w:rPr>
        <w:t>。全年无违规违纪现象发生。</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（三）结果应用情况。</w:t>
      </w:r>
    </w:p>
    <w:p>
      <w:pPr>
        <w:widowControl w:val="0"/>
        <w:overflowPunct w:val="0"/>
        <w:autoSpaceDE w:val="0"/>
        <w:autoSpaceDN w:val="0"/>
        <w:adjustRightInd/>
        <w:snapToGrid/>
        <w:spacing w:line="576"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eastAsia="zh-CN"/>
        </w:rPr>
        <w:t>区委群工局</w:t>
      </w:r>
      <w:r>
        <w:rPr>
          <w:rFonts w:hint="eastAsia" w:ascii="仿宋" w:hAnsi="仿宋" w:eastAsia="仿宋" w:cs="仿宋_GB2312"/>
          <w:sz w:val="32"/>
          <w:szCs w:val="32"/>
        </w:rPr>
        <w:t>整体预算管理情况良好，各种资金使用公正公开，不徇私舞弊，不违规违纪。</w:t>
      </w:r>
      <w:r>
        <w:rPr>
          <w:rFonts w:hint="eastAsia" w:ascii="仿宋" w:hAnsi="仿宋" w:eastAsia="仿宋" w:cs="仿宋_GB2312"/>
          <w:sz w:val="32"/>
          <w:szCs w:val="32"/>
          <w:lang w:eastAsia="zh-CN"/>
        </w:rPr>
        <w:t>全年</w:t>
      </w:r>
      <w:r>
        <w:rPr>
          <w:rFonts w:hint="eastAsia" w:ascii="仿宋" w:hAnsi="仿宋" w:eastAsia="仿宋" w:cs="仿宋_GB2312"/>
          <w:sz w:val="32"/>
          <w:szCs w:val="32"/>
        </w:rPr>
        <w:t>围绕“五个坚持”，大力推进“六个机关”建设，全面提升新时代“三服务”工作质量，圆满完成各项目标任务。</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四、评价结论及建议</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r>
        <w:rPr>
          <w:rFonts w:hint="eastAsia" w:ascii="仿宋" w:hAnsi="仿宋" w:eastAsia="仿宋" w:cs="仿宋_GB2312"/>
          <w:sz w:val="32"/>
          <w:szCs w:val="32"/>
        </w:rPr>
        <w:t>2018年</w:t>
      </w:r>
      <w:r>
        <w:rPr>
          <w:rFonts w:hint="eastAsia" w:ascii="仿宋" w:hAnsi="仿宋" w:eastAsia="仿宋" w:cs="仿宋_GB2312"/>
          <w:sz w:val="32"/>
          <w:szCs w:val="32"/>
          <w:lang w:eastAsia="zh-CN"/>
        </w:rPr>
        <w:t>区委群工局</w:t>
      </w:r>
      <w:r>
        <w:rPr>
          <w:rFonts w:hint="eastAsia" w:ascii="仿宋" w:hAnsi="仿宋" w:eastAsia="仿宋" w:cs="仿宋_GB2312"/>
          <w:sz w:val="32"/>
          <w:szCs w:val="32"/>
        </w:rPr>
        <w:t>在区委的领导下，在市委</w:t>
      </w:r>
      <w:r>
        <w:rPr>
          <w:rFonts w:hint="eastAsia" w:ascii="仿宋" w:hAnsi="仿宋" w:eastAsia="仿宋" w:cs="仿宋_GB2312"/>
          <w:sz w:val="32"/>
          <w:szCs w:val="32"/>
          <w:lang w:eastAsia="zh-CN"/>
        </w:rPr>
        <w:t>群工局</w:t>
      </w:r>
      <w:r>
        <w:rPr>
          <w:rFonts w:hint="eastAsia" w:ascii="仿宋" w:hAnsi="仿宋" w:eastAsia="仿宋" w:cs="仿宋_GB2312"/>
          <w:sz w:val="32"/>
          <w:szCs w:val="32"/>
        </w:rPr>
        <w:t>的指导下，顺利完成了</w:t>
      </w:r>
      <w:r>
        <w:rPr>
          <w:rFonts w:hint="eastAsia" w:ascii="仿宋" w:hAnsi="仿宋" w:eastAsia="仿宋" w:cs="仿宋_GB2312"/>
          <w:sz w:val="32"/>
          <w:szCs w:val="32"/>
          <w:lang w:eastAsia="zh-CN"/>
        </w:rPr>
        <w:t>各项目标任务，通过</w:t>
      </w:r>
      <w:r>
        <w:rPr>
          <w:rFonts w:hint="eastAsia" w:ascii="仿宋" w:hAnsi="仿宋" w:eastAsia="仿宋" w:cs="仿宋_GB2312"/>
          <w:sz w:val="32"/>
          <w:szCs w:val="32"/>
        </w:rPr>
        <w:t>绩效目标考核，并取得优异成绩。</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（二）存在问题。</w:t>
      </w:r>
      <w:r>
        <w:rPr>
          <w:rFonts w:hint="eastAsia" w:ascii="仿宋" w:hAnsi="仿宋" w:eastAsia="仿宋" w:cs="仿宋_GB2312"/>
          <w:sz w:val="32"/>
          <w:szCs w:val="32"/>
          <w:lang w:eastAsia="zh-CN"/>
        </w:rPr>
        <w:t>全年</w:t>
      </w:r>
      <w:r>
        <w:rPr>
          <w:rFonts w:hint="eastAsia" w:ascii="仿宋" w:hAnsi="仿宋" w:eastAsia="仿宋" w:cs="仿宋_GB2312"/>
          <w:sz w:val="32"/>
          <w:szCs w:val="32"/>
        </w:rPr>
        <w:t>在资金</w:t>
      </w:r>
      <w:r>
        <w:rPr>
          <w:rFonts w:hint="eastAsia" w:ascii="仿宋" w:hAnsi="仿宋" w:eastAsia="仿宋" w:cs="仿宋_GB2312"/>
          <w:sz w:val="32"/>
          <w:szCs w:val="32"/>
          <w:lang w:eastAsia="zh-CN"/>
        </w:rPr>
        <w:t>安排、申报拨付</w:t>
      </w:r>
      <w:r>
        <w:rPr>
          <w:rFonts w:hint="eastAsia" w:ascii="仿宋" w:hAnsi="仿宋" w:eastAsia="仿宋" w:cs="仿宋_GB2312"/>
          <w:sz w:val="32"/>
          <w:szCs w:val="32"/>
        </w:rPr>
        <w:t>上</w:t>
      </w:r>
      <w:r>
        <w:rPr>
          <w:rFonts w:hint="eastAsia" w:ascii="仿宋" w:hAnsi="仿宋" w:eastAsia="仿宋" w:cs="仿宋_GB2312"/>
          <w:sz w:val="32"/>
          <w:szCs w:val="32"/>
          <w:lang w:eastAsia="zh-CN"/>
        </w:rPr>
        <w:t>偶尔还存在不及时、不规范的现象</w:t>
      </w:r>
      <w:r>
        <w:rPr>
          <w:rFonts w:hint="eastAsia" w:ascii="仿宋" w:hAnsi="仿宋" w:eastAsia="仿宋" w:cs="仿宋_GB2312"/>
          <w:sz w:val="32"/>
          <w:szCs w:val="32"/>
        </w:rPr>
        <w:t>。</w:t>
      </w:r>
    </w:p>
    <w:p>
      <w:pPr>
        <w:spacing w:line="580" w:lineRule="exact"/>
        <w:ind w:firstLine="640" w:firstLineChars="200"/>
        <w:rPr>
          <w:rFonts w:ascii="仿宋_GB2312" w:hAnsi="仿宋_GB2312" w:eastAsia="仿宋_GB2312" w:cs="仿宋_GB2312"/>
          <w:sz w:val="32"/>
          <w:szCs w:val="32"/>
        </w:rPr>
      </w:pPr>
      <w:r>
        <w:rPr>
          <w:rFonts w:ascii="仿宋" w:hAnsi="仿宋" w:eastAsia="仿宋" w:cs="仿宋_GB2312"/>
          <w:sz w:val="32"/>
          <w:szCs w:val="32"/>
        </w:rPr>
        <w:t>（三）改进建议。</w:t>
      </w:r>
      <w:r>
        <w:rPr>
          <w:rFonts w:hint="eastAsia" w:ascii="仿宋" w:hAnsi="仿宋" w:eastAsia="仿宋" w:cs="仿宋_GB2312"/>
          <w:sz w:val="32"/>
          <w:szCs w:val="32"/>
          <w:lang w:eastAsia="zh-CN"/>
        </w:rPr>
        <w:t>一是进一步加强财务人员业务水平的培训和提高；二是进一步完善财务管理制度，严格资金审批程序，加大资金监管力</w:t>
      </w:r>
      <w:r>
        <w:rPr>
          <w:rFonts w:hint="eastAsia" w:ascii="仿宋" w:hAnsi="仿宋" w:eastAsia="仿宋" w:cs="仿宋_GB2312"/>
          <w:sz w:val="32"/>
          <w:szCs w:val="32"/>
        </w:rPr>
        <w:t>，确保各项资金正确使用，遵守资金使用制度，杜绝违规违纪现象。</w:t>
      </w: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pStyle w:val="3"/>
        <w:rPr>
          <w:rStyle w:val="24"/>
          <w:rFonts w:ascii="仿宋" w:hAnsi="仿宋" w:eastAsia="仿宋"/>
          <w:b w:val="0"/>
          <w:bCs w:val="0"/>
          <w:sz w:val="32"/>
          <w:szCs w:val="32"/>
        </w:rPr>
      </w:pPr>
      <w:bookmarkStart w:id="61" w:name="_Toc15396617"/>
      <w:r>
        <w:rPr>
          <w:rStyle w:val="24"/>
          <w:rFonts w:hint="eastAsia" w:ascii="仿宋" w:hAnsi="仿宋" w:eastAsia="仿宋"/>
          <w:b w:val="0"/>
          <w:bCs w:val="0"/>
          <w:sz w:val="32"/>
          <w:szCs w:val="32"/>
        </w:rPr>
        <w:t>附件2</w:t>
      </w:r>
      <w:bookmarkEnd w:id="61"/>
    </w:p>
    <w:p>
      <w:pPr>
        <w:spacing w:line="580" w:lineRule="exact"/>
        <w:jc w:val="center"/>
        <w:rPr>
          <w:rFonts w:hint="eastAsia" w:ascii="黑体" w:hAnsi="黑体" w:eastAsia="黑体" w:cs="方正小标宋简体"/>
          <w:sz w:val="44"/>
          <w:szCs w:val="44"/>
          <w:lang w:eastAsia="zh-CN"/>
        </w:rPr>
      </w:pPr>
      <w:r>
        <w:rPr>
          <w:rFonts w:hint="eastAsia" w:ascii="黑体" w:hAnsi="黑体" w:eastAsia="黑体" w:cs="方正小标宋简体"/>
          <w:sz w:val="44"/>
          <w:szCs w:val="44"/>
          <w:lang w:eastAsia="zh-CN"/>
        </w:rPr>
        <w:t>中共广元市利州区委群众工作局</w:t>
      </w:r>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2018年</w:t>
      </w:r>
      <w:r>
        <w:rPr>
          <w:rFonts w:hint="eastAsia" w:ascii="黑体" w:hAnsi="黑体" w:eastAsia="黑体" w:cs="方正小标宋简体"/>
          <w:sz w:val="44"/>
          <w:szCs w:val="44"/>
          <w:lang w:eastAsia="zh-CN"/>
        </w:rPr>
        <w:t>群众工作专项</w:t>
      </w:r>
      <w:r>
        <w:rPr>
          <w:rFonts w:hint="eastAsia" w:ascii="黑体" w:hAnsi="黑体" w:eastAsia="黑体" w:cs="方正小标宋简体"/>
          <w:sz w:val="44"/>
          <w:szCs w:val="44"/>
        </w:rPr>
        <w:t>支出绩效评价报告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eastAsia="zh-CN"/>
        </w:rPr>
        <w:t>群众工作专项</w:t>
      </w:r>
      <w:r>
        <w:rPr>
          <w:rFonts w:ascii="仿宋" w:hAnsi="仿宋" w:eastAsia="仿宋" w:cs="仿宋_GB2312"/>
          <w:sz w:val="32"/>
          <w:szCs w:val="32"/>
        </w:rPr>
        <w:t>项目</w:t>
      </w:r>
      <w:r>
        <w:rPr>
          <w:rFonts w:hint="eastAsia" w:ascii="仿宋" w:hAnsi="仿宋" w:eastAsia="仿宋" w:cs="仿宋_GB2312"/>
          <w:sz w:val="32"/>
          <w:szCs w:val="32"/>
          <w:lang w:eastAsia="zh-CN"/>
        </w:rPr>
        <w:t>是为保障全区各项重大信访事项、重要节点和重点敏感时段群众工作高效开展的工作经费，主要涉及驻省、驻京日常值班差旅费、会议会务费用、宣传经费、重点敏感时段值班等经费。</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eastAsia="zh-CN"/>
        </w:rPr>
        <w:t>该项目全年预算数</w:t>
      </w:r>
      <w:r>
        <w:rPr>
          <w:rFonts w:hint="eastAsia" w:ascii="仿宋" w:hAnsi="仿宋" w:eastAsia="仿宋" w:cs="仿宋_GB2312"/>
          <w:sz w:val="32"/>
          <w:szCs w:val="32"/>
          <w:lang w:val="en-US" w:eastAsia="zh-CN"/>
        </w:rPr>
        <w:t>10</w:t>
      </w:r>
      <w:r>
        <w:rPr>
          <w:rFonts w:hint="eastAsia" w:ascii="仿宋" w:hAnsi="仿宋" w:eastAsia="仿宋" w:cs="仿宋_GB2312"/>
          <w:sz w:val="32"/>
          <w:szCs w:val="32"/>
          <w:lang w:eastAsia="zh-CN"/>
        </w:rPr>
        <w:t>万元，执行数为</w:t>
      </w:r>
      <w:r>
        <w:rPr>
          <w:rFonts w:hint="eastAsia" w:ascii="仿宋" w:hAnsi="仿宋" w:eastAsia="仿宋" w:cs="仿宋_GB2312"/>
          <w:sz w:val="32"/>
          <w:szCs w:val="32"/>
          <w:lang w:val="en-US" w:eastAsia="zh-CN"/>
        </w:rPr>
        <w:t>10</w:t>
      </w:r>
      <w:r>
        <w:rPr>
          <w:rFonts w:hint="eastAsia" w:ascii="仿宋" w:hAnsi="仿宋" w:eastAsia="仿宋" w:cs="仿宋_GB2312"/>
          <w:sz w:val="32"/>
          <w:szCs w:val="32"/>
          <w:lang w:eastAsia="zh-CN"/>
        </w:rPr>
        <w:t>万元，完成预算的</w:t>
      </w:r>
      <w:r>
        <w:rPr>
          <w:rFonts w:hint="eastAsia" w:ascii="仿宋" w:hAnsi="仿宋" w:eastAsia="仿宋" w:cs="仿宋_GB2312"/>
          <w:sz w:val="32"/>
          <w:szCs w:val="32"/>
          <w:lang w:val="en-US" w:eastAsia="zh-CN"/>
        </w:rPr>
        <w:t>100</w:t>
      </w:r>
      <w:r>
        <w:rPr>
          <w:rFonts w:hint="eastAsia" w:ascii="仿宋" w:hAnsi="仿宋" w:eastAsia="仿宋" w:cs="仿宋_GB2312"/>
          <w:sz w:val="32"/>
          <w:szCs w:val="32"/>
          <w:lang w:eastAsia="zh-CN"/>
        </w:rPr>
        <w:t>%。通过项目实施，保障了全区群众工作的有序开展，提高了处置效率，高质量完成全国全省全市“两会”、驻省驻京日常值班及重要敏感时段值班等重大活动。</w:t>
      </w:r>
      <w:r>
        <w:rPr>
          <w:rFonts w:ascii="仿宋" w:hAnsi="仿宋" w:eastAsia="仿宋" w:cs="仿宋_GB2312"/>
          <w:sz w:val="32"/>
          <w:szCs w:val="32"/>
        </w:rPr>
        <w:t>（包括项目评价得分表）</w:t>
      </w:r>
    </w:p>
    <w:tbl>
      <w:tblPr>
        <w:tblStyle w:val="12"/>
        <w:tblW w:w="9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8"/>
        <w:gridCol w:w="2113"/>
        <w:gridCol w:w="3535"/>
        <w:gridCol w:w="1311"/>
        <w:gridCol w:w="1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61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b/>
                <w:bCs/>
                <w:color w:val="000000"/>
                <w:kern w:val="0"/>
                <w:sz w:val="20"/>
                <w:szCs w:val="20"/>
              </w:rPr>
            </w:pPr>
            <w:r>
              <w:rPr>
                <w:rFonts w:hint="eastAsia" w:ascii="宋体" w:hAnsi="宋体"/>
                <w:b/>
                <w:bCs/>
                <w:color w:val="000000"/>
                <w:kern w:val="0"/>
                <w:sz w:val="20"/>
                <w:szCs w:val="20"/>
              </w:rPr>
              <w:t>项目名称</w:t>
            </w:r>
          </w:p>
        </w:tc>
        <w:tc>
          <w:tcPr>
            <w:tcW w:w="8270" w:type="dxa"/>
            <w:gridSpan w:val="4"/>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color w:val="000000"/>
                <w:kern w:val="0"/>
              </w:rPr>
            </w:pPr>
            <w:r>
              <w:rPr>
                <w:rFonts w:hint="eastAsia" w:ascii="黑体" w:hAnsi="黑体" w:eastAsia="黑体"/>
                <w:color w:val="000000"/>
                <w:sz w:val="28"/>
                <w:szCs w:val="28"/>
                <w:lang w:eastAsia="zh-CN"/>
              </w:rPr>
              <w:t>群众工作专项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161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b/>
                <w:bCs/>
                <w:color w:val="000000"/>
                <w:kern w:val="0"/>
                <w:sz w:val="20"/>
                <w:szCs w:val="20"/>
              </w:rPr>
            </w:pPr>
            <w:r>
              <w:rPr>
                <w:rFonts w:hint="eastAsia" w:ascii="宋体" w:hAnsi="宋体"/>
                <w:b/>
                <w:bCs/>
                <w:color w:val="000000"/>
                <w:kern w:val="0"/>
                <w:sz w:val="20"/>
                <w:szCs w:val="20"/>
              </w:rPr>
              <w:t>一级</w:t>
            </w:r>
          </w:p>
          <w:p>
            <w:pPr>
              <w:widowControl/>
              <w:spacing w:line="260" w:lineRule="exact"/>
              <w:jc w:val="center"/>
              <w:rPr>
                <w:rFonts w:ascii="宋体" w:hAnsi="宋体"/>
                <w:b/>
                <w:bCs/>
                <w:color w:val="000000"/>
                <w:kern w:val="0"/>
                <w:sz w:val="20"/>
                <w:szCs w:val="20"/>
              </w:rPr>
            </w:pPr>
            <w:r>
              <w:rPr>
                <w:rFonts w:hint="eastAsia" w:ascii="宋体" w:hAnsi="宋体"/>
                <w:b/>
                <w:bCs/>
                <w:color w:val="000000"/>
                <w:kern w:val="0"/>
                <w:sz w:val="20"/>
                <w:szCs w:val="20"/>
              </w:rPr>
              <w:t>指标</w:t>
            </w:r>
          </w:p>
        </w:tc>
        <w:tc>
          <w:tcPr>
            <w:tcW w:w="2113"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b/>
                <w:bCs/>
                <w:color w:val="000000"/>
                <w:kern w:val="0"/>
                <w:sz w:val="20"/>
                <w:szCs w:val="20"/>
              </w:rPr>
            </w:pPr>
            <w:r>
              <w:rPr>
                <w:rFonts w:hint="eastAsia" w:ascii="宋体" w:hAnsi="宋体"/>
                <w:b/>
                <w:bCs/>
                <w:color w:val="000000"/>
                <w:kern w:val="0"/>
                <w:sz w:val="20"/>
                <w:szCs w:val="20"/>
              </w:rPr>
              <w:t>二级</w:t>
            </w:r>
          </w:p>
          <w:p>
            <w:pPr>
              <w:widowControl/>
              <w:spacing w:line="260" w:lineRule="exact"/>
              <w:jc w:val="center"/>
              <w:rPr>
                <w:rFonts w:ascii="宋体" w:hAnsi="宋体"/>
                <w:b/>
                <w:bCs/>
                <w:color w:val="000000"/>
                <w:kern w:val="0"/>
                <w:sz w:val="20"/>
                <w:szCs w:val="20"/>
              </w:rPr>
            </w:pPr>
            <w:r>
              <w:rPr>
                <w:rFonts w:hint="eastAsia" w:ascii="宋体" w:hAnsi="宋体"/>
                <w:b/>
                <w:bCs/>
                <w:color w:val="000000"/>
                <w:kern w:val="0"/>
                <w:sz w:val="20"/>
                <w:szCs w:val="20"/>
              </w:rPr>
              <w:t>指标</w:t>
            </w:r>
          </w:p>
        </w:tc>
        <w:tc>
          <w:tcPr>
            <w:tcW w:w="3535"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b/>
                <w:bCs/>
                <w:color w:val="000000"/>
                <w:kern w:val="0"/>
                <w:sz w:val="20"/>
                <w:szCs w:val="20"/>
              </w:rPr>
            </w:pPr>
            <w:r>
              <w:rPr>
                <w:rFonts w:hint="eastAsia" w:ascii="宋体" w:hAnsi="宋体"/>
                <w:b/>
                <w:bCs/>
                <w:color w:val="000000"/>
                <w:kern w:val="0"/>
                <w:sz w:val="20"/>
                <w:szCs w:val="20"/>
              </w:rPr>
              <w:t>三级指标</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b/>
                <w:bCs/>
                <w:color w:val="000000"/>
                <w:kern w:val="0"/>
                <w:sz w:val="20"/>
                <w:szCs w:val="20"/>
              </w:rPr>
            </w:pPr>
            <w:r>
              <w:rPr>
                <w:rFonts w:hint="eastAsia" w:ascii="宋体" w:hAnsi="宋体"/>
                <w:b/>
                <w:bCs/>
                <w:color w:val="000000"/>
                <w:kern w:val="0"/>
                <w:sz w:val="20"/>
                <w:szCs w:val="20"/>
              </w:rPr>
              <w:t>分值</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b/>
                <w:bCs/>
                <w:color w:val="000000"/>
                <w:kern w:val="0"/>
                <w:sz w:val="18"/>
                <w:szCs w:val="18"/>
              </w:rPr>
            </w:pPr>
            <w:r>
              <w:rPr>
                <w:rFonts w:hint="eastAsia" w:ascii="宋体" w:hAnsi="宋体"/>
                <w:b/>
                <w:bCs/>
                <w:color w:val="000000"/>
                <w:kern w:val="0"/>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618" w:type="dxa"/>
            <w:vMerge w:val="restart"/>
            <w:tcBorders>
              <w:top w:val="nil"/>
              <w:left w:val="single" w:color="auto" w:sz="4" w:space="0"/>
              <w:bottom w:val="single" w:color="auto" w:sz="4" w:space="0"/>
              <w:right w:val="single" w:color="auto" w:sz="4" w:space="0"/>
            </w:tcBorders>
            <w:vAlign w:val="center"/>
          </w:tcPr>
          <w:p>
            <w:pPr>
              <w:widowControl/>
              <w:spacing w:line="260" w:lineRule="exact"/>
              <w:jc w:val="center"/>
              <w:rPr>
                <w:rFonts w:ascii="宋体" w:hAnsi="宋体"/>
                <w:color w:val="000000"/>
                <w:kern w:val="0"/>
                <w:sz w:val="20"/>
                <w:szCs w:val="20"/>
              </w:rPr>
            </w:pPr>
            <w:r>
              <w:rPr>
                <w:rFonts w:hint="eastAsia" w:ascii="宋体" w:hAnsi="宋体"/>
                <w:color w:val="000000"/>
                <w:kern w:val="0"/>
                <w:sz w:val="20"/>
                <w:szCs w:val="20"/>
              </w:rPr>
              <w:t xml:space="preserve">项目完成 </w:t>
            </w:r>
          </w:p>
        </w:tc>
        <w:tc>
          <w:tcPr>
            <w:tcW w:w="2113" w:type="dxa"/>
            <w:vMerge w:val="restart"/>
            <w:tcBorders>
              <w:top w:val="nil"/>
              <w:left w:val="nil"/>
              <w:bottom w:val="single" w:color="auto" w:sz="4" w:space="0"/>
              <w:right w:val="single" w:color="auto" w:sz="4" w:space="0"/>
            </w:tcBorders>
            <w:vAlign w:val="center"/>
          </w:tcPr>
          <w:p>
            <w:pPr>
              <w:widowControl/>
              <w:jc w:val="center"/>
              <w:textAlignment w:val="center"/>
              <w:rPr>
                <w:rFonts w:ascii="宋体" w:hAnsi="宋体"/>
                <w:color w:val="000000"/>
                <w:kern w:val="0"/>
                <w:sz w:val="20"/>
                <w:szCs w:val="20"/>
              </w:rPr>
            </w:pPr>
            <w:r>
              <w:rPr>
                <w:rFonts w:hint="eastAsia" w:ascii="宋体" w:hAnsi="宋体" w:cs="宋体"/>
                <w:color w:val="000000"/>
                <w:sz w:val="24"/>
                <w:lang w:eastAsia="zh-CN"/>
              </w:rPr>
              <w:t>质量指标</w:t>
            </w:r>
          </w:p>
        </w:tc>
        <w:tc>
          <w:tcPr>
            <w:tcW w:w="3535"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olor w:val="000000"/>
                <w:kern w:val="0"/>
                <w:sz w:val="20"/>
                <w:szCs w:val="20"/>
              </w:rPr>
            </w:pPr>
            <w:r>
              <w:rPr>
                <w:rFonts w:hint="eastAsia" w:ascii="宋体" w:hAnsi="宋体" w:cs="宋体"/>
                <w:color w:val="000000"/>
                <w:sz w:val="24"/>
              </w:rPr>
              <w:t>全区</w:t>
            </w:r>
            <w:r>
              <w:rPr>
                <w:rFonts w:hint="eastAsia" w:ascii="宋体" w:hAnsi="宋体" w:cs="宋体"/>
                <w:color w:val="000000"/>
                <w:sz w:val="24"/>
                <w:lang w:eastAsia="zh-CN"/>
              </w:rPr>
              <w:t>群众信访工作</w:t>
            </w:r>
            <w:r>
              <w:rPr>
                <w:rFonts w:hint="eastAsia" w:ascii="宋体" w:hAnsi="宋体" w:cs="宋体"/>
                <w:color w:val="000000"/>
                <w:sz w:val="24"/>
              </w:rPr>
              <w:t>正常进行</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hint="default" w:ascii="宋体" w:hAnsi="宋体" w:eastAsia="宋体"/>
                <w:color w:val="000000"/>
                <w:kern w:val="0"/>
                <w:sz w:val="20"/>
                <w:szCs w:val="20"/>
                <w:lang w:val="en-US" w:eastAsia="zh-CN"/>
              </w:rPr>
            </w:pPr>
            <w:r>
              <w:rPr>
                <w:rFonts w:hint="eastAsia" w:ascii="宋体" w:hAnsi="宋体"/>
                <w:color w:val="000000"/>
                <w:kern w:val="0"/>
                <w:sz w:val="20"/>
                <w:szCs w:val="20"/>
                <w:lang w:val="en-US" w:eastAsia="zh-CN"/>
              </w:rPr>
              <w:t>30</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hint="default" w:ascii="宋体" w:hAnsi="宋体" w:eastAsia="宋体"/>
                <w:color w:val="000000"/>
                <w:kern w:val="0"/>
                <w:lang w:val="en-US" w:eastAsia="zh-CN"/>
              </w:rPr>
            </w:pPr>
            <w:r>
              <w:rPr>
                <w:rFonts w:hint="eastAsia" w:ascii="宋体" w:hAnsi="宋体"/>
                <w:color w:val="000000"/>
                <w:kern w:val="0"/>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61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0"/>
                <w:szCs w:val="20"/>
              </w:rPr>
            </w:pPr>
          </w:p>
        </w:tc>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0"/>
                <w:szCs w:val="20"/>
              </w:rPr>
            </w:pPr>
          </w:p>
        </w:tc>
        <w:tc>
          <w:tcPr>
            <w:tcW w:w="3535"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color w:val="000000"/>
                <w:kern w:val="0"/>
                <w:sz w:val="20"/>
                <w:szCs w:val="20"/>
              </w:rPr>
            </w:pPr>
            <w:r>
              <w:rPr>
                <w:rFonts w:hint="eastAsia" w:ascii="宋体" w:hAnsi="宋体"/>
                <w:color w:val="000000"/>
                <w:kern w:val="0"/>
                <w:sz w:val="20"/>
                <w:szCs w:val="20"/>
              </w:rPr>
              <w:t>完成质量</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hint="default" w:ascii="宋体" w:hAnsi="宋体" w:eastAsia="宋体"/>
                <w:color w:val="000000"/>
                <w:kern w:val="0"/>
                <w:sz w:val="20"/>
                <w:szCs w:val="20"/>
                <w:lang w:val="en-US" w:eastAsia="zh-CN"/>
              </w:rPr>
            </w:pPr>
            <w:r>
              <w:rPr>
                <w:rFonts w:hint="eastAsia" w:ascii="宋体" w:hAnsi="宋体"/>
                <w:color w:val="000000"/>
                <w:kern w:val="0"/>
                <w:sz w:val="20"/>
                <w:szCs w:val="20"/>
                <w:lang w:val="en-US" w:eastAsia="zh-CN"/>
              </w:rPr>
              <w:t>10</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hint="default" w:ascii="宋体" w:hAnsi="宋体" w:eastAsia="宋体"/>
                <w:color w:val="000000"/>
                <w:kern w:val="0"/>
                <w:lang w:val="en-US" w:eastAsia="zh-CN"/>
              </w:rPr>
            </w:pPr>
            <w:r>
              <w:rPr>
                <w:rFonts w:hint="eastAsia" w:ascii="宋体" w:hAnsi="宋体"/>
                <w:color w:val="000000"/>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61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0"/>
                <w:szCs w:val="20"/>
              </w:rPr>
            </w:pPr>
          </w:p>
        </w:tc>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0"/>
                <w:szCs w:val="20"/>
              </w:rPr>
            </w:pPr>
          </w:p>
        </w:tc>
        <w:tc>
          <w:tcPr>
            <w:tcW w:w="3535"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color w:val="000000"/>
                <w:kern w:val="0"/>
                <w:sz w:val="20"/>
                <w:szCs w:val="20"/>
              </w:rPr>
            </w:pPr>
            <w:r>
              <w:rPr>
                <w:rFonts w:hint="eastAsia" w:ascii="宋体" w:hAnsi="宋体"/>
                <w:color w:val="000000"/>
                <w:kern w:val="0"/>
                <w:sz w:val="20"/>
                <w:szCs w:val="20"/>
              </w:rPr>
              <w:t>完成时效</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hint="default" w:ascii="宋体" w:hAnsi="宋体" w:eastAsia="宋体"/>
                <w:color w:val="000000"/>
                <w:kern w:val="0"/>
                <w:sz w:val="20"/>
                <w:szCs w:val="20"/>
                <w:lang w:val="en-US" w:eastAsia="zh-CN"/>
              </w:rPr>
            </w:pPr>
            <w:r>
              <w:rPr>
                <w:rFonts w:hint="eastAsia" w:ascii="宋体" w:hAnsi="宋体"/>
                <w:color w:val="000000"/>
                <w:kern w:val="0"/>
                <w:sz w:val="20"/>
                <w:szCs w:val="20"/>
                <w:lang w:val="en-US" w:eastAsia="zh-CN"/>
              </w:rPr>
              <w:t>10</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hint="default" w:ascii="宋体" w:hAnsi="宋体" w:eastAsia="宋体"/>
                <w:color w:val="000000"/>
                <w:kern w:val="0"/>
                <w:lang w:val="en-US" w:eastAsia="zh-CN"/>
              </w:rPr>
            </w:pPr>
            <w:r>
              <w:rPr>
                <w:rFonts w:hint="eastAsia" w:ascii="宋体" w:hAnsi="宋体"/>
                <w:color w:val="000000"/>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61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0"/>
                <w:szCs w:val="20"/>
              </w:rPr>
            </w:pPr>
          </w:p>
        </w:tc>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0"/>
                <w:szCs w:val="20"/>
              </w:rPr>
            </w:pPr>
          </w:p>
        </w:tc>
        <w:tc>
          <w:tcPr>
            <w:tcW w:w="3535"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color w:val="000000"/>
                <w:kern w:val="0"/>
                <w:sz w:val="20"/>
                <w:szCs w:val="20"/>
              </w:rPr>
            </w:pPr>
            <w:r>
              <w:rPr>
                <w:rFonts w:hint="eastAsia" w:ascii="宋体" w:hAnsi="宋体"/>
                <w:color w:val="000000"/>
                <w:kern w:val="0"/>
                <w:sz w:val="20"/>
                <w:szCs w:val="20"/>
              </w:rPr>
              <w:t>完成成本</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hint="default" w:ascii="宋体" w:hAnsi="宋体" w:eastAsia="宋体"/>
                <w:color w:val="000000"/>
                <w:kern w:val="0"/>
                <w:sz w:val="20"/>
                <w:szCs w:val="20"/>
                <w:lang w:val="en-US" w:eastAsia="zh-CN"/>
              </w:rPr>
            </w:pPr>
            <w:r>
              <w:rPr>
                <w:rFonts w:hint="eastAsia" w:ascii="宋体" w:hAnsi="宋体"/>
                <w:color w:val="000000"/>
                <w:kern w:val="0"/>
                <w:sz w:val="20"/>
                <w:szCs w:val="20"/>
                <w:lang w:val="en-US" w:eastAsia="zh-CN"/>
              </w:rPr>
              <w:t>10</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hint="default" w:ascii="宋体" w:hAnsi="宋体" w:eastAsia="宋体"/>
                <w:color w:val="000000"/>
                <w:kern w:val="0"/>
                <w:lang w:val="en-US" w:eastAsia="zh-CN"/>
              </w:rPr>
            </w:pPr>
            <w:r>
              <w:rPr>
                <w:rFonts w:hint="eastAsia" w:ascii="宋体" w:hAnsi="宋体"/>
                <w:color w:val="000000"/>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161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0"/>
                <w:szCs w:val="20"/>
              </w:rPr>
            </w:pPr>
          </w:p>
        </w:tc>
        <w:tc>
          <w:tcPr>
            <w:tcW w:w="2113" w:type="dxa"/>
            <w:vMerge w:val="restart"/>
            <w:tcBorders>
              <w:top w:val="nil"/>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可持续影响</w:t>
            </w:r>
          </w:p>
          <w:p>
            <w:pPr>
              <w:widowControl/>
              <w:jc w:val="center"/>
              <w:textAlignment w:val="center"/>
              <w:rPr>
                <w:rFonts w:ascii="宋体" w:hAnsi="宋体"/>
                <w:color w:val="000000"/>
                <w:kern w:val="0"/>
                <w:sz w:val="20"/>
                <w:szCs w:val="20"/>
              </w:rPr>
            </w:pPr>
            <w:r>
              <w:rPr>
                <w:rFonts w:hint="eastAsia" w:ascii="宋体" w:hAnsi="宋体" w:cs="宋体"/>
                <w:color w:val="000000"/>
                <w:sz w:val="24"/>
              </w:rPr>
              <w:t>指标</w:t>
            </w:r>
          </w:p>
        </w:tc>
        <w:tc>
          <w:tcPr>
            <w:tcW w:w="3535" w:type="dxa"/>
            <w:tcBorders>
              <w:top w:val="single" w:color="auto" w:sz="4" w:space="0"/>
              <w:left w:val="nil"/>
              <w:right w:val="single" w:color="auto" w:sz="4" w:space="0"/>
            </w:tcBorders>
            <w:vAlign w:val="center"/>
          </w:tcPr>
          <w:p>
            <w:pPr>
              <w:widowControl/>
              <w:tabs>
                <w:tab w:val="left" w:pos="533"/>
              </w:tabs>
              <w:jc w:val="left"/>
              <w:textAlignment w:val="center"/>
              <w:rPr>
                <w:rFonts w:ascii="宋体" w:hAnsi="宋体"/>
                <w:color w:val="000000"/>
                <w:kern w:val="0"/>
                <w:sz w:val="20"/>
                <w:szCs w:val="20"/>
              </w:rPr>
            </w:pPr>
            <w:r>
              <w:rPr>
                <w:rFonts w:hint="eastAsia" w:ascii="宋体" w:hAnsi="宋体" w:cs="宋体"/>
                <w:color w:val="000000"/>
                <w:sz w:val="24"/>
                <w:lang w:eastAsia="zh-CN"/>
              </w:rPr>
              <w:t>持续有效指导全区群众信访工作</w:t>
            </w:r>
          </w:p>
        </w:tc>
        <w:tc>
          <w:tcPr>
            <w:tcW w:w="1311" w:type="dxa"/>
            <w:vMerge w:val="restart"/>
            <w:tcBorders>
              <w:top w:val="nil"/>
              <w:left w:val="nil"/>
              <w:bottom w:val="single" w:color="auto" w:sz="4" w:space="0"/>
              <w:right w:val="single" w:color="auto" w:sz="4" w:space="0"/>
            </w:tcBorders>
            <w:vAlign w:val="center"/>
          </w:tcPr>
          <w:p>
            <w:pPr>
              <w:widowControl/>
              <w:spacing w:line="260" w:lineRule="exact"/>
              <w:jc w:val="center"/>
              <w:rPr>
                <w:rFonts w:hint="default" w:ascii="宋体" w:hAnsi="宋体" w:eastAsia="宋体"/>
                <w:color w:val="000000"/>
                <w:kern w:val="0"/>
                <w:sz w:val="20"/>
                <w:szCs w:val="20"/>
                <w:lang w:val="en-US" w:eastAsia="zh-CN"/>
              </w:rPr>
            </w:pPr>
            <w:r>
              <w:rPr>
                <w:rFonts w:hint="eastAsia" w:ascii="宋体" w:hAnsi="宋体"/>
                <w:color w:val="000000"/>
                <w:kern w:val="0"/>
                <w:sz w:val="20"/>
                <w:szCs w:val="20"/>
                <w:lang w:val="en-US" w:eastAsia="zh-CN"/>
              </w:rPr>
              <w:t>30</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hint="default" w:ascii="宋体" w:hAnsi="宋体" w:eastAsia="宋体"/>
                <w:color w:val="000000"/>
                <w:kern w:val="0"/>
                <w:lang w:val="en-US" w:eastAsia="zh-CN"/>
              </w:rPr>
            </w:pPr>
            <w:r>
              <w:rPr>
                <w:rFonts w:hint="eastAsia" w:ascii="宋体" w:hAnsi="宋体"/>
                <w:color w:val="000000"/>
                <w:kern w:val="0"/>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61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0"/>
                <w:szCs w:val="20"/>
              </w:rPr>
            </w:pPr>
          </w:p>
        </w:tc>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0"/>
                <w:szCs w:val="20"/>
              </w:rPr>
            </w:pPr>
          </w:p>
        </w:tc>
        <w:tc>
          <w:tcPr>
            <w:tcW w:w="3535"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color w:val="000000"/>
                <w:kern w:val="0"/>
                <w:sz w:val="20"/>
                <w:szCs w:val="20"/>
              </w:rPr>
            </w:pPr>
            <w:r>
              <w:rPr>
                <w:rFonts w:hint="eastAsia" w:ascii="宋体" w:hAnsi="宋体"/>
                <w:color w:val="000000"/>
                <w:kern w:val="0"/>
                <w:sz w:val="20"/>
                <w:szCs w:val="20"/>
              </w:rPr>
              <w:t xml:space="preserve">服务对象满意度    </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hint="default" w:ascii="宋体" w:hAnsi="宋体" w:eastAsia="宋体"/>
                <w:color w:val="000000"/>
                <w:kern w:val="0"/>
                <w:sz w:val="20"/>
                <w:szCs w:val="20"/>
                <w:lang w:val="en-US" w:eastAsia="zh-CN"/>
              </w:rPr>
            </w:pPr>
            <w:r>
              <w:rPr>
                <w:rFonts w:hint="eastAsia" w:ascii="宋体" w:hAnsi="宋体"/>
                <w:color w:val="000000"/>
                <w:kern w:val="0"/>
                <w:sz w:val="20"/>
                <w:szCs w:val="20"/>
                <w:lang w:val="en-US" w:eastAsia="zh-CN"/>
              </w:rPr>
              <w:t>10</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hint="default" w:ascii="宋体" w:hAnsi="宋体" w:eastAsia="宋体"/>
                <w:color w:val="000000"/>
                <w:kern w:val="0"/>
                <w:lang w:val="en-US" w:eastAsia="zh-CN"/>
              </w:rPr>
            </w:pPr>
            <w:r>
              <w:rPr>
                <w:rFonts w:hint="eastAsia" w:ascii="宋体" w:hAnsi="宋体"/>
                <w:color w:val="000000"/>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61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color w:val="000000"/>
                <w:kern w:val="0"/>
                <w:sz w:val="20"/>
                <w:szCs w:val="20"/>
              </w:rPr>
            </w:pPr>
            <w:r>
              <w:rPr>
                <w:rFonts w:hint="eastAsia" w:ascii="宋体" w:hAnsi="宋体"/>
                <w:color w:val="000000"/>
                <w:kern w:val="0"/>
                <w:sz w:val="20"/>
                <w:szCs w:val="20"/>
              </w:rPr>
              <w:t>总分</w:t>
            </w:r>
          </w:p>
        </w:tc>
        <w:tc>
          <w:tcPr>
            <w:tcW w:w="8270" w:type="dxa"/>
            <w:gridSpan w:val="4"/>
            <w:tcBorders>
              <w:top w:val="single" w:color="auto" w:sz="4" w:space="0"/>
              <w:left w:val="nil"/>
              <w:bottom w:val="single" w:color="auto" w:sz="4" w:space="0"/>
              <w:right w:val="single" w:color="auto" w:sz="4" w:space="0"/>
            </w:tcBorders>
            <w:vAlign w:val="center"/>
          </w:tcPr>
          <w:p>
            <w:pPr>
              <w:widowControl/>
              <w:spacing w:line="260" w:lineRule="exact"/>
              <w:jc w:val="left"/>
              <w:rPr>
                <w:rFonts w:hint="default" w:ascii="宋体" w:hAnsi="宋体" w:eastAsia="宋体"/>
                <w:color w:val="000000"/>
                <w:kern w:val="0"/>
                <w:lang w:val="en-US" w:eastAsia="zh-CN"/>
              </w:rPr>
            </w:pPr>
            <w:r>
              <w:rPr>
                <w:rFonts w:hint="eastAsia" w:ascii="宋体" w:hAnsi="宋体"/>
                <w:color w:val="000000"/>
                <w:kern w:val="0"/>
                <w:lang w:val="en-US" w:eastAsia="zh-CN"/>
              </w:rPr>
              <w:t>100</w:t>
            </w:r>
          </w:p>
        </w:tc>
      </w:tr>
    </w:tbl>
    <w:p>
      <w:pPr>
        <w:spacing w:line="580" w:lineRule="exact"/>
        <w:rPr>
          <w:rFonts w:ascii="仿宋" w:hAnsi="仿宋" w:eastAsia="仿宋" w:cs="仿宋_GB2312"/>
          <w:sz w:val="32"/>
          <w:szCs w:val="32"/>
        </w:rPr>
      </w:pP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eastAsia="zh-CN"/>
        </w:rPr>
        <w:t>群众工作专项</w:t>
      </w:r>
      <w:r>
        <w:rPr>
          <w:rFonts w:ascii="仿宋" w:hAnsi="仿宋" w:eastAsia="仿宋" w:cs="仿宋_GB2312"/>
          <w:sz w:val="32"/>
          <w:szCs w:val="32"/>
        </w:rPr>
        <w:t>项目</w:t>
      </w:r>
      <w:r>
        <w:rPr>
          <w:rFonts w:hint="eastAsia" w:ascii="仿宋" w:hAnsi="仿宋" w:eastAsia="仿宋" w:cs="仿宋_GB2312"/>
          <w:sz w:val="32"/>
          <w:szCs w:val="32"/>
          <w:lang w:eastAsia="zh-CN"/>
        </w:rPr>
        <w:t>是为保障全区群众信访工作正常运行，推动各项重大信访事项、重要节点和重点敏感时段群众工作高效开展的必要项目支出。绩效目标设置了质量指标和可持续影响指标，分别考核该项目的完成质量、时效、成本和群众满意度等。</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val="en-US" w:eastAsia="zh-CN"/>
        </w:rPr>
        <w:t>该项目全年预算数10万元，</w:t>
      </w:r>
      <w:r>
        <w:rPr>
          <w:rFonts w:hint="eastAsia" w:ascii="仿宋" w:hAnsi="仿宋" w:eastAsia="仿宋" w:cs="仿宋_GB2312"/>
          <w:sz w:val="32"/>
          <w:szCs w:val="32"/>
          <w:lang w:eastAsia="zh-CN"/>
        </w:rPr>
        <w:t>分别安排办公费</w:t>
      </w:r>
      <w:r>
        <w:rPr>
          <w:rFonts w:hint="eastAsia" w:ascii="仿宋" w:hAnsi="仿宋" w:eastAsia="仿宋" w:cs="仿宋_GB2312"/>
          <w:sz w:val="32"/>
          <w:szCs w:val="32"/>
          <w:lang w:val="en-US" w:eastAsia="zh-CN"/>
        </w:rPr>
        <w:t>2万元、宣传费费2万元、差旅费5万元、重要敏感时段值班值守经费1万元，全年支出合计10万元。严格安排项目进度支付项目资金。</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pPr>
        <w:spacing w:line="580" w:lineRule="exact"/>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项目全年预算数10万元，执行数为10万元，完成预算的100%。通过项目实施，保障了全区群众信访工作的有序开展，全面贯彻党的十九大及省、市、区全会精神，积极适应社会主要矛盾的新变化，聚力聚焦摘掉贫困帽、建成核心区、挺进三十强“三项重点工作”，坚持以人民为中心的工作理念，以社会治理创新为动力，以依法及时就地解决群众合理诉求为目标，坚定不移推进信访工作制度改革和信访法治化建设，持续打造阳光信访、责任信访、法治信访，为促进全区经济发展、民生改善、社会和谐稳定做出了积极贡献。</w:t>
      </w:r>
    </w:p>
    <w:p>
      <w:pPr>
        <w:spacing w:line="580" w:lineRule="exact"/>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rPr>
        <w:t>三</w:t>
      </w:r>
      <w:r>
        <w:rPr>
          <w:rFonts w:ascii="仿宋" w:hAnsi="仿宋" w:eastAsia="仿宋" w:cs="仿宋_GB2312"/>
          <w:sz w:val="32"/>
          <w:szCs w:val="32"/>
        </w:rPr>
        <w:t>、存在主要问题</w:t>
      </w:r>
      <w:r>
        <w:rPr>
          <w:rFonts w:hint="eastAsia" w:ascii="仿宋" w:hAnsi="仿宋" w:eastAsia="仿宋" w:cs="仿宋_GB2312"/>
          <w:sz w:val="32"/>
          <w:szCs w:val="32"/>
          <w:lang w:val="en-US" w:eastAsia="zh-CN"/>
        </w:rPr>
        <w:t>：经费申报使用过程中，资金拨付不及时，资金使用效率有待提高。</w:t>
      </w:r>
    </w:p>
    <w:p>
      <w:pPr>
        <w:spacing w:line="580" w:lineRule="exact"/>
        <w:ind w:firstLine="640" w:firstLineChars="200"/>
        <w:rPr>
          <w:rFonts w:ascii="仿宋_GB2312" w:hAnsi="仿宋_GB2312" w:eastAsia="仿宋_GB2312" w:cs="仿宋_GB2312"/>
          <w:sz w:val="32"/>
          <w:szCs w:val="32"/>
        </w:rPr>
      </w:pPr>
      <w:r>
        <w:rPr>
          <w:rFonts w:hint="eastAsia" w:ascii="仿宋" w:hAnsi="仿宋" w:eastAsia="仿宋" w:cs="仿宋_GB2312"/>
          <w:sz w:val="32"/>
          <w:szCs w:val="32"/>
        </w:rPr>
        <w:t>四</w:t>
      </w:r>
      <w:r>
        <w:rPr>
          <w:rFonts w:ascii="仿宋" w:hAnsi="仿宋" w:eastAsia="仿宋" w:cs="仿宋_GB2312"/>
          <w:sz w:val="32"/>
          <w:szCs w:val="32"/>
        </w:rPr>
        <w:t>、相关措施建议</w:t>
      </w:r>
      <w:r>
        <w:rPr>
          <w:rFonts w:hint="eastAsia" w:ascii="仿宋" w:hAnsi="仿宋" w:eastAsia="仿宋" w:cs="仿宋_GB2312"/>
          <w:sz w:val="32"/>
          <w:szCs w:val="32"/>
          <w:lang w:eastAsia="zh-CN"/>
        </w:rPr>
        <w:t>：</w:t>
      </w:r>
      <w:r>
        <w:rPr>
          <w:rFonts w:hint="eastAsia" w:ascii="仿宋" w:hAnsi="仿宋" w:eastAsia="仿宋" w:cs="仿宋_GB2312"/>
          <w:sz w:val="32"/>
          <w:szCs w:val="32"/>
          <w:lang w:val="en-US" w:eastAsia="zh-CN"/>
        </w:rPr>
        <w:t>进一步加强项目资金管理，进一步提高资金使用效率，及时申报拨付专项资金。</w:t>
      </w:r>
    </w:p>
    <w:p>
      <w:pPr>
        <w:spacing w:line="580" w:lineRule="exact"/>
        <w:ind w:firstLine="640" w:firstLineChars="200"/>
        <w:rPr>
          <w:rStyle w:val="24"/>
          <w:rFonts w:ascii="仿宋" w:hAnsi="仿宋" w:eastAsia="仿宋" w:cs="仿宋_GB2312"/>
          <w:b w:val="0"/>
          <w:bCs w:val="0"/>
          <w:kern w:val="2"/>
          <w:sz w:val="32"/>
          <w:szCs w:val="32"/>
        </w:rPr>
      </w:pPr>
    </w:p>
    <w:p>
      <w:pPr>
        <w:spacing w:line="580" w:lineRule="exact"/>
        <w:jc w:val="center"/>
        <w:rPr>
          <w:rFonts w:hint="eastAsia" w:ascii="黑体" w:hAnsi="黑体" w:eastAsia="黑体" w:cs="方正小标宋简体"/>
          <w:sz w:val="44"/>
          <w:szCs w:val="44"/>
          <w:lang w:eastAsia="zh-CN"/>
        </w:rPr>
      </w:pPr>
      <w:bookmarkStart w:id="62" w:name="_Toc15396618"/>
    </w:p>
    <w:p>
      <w:pPr>
        <w:spacing w:line="580" w:lineRule="exact"/>
        <w:jc w:val="center"/>
        <w:rPr>
          <w:rFonts w:hint="eastAsia" w:ascii="黑体" w:hAnsi="黑体" w:eastAsia="黑体" w:cs="方正小标宋简体"/>
          <w:sz w:val="44"/>
          <w:szCs w:val="44"/>
          <w:lang w:eastAsia="zh-CN"/>
        </w:rPr>
      </w:pPr>
    </w:p>
    <w:p>
      <w:pPr>
        <w:spacing w:line="580" w:lineRule="exact"/>
        <w:jc w:val="center"/>
        <w:rPr>
          <w:rFonts w:hint="eastAsia" w:ascii="黑体" w:hAnsi="黑体" w:eastAsia="黑体" w:cs="方正小标宋简体"/>
          <w:sz w:val="44"/>
          <w:szCs w:val="44"/>
          <w:lang w:eastAsia="zh-CN"/>
        </w:rPr>
      </w:pPr>
    </w:p>
    <w:p>
      <w:pPr>
        <w:spacing w:line="580" w:lineRule="exact"/>
        <w:jc w:val="center"/>
        <w:rPr>
          <w:rFonts w:hint="eastAsia" w:ascii="黑体" w:hAnsi="黑体" w:eastAsia="黑体" w:cs="方正小标宋简体"/>
          <w:sz w:val="44"/>
          <w:szCs w:val="44"/>
          <w:lang w:eastAsia="zh-CN"/>
        </w:rPr>
      </w:pPr>
    </w:p>
    <w:p>
      <w:pPr>
        <w:spacing w:line="580" w:lineRule="exact"/>
        <w:jc w:val="center"/>
        <w:rPr>
          <w:rFonts w:hint="eastAsia" w:ascii="黑体" w:hAnsi="黑体" w:eastAsia="黑体" w:cs="方正小标宋简体"/>
          <w:sz w:val="44"/>
          <w:szCs w:val="44"/>
          <w:lang w:eastAsia="zh-CN"/>
        </w:rPr>
      </w:pPr>
    </w:p>
    <w:p>
      <w:pPr>
        <w:spacing w:line="580" w:lineRule="exact"/>
        <w:jc w:val="center"/>
        <w:rPr>
          <w:rFonts w:hint="eastAsia" w:ascii="黑体" w:hAnsi="黑体" w:eastAsia="黑体" w:cs="方正小标宋简体"/>
          <w:sz w:val="44"/>
          <w:szCs w:val="44"/>
          <w:lang w:eastAsia="zh-CN"/>
        </w:rPr>
      </w:pPr>
    </w:p>
    <w:p>
      <w:pPr>
        <w:spacing w:line="580" w:lineRule="exact"/>
        <w:jc w:val="center"/>
        <w:rPr>
          <w:rFonts w:hint="eastAsia" w:ascii="黑体" w:hAnsi="黑体" w:eastAsia="黑体" w:cs="方正小标宋简体"/>
          <w:sz w:val="44"/>
          <w:szCs w:val="44"/>
          <w:lang w:eastAsia="zh-CN"/>
        </w:rPr>
      </w:pPr>
    </w:p>
    <w:p>
      <w:pPr>
        <w:spacing w:line="580" w:lineRule="exact"/>
        <w:jc w:val="center"/>
        <w:rPr>
          <w:rFonts w:hint="eastAsia" w:ascii="黑体" w:hAnsi="黑体" w:eastAsia="黑体" w:cs="方正小标宋简体"/>
          <w:sz w:val="44"/>
          <w:szCs w:val="44"/>
          <w:lang w:eastAsia="zh-CN"/>
        </w:rPr>
      </w:pPr>
    </w:p>
    <w:p>
      <w:pPr>
        <w:spacing w:line="580" w:lineRule="exact"/>
        <w:jc w:val="center"/>
        <w:rPr>
          <w:rFonts w:hint="eastAsia" w:ascii="黑体" w:hAnsi="黑体" w:eastAsia="黑体" w:cs="方正小标宋简体"/>
          <w:sz w:val="44"/>
          <w:szCs w:val="44"/>
          <w:lang w:eastAsia="zh-CN"/>
        </w:rPr>
      </w:pPr>
    </w:p>
    <w:p>
      <w:pPr>
        <w:spacing w:line="580" w:lineRule="exact"/>
        <w:jc w:val="center"/>
        <w:rPr>
          <w:rFonts w:hint="eastAsia" w:ascii="黑体" w:hAnsi="黑体" w:eastAsia="黑体" w:cs="方正小标宋简体"/>
          <w:sz w:val="44"/>
          <w:szCs w:val="44"/>
          <w:lang w:eastAsia="zh-CN"/>
        </w:rPr>
      </w:pPr>
    </w:p>
    <w:p>
      <w:pPr>
        <w:spacing w:line="580" w:lineRule="exact"/>
        <w:jc w:val="center"/>
        <w:rPr>
          <w:rFonts w:hint="eastAsia" w:ascii="黑体" w:hAnsi="黑体" w:eastAsia="黑体" w:cs="方正小标宋简体"/>
          <w:sz w:val="44"/>
          <w:szCs w:val="44"/>
          <w:lang w:eastAsia="zh-CN"/>
        </w:rPr>
      </w:pPr>
    </w:p>
    <w:p>
      <w:pPr>
        <w:spacing w:line="580" w:lineRule="exact"/>
        <w:jc w:val="center"/>
        <w:rPr>
          <w:rFonts w:hint="eastAsia" w:ascii="黑体" w:hAnsi="黑体" w:eastAsia="黑体" w:cs="方正小标宋简体"/>
          <w:sz w:val="44"/>
          <w:szCs w:val="44"/>
          <w:lang w:eastAsia="zh-CN"/>
        </w:rPr>
      </w:pPr>
    </w:p>
    <w:p>
      <w:pPr>
        <w:spacing w:line="580" w:lineRule="exact"/>
        <w:jc w:val="center"/>
        <w:rPr>
          <w:rFonts w:hint="eastAsia" w:ascii="黑体" w:hAnsi="黑体" w:eastAsia="黑体" w:cs="方正小标宋简体"/>
          <w:sz w:val="44"/>
          <w:szCs w:val="44"/>
          <w:lang w:eastAsia="zh-CN"/>
        </w:rPr>
      </w:pPr>
    </w:p>
    <w:p>
      <w:pPr>
        <w:spacing w:line="580" w:lineRule="exact"/>
        <w:jc w:val="center"/>
        <w:rPr>
          <w:rFonts w:hint="eastAsia" w:ascii="黑体" w:hAnsi="黑体" w:eastAsia="黑体" w:cs="方正小标宋简体"/>
          <w:sz w:val="44"/>
          <w:szCs w:val="44"/>
          <w:lang w:eastAsia="zh-CN"/>
        </w:rPr>
      </w:pPr>
    </w:p>
    <w:p>
      <w:pPr>
        <w:spacing w:line="580" w:lineRule="exact"/>
        <w:jc w:val="center"/>
        <w:rPr>
          <w:rFonts w:hint="eastAsia" w:ascii="黑体" w:hAnsi="黑体" w:eastAsia="黑体" w:cs="方正小标宋简体"/>
          <w:sz w:val="44"/>
          <w:szCs w:val="44"/>
          <w:lang w:eastAsia="zh-CN"/>
        </w:rPr>
      </w:pPr>
    </w:p>
    <w:p>
      <w:pPr>
        <w:spacing w:line="580" w:lineRule="exact"/>
        <w:jc w:val="center"/>
        <w:rPr>
          <w:rFonts w:hint="eastAsia" w:ascii="黑体" w:hAnsi="黑体" w:eastAsia="黑体" w:cs="方正小标宋简体"/>
          <w:sz w:val="44"/>
          <w:szCs w:val="44"/>
          <w:lang w:eastAsia="zh-CN"/>
        </w:rPr>
      </w:pPr>
    </w:p>
    <w:p>
      <w:pPr>
        <w:spacing w:line="580" w:lineRule="exact"/>
        <w:jc w:val="center"/>
        <w:rPr>
          <w:rFonts w:hint="eastAsia" w:ascii="黑体" w:hAnsi="黑体" w:eastAsia="黑体" w:cs="方正小标宋简体"/>
          <w:sz w:val="44"/>
          <w:szCs w:val="44"/>
          <w:lang w:eastAsia="zh-CN"/>
        </w:rPr>
      </w:pPr>
      <w:r>
        <w:rPr>
          <w:rFonts w:hint="eastAsia" w:ascii="黑体" w:hAnsi="黑体" w:eastAsia="黑体" w:cs="方正小标宋简体"/>
          <w:sz w:val="44"/>
          <w:szCs w:val="44"/>
          <w:lang w:eastAsia="zh-CN"/>
        </w:rPr>
        <w:t>中共广元市利州区委群众工作局</w:t>
      </w:r>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2018年</w:t>
      </w:r>
      <w:r>
        <w:rPr>
          <w:rFonts w:hint="eastAsia" w:ascii="黑体" w:hAnsi="黑体" w:eastAsia="黑体" w:cs="方正小标宋简体"/>
          <w:sz w:val="44"/>
          <w:szCs w:val="44"/>
          <w:lang w:eastAsia="zh-CN"/>
        </w:rPr>
        <w:t>投融资理财群体工作经费专项</w:t>
      </w:r>
      <w:r>
        <w:rPr>
          <w:rFonts w:hint="eastAsia" w:ascii="黑体" w:hAnsi="黑体" w:eastAsia="黑体" w:cs="方正小标宋简体"/>
          <w:sz w:val="44"/>
          <w:szCs w:val="44"/>
        </w:rPr>
        <w:t>项目支出绩效评价报告</w:t>
      </w:r>
    </w:p>
    <w:p>
      <w:pPr>
        <w:spacing w:line="580" w:lineRule="exact"/>
        <w:ind w:firstLine="640" w:firstLineChars="200"/>
        <w:rPr>
          <w:rFonts w:hint="eastAsia" w:ascii="仿宋" w:hAnsi="仿宋" w:eastAsia="仿宋"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pPr>
        <w:spacing w:line="580" w:lineRule="exact"/>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投融资理财群体工作经费专项项目是对全市投融资理财群体工作重大决策、重要工作部署的贯彻落实，保障投融资理财群体问题顺利处置、困难群众帮扶的重要手段。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val="en-US" w:eastAsia="zh-CN"/>
        </w:rPr>
        <w:t>项目全年预算数30万元，执行数为24.95万元，完成预算的83.17%。剩余5.05万元将继续实施。通过项目实施，保障了投融资理财处置工作需要，救助了全市范围内的100多名困难群众。</w:t>
      </w:r>
      <w:r>
        <w:rPr>
          <w:rFonts w:ascii="仿宋" w:hAnsi="仿宋" w:eastAsia="仿宋" w:cs="仿宋_GB2312"/>
          <w:sz w:val="32"/>
          <w:szCs w:val="32"/>
        </w:rPr>
        <w:t>（包括项目评价得分表）</w:t>
      </w:r>
    </w:p>
    <w:p>
      <w:pPr>
        <w:jc w:val="center"/>
        <w:rPr>
          <w:rFonts w:ascii="黑体" w:hAnsi="黑体" w:eastAsia="黑体"/>
          <w:color w:val="000000"/>
          <w:sz w:val="32"/>
          <w:szCs w:val="32"/>
        </w:rPr>
      </w:pPr>
      <w:r>
        <w:rPr>
          <w:rFonts w:hint="eastAsia" w:ascii="黑体" w:hAnsi="黑体" w:eastAsia="黑体"/>
          <w:color w:val="000000"/>
          <w:sz w:val="32"/>
          <w:szCs w:val="32"/>
          <w:lang w:eastAsia="zh-CN"/>
        </w:rPr>
        <w:t>投融资理财群体专项工作经费</w:t>
      </w:r>
      <w:r>
        <w:rPr>
          <w:rFonts w:hint="eastAsia" w:ascii="黑体" w:hAnsi="黑体" w:eastAsia="黑体"/>
          <w:color w:val="000000"/>
          <w:sz w:val="32"/>
          <w:szCs w:val="32"/>
        </w:rPr>
        <w:t>项目支出绩效评价得分表</w:t>
      </w:r>
    </w:p>
    <w:tbl>
      <w:tblPr>
        <w:tblStyle w:val="12"/>
        <w:tblW w:w="9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8"/>
        <w:gridCol w:w="2113"/>
        <w:gridCol w:w="3535"/>
        <w:gridCol w:w="1311"/>
        <w:gridCol w:w="1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61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b/>
                <w:bCs/>
                <w:color w:val="000000"/>
                <w:kern w:val="0"/>
                <w:sz w:val="20"/>
                <w:szCs w:val="20"/>
              </w:rPr>
            </w:pPr>
            <w:r>
              <w:rPr>
                <w:rFonts w:hint="eastAsia" w:ascii="宋体" w:hAnsi="宋体"/>
                <w:b/>
                <w:bCs/>
                <w:color w:val="000000"/>
                <w:kern w:val="0"/>
                <w:sz w:val="20"/>
                <w:szCs w:val="20"/>
              </w:rPr>
              <w:t>项目名称</w:t>
            </w:r>
          </w:p>
        </w:tc>
        <w:tc>
          <w:tcPr>
            <w:tcW w:w="8270" w:type="dxa"/>
            <w:gridSpan w:val="4"/>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color w:val="000000"/>
                <w:kern w:val="0"/>
              </w:rPr>
            </w:pPr>
            <w:r>
              <w:rPr>
                <w:rFonts w:hint="eastAsia" w:ascii="仿宋_GB2312" w:hAnsi="仿宋_GB2312" w:eastAsia="仿宋_GB2312" w:cs="仿宋_GB2312"/>
                <w:sz w:val="32"/>
                <w:szCs w:val="32"/>
                <w:lang w:eastAsia="zh-CN"/>
              </w:rPr>
              <w:t>投融资理财群体专项工作经费</w:t>
            </w:r>
            <w:r>
              <w:rPr>
                <w:rFonts w:hint="eastAsia" w:ascii="仿宋_GB2312" w:hAnsi="仿宋_GB2312" w:eastAsia="仿宋_GB2312" w:cs="仿宋_GB2312"/>
                <w:sz w:val="32"/>
                <w:szCs w:val="32"/>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161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b/>
                <w:bCs/>
                <w:color w:val="000000"/>
                <w:kern w:val="0"/>
                <w:sz w:val="20"/>
                <w:szCs w:val="20"/>
              </w:rPr>
            </w:pPr>
            <w:r>
              <w:rPr>
                <w:rFonts w:hint="eastAsia" w:ascii="宋体" w:hAnsi="宋体"/>
                <w:b/>
                <w:bCs/>
                <w:color w:val="000000"/>
                <w:kern w:val="0"/>
                <w:sz w:val="20"/>
                <w:szCs w:val="20"/>
              </w:rPr>
              <w:t>一级</w:t>
            </w:r>
          </w:p>
          <w:p>
            <w:pPr>
              <w:widowControl/>
              <w:spacing w:line="260" w:lineRule="exact"/>
              <w:jc w:val="center"/>
              <w:rPr>
                <w:rFonts w:ascii="宋体" w:hAnsi="宋体"/>
                <w:b/>
                <w:bCs/>
                <w:color w:val="000000"/>
                <w:kern w:val="0"/>
                <w:sz w:val="20"/>
                <w:szCs w:val="20"/>
              </w:rPr>
            </w:pPr>
            <w:r>
              <w:rPr>
                <w:rFonts w:hint="eastAsia" w:ascii="宋体" w:hAnsi="宋体"/>
                <w:b/>
                <w:bCs/>
                <w:color w:val="000000"/>
                <w:kern w:val="0"/>
                <w:sz w:val="20"/>
                <w:szCs w:val="20"/>
              </w:rPr>
              <w:t>指标</w:t>
            </w:r>
          </w:p>
        </w:tc>
        <w:tc>
          <w:tcPr>
            <w:tcW w:w="2113"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b/>
                <w:bCs/>
                <w:color w:val="000000"/>
                <w:kern w:val="0"/>
                <w:sz w:val="20"/>
                <w:szCs w:val="20"/>
              </w:rPr>
            </w:pPr>
            <w:r>
              <w:rPr>
                <w:rFonts w:hint="eastAsia" w:ascii="宋体" w:hAnsi="宋体"/>
                <w:b/>
                <w:bCs/>
                <w:color w:val="000000"/>
                <w:kern w:val="0"/>
                <w:sz w:val="20"/>
                <w:szCs w:val="20"/>
              </w:rPr>
              <w:t>二级</w:t>
            </w:r>
          </w:p>
          <w:p>
            <w:pPr>
              <w:widowControl/>
              <w:spacing w:line="260" w:lineRule="exact"/>
              <w:jc w:val="center"/>
              <w:rPr>
                <w:rFonts w:ascii="宋体" w:hAnsi="宋体"/>
                <w:b/>
                <w:bCs/>
                <w:color w:val="000000"/>
                <w:kern w:val="0"/>
                <w:sz w:val="20"/>
                <w:szCs w:val="20"/>
              </w:rPr>
            </w:pPr>
            <w:r>
              <w:rPr>
                <w:rFonts w:hint="eastAsia" w:ascii="宋体" w:hAnsi="宋体"/>
                <w:b/>
                <w:bCs/>
                <w:color w:val="000000"/>
                <w:kern w:val="0"/>
                <w:sz w:val="20"/>
                <w:szCs w:val="20"/>
              </w:rPr>
              <w:t>指标</w:t>
            </w:r>
          </w:p>
        </w:tc>
        <w:tc>
          <w:tcPr>
            <w:tcW w:w="3535"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b/>
                <w:bCs/>
                <w:color w:val="000000"/>
                <w:kern w:val="0"/>
                <w:sz w:val="20"/>
                <w:szCs w:val="20"/>
              </w:rPr>
            </w:pPr>
            <w:r>
              <w:rPr>
                <w:rFonts w:hint="eastAsia" w:ascii="宋体" w:hAnsi="宋体"/>
                <w:b/>
                <w:bCs/>
                <w:color w:val="000000"/>
                <w:kern w:val="0"/>
                <w:sz w:val="20"/>
                <w:szCs w:val="20"/>
              </w:rPr>
              <w:t>三级指标</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b/>
                <w:bCs/>
                <w:color w:val="000000"/>
                <w:kern w:val="0"/>
                <w:sz w:val="20"/>
                <w:szCs w:val="20"/>
              </w:rPr>
            </w:pPr>
            <w:r>
              <w:rPr>
                <w:rFonts w:hint="eastAsia" w:ascii="宋体" w:hAnsi="宋体"/>
                <w:b/>
                <w:bCs/>
                <w:color w:val="000000"/>
                <w:kern w:val="0"/>
                <w:sz w:val="20"/>
                <w:szCs w:val="20"/>
              </w:rPr>
              <w:t>分值</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b/>
                <w:bCs/>
                <w:color w:val="000000"/>
                <w:kern w:val="0"/>
                <w:sz w:val="18"/>
                <w:szCs w:val="18"/>
              </w:rPr>
            </w:pPr>
            <w:r>
              <w:rPr>
                <w:rFonts w:hint="eastAsia" w:ascii="宋体" w:hAnsi="宋体"/>
                <w:b/>
                <w:bCs/>
                <w:color w:val="000000"/>
                <w:kern w:val="0"/>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618" w:type="dxa"/>
            <w:vMerge w:val="restart"/>
            <w:tcBorders>
              <w:top w:val="nil"/>
              <w:left w:val="single" w:color="auto" w:sz="4" w:space="0"/>
              <w:bottom w:val="single" w:color="auto" w:sz="4" w:space="0"/>
              <w:right w:val="single" w:color="auto" w:sz="4" w:space="0"/>
            </w:tcBorders>
            <w:vAlign w:val="center"/>
          </w:tcPr>
          <w:p>
            <w:pPr>
              <w:widowControl/>
              <w:spacing w:line="260" w:lineRule="exact"/>
              <w:jc w:val="center"/>
              <w:rPr>
                <w:rFonts w:ascii="宋体" w:hAnsi="宋体"/>
                <w:color w:val="000000"/>
                <w:kern w:val="0"/>
                <w:sz w:val="20"/>
                <w:szCs w:val="20"/>
              </w:rPr>
            </w:pPr>
            <w:r>
              <w:rPr>
                <w:rFonts w:hint="eastAsia" w:ascii="宋体" w:hAnsi="宋体"/>
                <w:color w:val="000000"/>
                <w:kern w:val="0"/>
                <w:sz w:val="20"/>
                <w:szCs w:val="20"/>
              </w:rPr>
              <w:t xml:space="preserve">项目完成 </w:t>
            </w:r>
          </w:p>
        </w:tc>
        <w:tc>
          <w:tcPr>
            <w:tcW w:w="2113" w:type="dxa"/>
            <w:vMerge w:val="restart"/>
            <w:tcBorders>
              <w:top w:val="nil"/>
              <w:left w:val="nil"/>
              <w:bottom w:val="single" w:color="auto" w:sz="4" w:space="0"/>
              <w:right w:val="single" w:color="auto" w:sz="4" w:space="0"/>
            </w:tcBorders>
            <w:vAlign w:val="center"/>
          </w:tcPr>
          <w:p>
            <w:pPr>
              <w:widowControl/>
              <w:jc w:val="center"/>
              <w:textAlignment w:val="center"/>
              <w:rPr>
                <w:rFonts w:ascii="宋体" w:hAnsi="宋体"/>
                <w:color w:val="000000"/>
                <w:kern w:val="0"/>
                <w:sz w:val="20"/>
                <w:szCs w:val="20"/>
              </w:rPr>
            </w:pPr>
            <w:r>
              <w:rPr>
                <w:rFonts w:hint="eastAsia" w:ascii="宋体" w:hAnsi="宋体" w:cs="宋体"/>
                <w:color w:val="000000"/>
                <w:sz w:val="24"/>
                <w:lang w:eastAsia="zh-CN"/>
              </w:rPr>
              <w:t>质量指标</w:t>
            </w:r>
          </w:p>
        </w:tc>
        <w:tc>
          <w:tcPr>
            <w:tcW w:w="3535"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olor w:val="000000"/>
                <w:kern w:val="0"/>
                <w:sz w:val="20"/>
                <w:szCs w:val="20"/>
              </w:rPr>
            </w:pPr>
            <w:r>
              <w:rPr>
                <w:rFonts w:hint="eastAsia" w:ascii="宋体" w:hAnsi="宋体" w:cs="宋体"/>
                <w:color w:val="000000"/>
                <w:sz w:val="24"/>
                <w:lang w:eastAsia="zh-CN"/>
              </w:rPr>
              <w:t>投融资理财群体处置</w:t>
            </w:r>
            <w:r>
              <w:rPr>
                <w:rFonts w:hint="eastAsia" w:ascii="宋体" w:hAnsi="宋体" w:cs="宋体"/>
                <w:color w:val="000000"/>
                <w:sz w:val="24"/>
              </w:rPr>
              <w:t>工作落实</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hint="default" w:ascii="宋体" w:hAnsi="宋体" w:eastAsia="宋体"/>
                <w:color w:val="000000"/>
                <w:kern w:val="0"/>
                <w:sz w:val="20"/>
                <w:szCs w:val="20"/>
                <w:lang w:val="en-US" w:eastAsia="zh-CN"/>
              </w:rPr>
            </w:pPr>
            <w:r>
              <w:rPr>
                <w:rFonts w:hint="eastAsia" w:ascii="宋体" w:hAnsi="宋体"/>
                <w:color w:val="000000"/>
                <w:kern w:val="0"/>
                <w:sz w:val="20"/>
                <w:szCs w:val="20"/>
                <w:lang w:val="en-US" w:eastAsia="zh-CN"/>
              </w:rPr>
              <w:t>40</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hint="default" w:ascii="宋体" w:hAnsi="宋体" w:eastAsia="宋体"/>
                <w:color w:val="000000"/>
                <w:kern w:val="0"/>
                <w:lang w:val="en-US" w:eastAsia="zh-CN"/>
              </w:rPr>
            </w:pPr>
            <w:r>
              <w:rPr>
                <w:rFonts w:hint="eastAsia" w:ascii="宋体" w:hAnsi="宋体"/>
                <w:color w:val="000000"/>
                <w:kern w:val="0"/>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61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0"/>
                <w:szCs w:val="20"/>
              </w:rPr>
            </w:pPr>
          </w:p>
        </w:tc>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0"/>
                <w:szCs w:val="20"/>
              </w:rPr>
            </w:pPr>
          </w:p>
        </w:tc>
        <w:tc>
          <w:tcPr>
            <w:tcW w:w="3535"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宋体" w:hAnsi="宋体" w:eastAsia="宋体"/>
                <w:color w:val="000000"/>
                <w:kern w:val="0"/>
                <w:sz w:val="20"/>
                <w:szCs w:val="20"/>
                <w:lang w:eastAsia="zh-CN"/>
              </w:rPr>
            </w:pPr>
            <w:r>
              <w:rPr>
                <w:rFonts w:hint="eastAsia" w:ascii="宋体" w:hAnsi="宋体" w:cs="宋体"/>
                <w:color w:val="000000"/>
                <w:sz w:val="24"/>
              </w:rPr>
              <w:t>全</w:t>
            </w:r>
            <w:r>
              <w:rPr>
                <w:rFonts w:hint="eastAsia" w:ascii="宋体" w:hAnsi="宋体" w:cs="宋体"/>
                <w:color w:val="000000"/>
                <w:sz w:val="24"/>
                <w:lang w:eastAsia="zh-CN"/>
              </w:rPr>
              <w:t>市范围内困难群众帮扶</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hint="default" w:ascii="宋体" w:hAnsi="宋体" w:eastAsia="宋体"/>
                <w:color w:val="000000"/>
                <w:kern w:val="0"/>
                <w:sz w:val="20"/>
                <w:szCs w:val="20"/>
                <w:lang w:val="en-US" w:eastAsia="zh-CN"/>
              </w:rPr>
            </w:pPr>
            <w:r>
              <w:rPr>
                <w:rFonts w:hint="eastAsia" w:ascii="宋体" w:hAnsi="宋体"/>
                <w:color w:val="000000"/>
                <w:kern w:val="0"/>
                <w:sz w:val="20"/>
                <w:szCs w:val="20"/>
                <w:lang w:val="en-US" w:eastAsia="zh-CN"/>
              </w:rPr>
              <w:t>40</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hint="default" w:ascii="宋体" w:hAnsi="宋体" w:eastAsia="宋体"/>
                <w:color w:val="000000"/>
                <w:kern w:val="0"/>
                <w:lang w:val="en-US" w:eastAsia="zh-CN"/>
              </w:rPr>
            </w:pPr>
            <w:r>
              <w:rPr>
                <w:rFonts w:hint="eastAsia" w:ascii="宋体" w:hAnsi="宋体"/>
                <w:color w:val="000000"/>
                <w:kern w:val="0"/>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61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0"/>
                <w:szCs w:val="20"/>
              </w:rPr>
            </w:pPr>
          </w:p>
        </w:tc>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0"/>
                <w:szCs w:val="20"/>
              </w:rPr>
            </w:pPr>
          </w:p>
        </w:tc>
        <w:tc>
          <w:tcPr>
            <w:tcW w:w="3535"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color w:val="000000"/>
                <w:kern w:val="0"/>
                <w:sz w:val="20"/>
                <w:szCs w:val="20"/>
              </w:rPr>
            </w:pPr>
            <w:r>
              <w:rPr>
                <w:rFonts w:hint="eastAsia" w:ascii="宋体" w:hAnsi="宋体"/>
                <w:color w:val="000000"/>
                <w:kern w:val="0"/>
                <w:sz w:val="20"/>
                <w:szCs w:val="20"/>
              </w:rPr>
              <w:t>完成时效</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hint="default" w:ascii="宋体" w:hAnsi="宋体" w:eastAsia="宋体"/>
                <w:color w:val="000000"/>
                <w:kern w:val="0"/>
                <w:sz w:val="20"/>
                <w:szCs w:val="20"/>
                <w:lang w:val="en-US" w:eastAsia="zh-CN"/>
              </w:rPr>
            </w:pPr>
            <w:r>
              <w:rPr>
                <w:rFonts w:hint="eastAsia" w:ascii="宋体" w:hAnsi="宋体"/>
                <w:color w:val="000000"/>
                <w:kern w:val="0"/>
                <w:sz w:val="20"/>
                <w:szCs w:val="20"/>
                <w:lang w:val="en-US" w:eastAsia="zh-CN"/>
              </w:rPr>
              <w:t>10</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hint="default" w:ascii="宋体" w:hAnsi="宋体" w:eastAsia="宋体"/>
                <w:color w:val="000000"/>
                <w:kern w:val="0"/>
                <w:lang w:val="en-US" w:eastAsia="zh-CN"/>
              </w:rPr>
            </w:pPr>
            <w:r>
              <w:rPr>
                <w:rFonts w:hint="eastAsia" w:ascii="宋体" w:hAnsi="宋体"/>
                <w:color w:val="000000"/>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61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kern w:val="0"/>
                <w:sz w:val="20"/>
                <w:szCs w:val="20"/>
              </w:rPr>
            </w:pPr>
          </w:p>
        </w:tc>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kern w:val="0"/>
                <w:sz w:val="20"/>
                <w:szCs w:val="20"/>
              </w:rPr>
            </w:pPr>
          </w:p>
        </w:tc>
        <w:tc>
          <w:tcPr>
            <w:tcW w:w="3535"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color w:val="000000"/>
                <w:kern w:val="0"/>
                <w:sz w:val="20"/>
                <w:szCs w:val="20"/>
              </w:rPr>
            </w:pPr>
            <w:r>
              <w:rPr>
                <w:rFonts w:hint="eastAsia" w:ascii="宋体" w:hAnsi="宋体"/>
                <w:color w:val="000000"/>
                <w:kern w:val="0"/>
                <w:sz w:val="20"/>
                <w:szCs w:val="20"/>
              </w:rPr>
              <w:t>完成成本</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hint="default" w:ascii="宋体" w:hAnsi="宋体" w:eastAsia="宋体"/>
                <w:color w:val="000000"/>
                <w:kern w:val="0"/>
                <w:sz w:val="20"/>
                <w:szCs w:val="20"/>
                <w:lang w:val="en-US" w:eastAsia="zh-CN"/>
              </w:rPr>
            </w:pPr>
            <w:r>
              <w:rPr>
                <w:rFonts w:hint="eastAsia" w:ascii="宋体" w:hAnsi="宋体"/>
                <w:color w:val="000000"/>
                <w:kern w:val="0"/>
                <w:sz w:val="20"/>
                <w:szCs w:val="20"/>
                <w:lang w:val="en-US" w:eastAsia="zh-CN"/>
              </w:rPr>
              <w:t>10</w:t>
            </w:r>
          </w:p>
        </w:tc>
        <w:tc>
          <w:tcPr>
            <w:tcW w:w="1311"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hint="default" w:ascii="宋体" w:hAnsi="宋体" w:eastAsia="宋体"/>
                <w:color w:val="000000"/>
                <w:kern w:val="0"/>
                <w:lang w:val="en-US" w:eastAsia="zh-CN"/>
              </w:rPr>
            </w:pPr>
            <w:r>
              <w:rPr>
                <w:rFonts w:hint="eastAsia" w:ascii="宋体" w:hAnsi="宋体"/>
                <w:color w:val="000000"/>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61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color w:val="000000"/>
                <w:kern w:val="0"/>
                <w:sz w:val="20"/>
                <w:szCs w:val="20"/>
              </w:rPr>
            </w:pPr>
            <w:r>
              <w:rPr>
                <w:rFonts w:hint="eastAsia" w:ascii="宋体" w:hAnsi="宋体"/>
                <w:color w:val="000000"/>
                <w:kern w:val="0"/>
                <w:sz w:val="20"/>
                <w:szCs w:val="20"/>
              </w:rPr>
              <w:t>总分</w:t>
            </w:r>
          </w:p>
        </w:tc>
        <w:tc>
          <w:tcPr>
            <w:tcW w:w="8270" w:type="dxa"/>
            <w:gridSpan w:val="4"/>
            <w:tcBorders>
              <w:top w:val="single" w:color="auto" w:sz="4" w:space="0"/>
              <w:left w:val="nil"/>
              <w:bottom w:val="single" w:color="auto" w:sz="4" w:space="0"/>
              <w:right w:val="single" w:color="auto" w:sz="4" w:space="0"/>
            </w:tcBorders>
            <w:vAlign w:val="center"/>
          </w:tcPr>
          <w:p>
            <w:pPr>
              <w:widowControl/>
              <w:spacing w:line="260" w:lineRule="exact"/>
              <w:jc w:val="left"/>
              <w:rPr>
                <w:rFonts w:hint="default" w:ascii="宋体" w:hAnsi="宋体" w:eastAsia="宋体"/>
                <w:color w:val="000000"/>
                <w:kern w:val="0"/>
                <w:lang w:val="en-US" w:eastAsia="zh-CN"/>
              </w:rPr>
            </w:pPr>
            <w:r>
              <w:rPr>
                <w:rFonts w:hint="eastAsia" w:ascii="宋体" w:hAnsi="宋体"/>
                <w:color w:val="000000"/>
                <w:kern w:val="0"/>
                <w:lang w:val="en-US" w:eastAsia="zh-CN"/>
              </w:rPr>
              <w:t>100</w:t>
            </w:r>
          </w:p>
        </w:tc>
      </w:tr>
    </w:tbl>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pPr>
        <w:spacing w:line="580" w:lineRule="exact"/>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投融资理财群体专项工作经费项目是对市委市政府决策部署落实的必要手段，是保障全市范围内投融资理财群体稳定的必要措施。主要设置了处置工作、困难群众帮扶等质量指标。</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pPr>
        <w:spacing w:line="580" w:lineRule="exact"/>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该项目全年预算数30万元，执行数为24.95万元，剩余5.05万元将继续实施。主要用于投融资理财工作处置、困难群众帮扶等开支。</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pPr>
        <w:spacing w:line="580" w:lineRule="exact"/>
        <w:ind w:firstLine="640" w:firstLineChars="200"/>
        <w:rPr>
          <w:rFonts w:hint="eastAsia" w:ascii="仿宋_GB2312" w:hAnsi="仿宋_GB2312" w:eastAsia="仿宋_GB2312" w:cs="仿宋_GB2312"/>
          <w:sz w:val="32"/>
          <w:szCs w:val="32"/>
          <w:lang w:eastAsia="zh-CN"/>
        </w:rPr>
      </w:pPr>
      <w:r>
        <w:rPr>
          <w:rFonts w:hint="eastAsia" w:ascii="仿宋" w:hAnsi="仿宋" w:eastAsia="仿宋" w:cs="仿宋_GB2312"/>
          <w:sz w:val="32"/>
          <w:szCs w:val="32"/>
          <w:lang w:val="en-US" w:eastAsia="zh-CN"/>
        </w:rPr>
        <w:t>该项目全年开展各类处置工作20余次，印发各类宣传资料5万余份，救助投资理财类困难群众100余人次。</w:t>
      </w:r>
      <w:r>
        <w:rPr>
          <w:rFonts w:ascii="仿宋" w:hAnsi="仿宋" w:eastAsia="仿宋" w:cs="仿宋_GB2312"/>
          <w:sz w:val="32"/>
          <w:szCs w:val="32"/>
        </w:rPr>
        <w:t>项目效益情况</w:t>
      </w:r>
      <w:r>
        <w:rPr>
          <w:rFonts w:hint="eastAsia" w:ascii="仿宋" w:hAnsi="仿宋" w:eastAsia="仿宋" w:cs="仿宋_GB2312"/>
          <w:sz w:val="32"/>
          <w:szCs w:val="32"/>
          <w:lang w:eastAsia="zh-CN"/>
        </w:rPr>
        <w:t>：</w:t>
      </w:r>
      <w:r>
        <w:rPr>
          <w:rFonts w:hint="eastAsia" w:ascii="仿宋" w:hAnsi="仿宋" w:eastAsia="仿宋" w:cs="仿宋_GB2312"/>
          <w:sz w:val="32"/>
          <w:szCs w:val="32"/>
          <w:lang w:val="en-US" w:eastAsia="zh-CN"/>
        </w:rPr>
        <w:t>通过项目实施，落实了市委市政府投资理财群体工作决策部署，保障了全市范围内投资理财群体的和谐稳定。</w:t>
      </w:r>
    </w:p>
    <w:p>
      <w:pPr>
        <w:numPr>
          <w:ilvl w:val="0"/>
          <w:numId w:val="0"/>
        </w:numPr>
        <w:spacing w:line="580" w:lineRule="exact"/>
        <w:ind w:firstLine="640" w:firstLineChars="200"/>
        <w:rPr>
          <w:rFonts w:hint="eastAsia" w:ascii="仿宋_GB2312" w:hAnsi="仿宋_GB2312" w:eastAsia="仿宋_GB2312" w:cs="仿宋_GB2312"/>
          <w:sz w:val="32"/>
          <w:szCs w:val="32"/>
        </w:rPr>
      </w:pPr>
      <w:r>
        <w:rPr>
          <w:rFonts w:hint="eastAsia" w:ascii="仿宋" w:hAnsi="仿宋" w:eastAsia="仿宋" w:cs="仿宋_GB2312"/>
          <w:sz w:val="32"/>
          <w:szCs w:val="32"/>
        </w:rPr>
        <w:t>三</w:t>
      </w:r>
      <w:r>
        <w:rPr>
          <w:rFonts w:ascii="仿宋" w:hAnsi="仿宋" w:eastAsia="仿宋" w:cs="仿宋_GB2312"/>
          <w:sz w:val="32"/>
          <w:szCs w:val="32"/>
        </w:rPr>
        <w:t>、存在主要问题</w:t>
      </w:r>
      <w:r>
        <w:rPr>
          <w:rFonts w:hint="eastAsia" w:ascii="仿宋" w:hAnsi="仿宋" w:eastAsia="仿宋" w:cs="仿宋_GB2312"/>
          <w:sz w:val="32"/>
          <w:szCs w:val="32"/>
          <w:lang w:eastAsia="zh-CN"/>
        </w:rPr>
        <w:t>：</w:t>
      </w:r>
      <w:r>
        <w:rPr>
          <w:rFonts w:hint="eastAsia" w:ascii="仿宋" w:hAnsi="仿宋" w:eastAsia="仿宋" w:cs="仿宋_GB2312"/>
          <w:sz w:val="32"/>
          <w:szCs w:val="32"/>
          <w:lang w:val="en-US" w:eastAsia="zh-CN"/>
        </w:rPr>
        <w:t>专项工作经费使用管理有待加强，</w:t>
      </w:r>
      <w:r>
        <w:rPr>
          <w:rFonts w:hint="eastAsia" w:ascii="仿宋" w:hAnsi="仿宋" w:eastAsia="仿宋" w:cs="仿宋_GB2312"/>
          <w:sz w:val="32"/>
          <w:szCs w:val="32"/>
          <w:lang w:eastAsia="zh-CN"/>
        </w:rPr>
        <w:t>严格投融资理财困难群众帮扶救助审核。</w:t>
      </w:r>
    </w:p>
    <w:p>
      <w:pPr>
        <w:numPr>
          <w:ilvl w:val="0"/>
          <w:numId w:val="0"/>
        </w:numPr>
        <w:spacing w:line="580" w:lineRule="exact"/>
        <w:ind w:firstLine="640" w:firstLineChars="200"/>
        <w:rPr>
          <w:rFonts w:ascii="仿宋_GB2312" w:hAnsi="仿宋_GB2312" w:eastAsia="仿宋_GB2312" w:cs="仿宋_GB2312"/>
          <w:sz w:val="32"/>
          <w:szCs w:val="32"/>
        </w:rPr>
      </w:pPr>
      <w:r>
        <w:rPr>
          <w:rFonts w:hint="eastAsia" w:ascii="仿宋" w:hAnsi="仿宋" w:eastAsia="仿宋" w:cs="仿宋_GB2312"/>
          <w:sz w:val="32"/>
          <w:szCs w:val="32"/>
        </w:rPr>
        <w:t>四</w:t>
      </w:r>
      <w:r>
        <w:rPr>
          <w:rFonts w:ascii="仿宋" w:hAnsi="仿宋" w:eastAsia="仿宋" w:cs="仿宋_GB2312"/>
          <w:sz w:val="32"/>
          <w:szCs w:val="32"/>
        </w:rPr>
        <w:t>、相关措施建议</w:t>
      </w:r>
      <w:r>
        <w:rPr>
          <w:rFonts w:hint="eastAsia" w:ascii="仿宋" w:hAnsi="仿宋" w:eastAsia="仿宋" w:cs="仿宋_GB2312"/>
          <w:sz w:val="32"/>
          <w:szCs w:val="32"/>
          <w:lang w:eastAsia="zh-CN"/>
        </w:rPr>
        <w:t>：</w:t>
      </w:r>
      <w:r>
        <w:rPr>
          <w:rFonts w:hint="eastAsia" w:ascii="仿宋" w:hAnsi="仿宋" w:eastAsia="仿宋" w:cs="仿宋_GB2312"/>
          <w:sz w:val="32"/>
          <w:szCs w:val="32"/>
          <w:lang w:val="en-US" w:eastAsia="zh-CN"/>
        </w:rPr>
        <w:t>进一步完善专项资金管理使用制度，严格执行资金申报审批制度，保障投融资理财群体稳定。</w:t>
      </w: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both"/>
        <w:outlineLvl w:val="0"/>
        <w:rPr>
          <w:rFonts w:hint="eastAsia" w:ascii="黑体" w:hAnsi="黑体" w:eastAsia="黑体"/>
          <w:color w:val="000000"/>
          <w:sz w:val="44"/>
          <w:szCs w:val="44"/>
        </w:rPr>
      </w:pPr>
    </w:p>
    <w:p>
      <w:pPr>
        <w:spacing w:line="600" w:lineRule="exact"/>
        <w:jc w:val="both"/>
        <w:outlineLvl w:val="0"/>
        <w:rPr>
          <w:rFonts w:hint="eastAsia" w:ascii="黑体" w:hAnsi="黑体" w:eastAsia="黑体"/>
          <w:color w:val="000000"/>
          <w:sz w:val="44"/>
          <w:szCs w:val="44"/>
        </w:rPr>
      </w:pPr>
    </w:p>
    <w:p>
      <w:pPr>
        <w:spacing w:line="600" w:lineRule="exact"/>
        <w:ind w:firstLine="2200" w:firstLineChars="500"/>
        <w:jc w:val="both"/>
        <w:outlineLvl w:val="0"/>
        <w:rPr>
          <w:rStyle w:val="24"/>
          <w:rFonts w:ascii="黑体" w:hAnsi="黑体" w:eastAsia="黑体"/>
          <w:b w:val="0"/>
        </w:rPr>
      </w:pPr>
      <w:r>
        <w:rPr>
          <w:rFonts w:hint="eastAsia" w:ascii="黑体" w:hAnsi="黑体" w:eastAsia="黑体"/>
          <w:color w:val="000000"/>
          <w:sz w:val="44"/>
          <w:szCs w:val="44"/>
        </w:rPr>
        <w:t>第</w:t>
      </w:r>
      <w:r>
        <w:rPr>
          <w:rStyle w:val="24"/>
          <w:rFonts w:hint="eastAsia" w:ascii="黑体" w:hAnsi="黑体" w:eastAsia="黑体"/>
          <w:b w:val="0"/>
        </w:rPr>
        <w:t>五部分 附表</w:t>
      </w:r>
      <w:bookmarkEnd w:id="57"/>
      <w:bookmarkEnd w:id="62"/>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63" w:name="_Toc15396619"/>
      <w:r>
        <w:rPr>
          <w:rFonts w:hint="eastAsia" w:ascii="仿宋" w:hAnsi="仿宋" w:eastAsia="仿宋"/>
          <w:b w:val="0"/>
          <w:color w:val="000000"/>
        </w:rPr>
        <w:t>一、收</w:t>
      </w:r>
      <w:r>
        <w:rPr>
          <w:rStyle w:val="25"/>
          <w:rFonts w:hint="eastAsia" w:ascii="仿宋" w:hAnsi="仿宋" w:eastAsia="仿宋"/>
          <w:b w:val="0"/>
          <w:bCs w:val="0"/>
        </w:rPr>
        <w:t>入支出决算总表</w:t>
      </w:r>
      <w:bookmarkEnd w:id="63"/>
    </w:p>
    <w:p>
      <w:pPr>
        <w:pStyle w:val="3"/>
        <w:rPr>
          <w:rFonts w:ascii="仿宋" w:hAnsi="仿宋" w:eastAsia="仿宋"/>
          <w:color w:val="000000"/>
        </w:rPr>
      </w:pPr>
      <w:bookmarkStart w:id="64" w:name="_Toc15396620"/>
      <w:r>
        <w:rPr>
          <w:rFonts w:hint="eastAsia" w:ascii="仿宋" w:hAnsi="仿宋" w:eastAsia="仿宋"/>
          <w:b w:val="0"/>
          <w:color w:val="000000"/>
        </w:rPr>
        <w:t>二、收</w:t>
      </w:r>
      <w:r>
        <w:rPr>
          <w:rStyle w:val="25"/>
          <w:rFonts w:hint="eastAsia" w:ascii="仿宋" w:hAnsi="仿宋" w:eastAsia="仿宋"/>
          <w:b w:val="0"/>
          <w:bCs w:val="0"/>
        </w:rPr>
        <w:t>入总表</w:t>
      </w:r>
      <w:bookmarkEnd w:id="64"/>
    </w:p>
    <w:p>
      <w:pPr>
        <w:pStyle w:val="3"/>
        <w:rPr>
          <w:rFonts w:ascii="仿宋" w:hAnsi="仿宋" w:eastAsia="仿宋"/>
          <w:color w:val="000000"/>
        </w:rPr>
      </w:pPr>
      <w:bookmarkStart w:id="65" w:name="_Toc15396621"/>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出总表</w:t>
      </w:r>
      <w:bookmarkEnd w:id="65"/>
    </w:p>
    <w:p>
      <w:pPr>
        <w:pStyle w:val="3"/>
        <w:rPr>
          <w:rFonts w:ascii="仿宋" w:hAnsi="仿宋" w:eastAsia="仿宋"/>
          <w:b w:val="0"/>
          <w:color w:val="000000"/>
        </w:rPr>
      </w:pPr>
      <w:bookmarkStart w:id="66" w:name="_Toc15396622"/>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66"/>
    </w:p>
    <w:p>
      <w:pPr>
        <w:pStyle w:val="3"/>
        <w:rPr>
          <w:rFonts w:ascii="仿宋" w:hAnsi="仿宋" w:eastAsia="仿宋"/>
          <w:color w:val="000000"/>
        </w:rPr>
      </w:pPr>
      <w:bookmarkStart w:id="67" w:name="_Toc15396623"/>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政拨款支出决算明细表（政府经济分类科目）</w:t>
      </w:r>
      <w:bookmarkEnd w:id="67"/>
    </w:p>
    <w:p>
      <w:pPr>
        <w:pStyle w:val="3"/>
        <w:rPr>
          <w:rFonts w:ascii="仿宋" w:hAnsi="仿宋" w:eastAsia="仿宋"/>
          <w:color w:val="000000"/>
        </w:rPr>
      </w:pPr>
      <w:bookmarkStart w:id="68" w:name="_Toc15396624"/>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68"/>
    </w:p>
    <w:p>
      <w:pPr>
        <w:pStyle w:val="3"/>
        <w:rPr>
          <w:rFonts w:ascii="仿宋" w:hAnsi="仿宋" w:eastAsia="仿宋"/>
          <w:color w:val="000000"/>
        </w:rPr>
      </w:pPr>
      <w:bookmarkStart w:id="69" w:name="_Toc15396625"/>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69"/>
    </w:p>
    <w:p>
      <w:pPr>
        <w:pStyle w:val="3"/>
        <w:rPr>
          <w:rFonts w:ascii="仿宋" w:hAnsi="仿宋" w:eastAsia="仿宋"/>
          <w:color w:val="000000"/>
        </w:rPr>
      </w:pPr>
      <w:bookmarkStart w:id="70" w:name="_Toc15396626"/>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70"/>
    </w:p>
    <w:p>
      <w:pPr>
        <w:pStyle w:val="3"/>
        <w:rPr>
          <w:rFonts w:ascii="仿宋" w:hAnsi="仿宋" w:eastAsia="仿宋"/>
          <w:color w:val="000000"/>
        </w:rPr>
      </w:pPr>
      <w:bookmarkStart w:id="71" w:name="_Toc15396627"/>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71"/>
    </w:p>
    <w:p>
      <w:pPr>
        <w:pStyle w:val="3"/>
        <w:rPr>
          <w:rFonts w:ascii="仿宋" w:hAnsi="仿宋" w:eastAsia="仿宋"/>
          <w:color w:val="000000"/>
        </w:rPr>
      </w:pPr>
      <w:bookmarkStart w:id="72" w:name="_Toc15396628"/>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72"/>
    </w:p>
    <w:p>
      <w:pPr>
        <w:pStyle w:val="3"/>
        <w:rPr>
          <w:rFonts w:ascii="仿宋" w:hAnsi="仿宋" w:eastAsia="仿宋"/>
          <w:color w:val="000000"/>
        </w:rPr>
      </w:pPr>
      <w:bookmarkStart w:id="73" w:name="_Toc15396629"/>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73"/>
    </w:p>
    <w:p>
      <w:pPr>
        <w:pStyle w:val="3"/>
        <w:rPr>
          <w:rFonts w:ascii="仿宋" w:hAnsi="仿宋" w:eastAsia="仿宋"/>
          <w:color w:val="000000"/>
        </w:rPr>
      </w:pPr>
      <w:bookmarkStart w:id="74" w:name="_Toc15396630"/>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74"/>
    </w:p>
    <w:p>
      <w:pPr>
        <w:pStyle w:val="3"/>
        <w:rPr>
          <w:rFonts w:ascii="仿宋" w:hAnsi="仿宋" w:eastAsia="仿宋"/>
          <w:color w:val="000000" w:themeColor="text1"/>
          <w14:textFill>
            <w14:solidFill>
              <w14:schemeClr w14:val="tx1"/>
            </w14:solidFill>
          </w14:textFill>
        </w:rPr>
      </w:pPr>
      <w:bookmarkStart w:id="75" w:name="_Toc15396631"/>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有资本经营预算支出决算表</w:t>
      </w:r>
      <w:bookmarkEnd w:id="75"/>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auto"/>
    <w:pitch w:val="default"/>
    <w:sig w:usb0="00000000" w:usb1="00000000" w:usb2="00000016" w:usb3="00000000" w:csb0="0004001F" w:csb1="00000000"/>
  </w:font>
  <w:font w:name="Cambria">
    <w:altName w:val="Noto Sans Syriac Eastern"/>
    <w:panose1 w:val="02040503050406030204"/>
    <w:charset w:val="00"/>
    <w:family w:val="roman"/>
    <w:pitch w:val="default"/>
    <w:sig w:usb0="00000000" w:usb1="00000000"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Lucida Sans">
    <w:panose1 w:val="020B0602030504020204"/>
    <w:charset w:val="00"/>
    <w:family w:val="auto"/>
    <w:pitch w:val="default"/>
    <w:sig w:usb0="00000000" w:usb1="00000000" w:usb2="00000000" w:usb3="00000000" w:csb0="00000000" w:csb1="00000000"/>
  </w:font>
  <w:font w:name="Comic Sans MS">
    <w:panose1 w:val="030F0702030302020204"/>
    <w:charset w:val="00"/>
    <w:family w:val="auto"/>
    <w:pitch w:val="default"/>
    <w:sig w:usb0="00000287" w:usb1="00000000" w:usb2="00000000" w:usb3="00000000" w:csb0="2000009F"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docPartObj>
        <w:docPartGallery w:val="autotext"/>
      </w:docPartObj>
    </w:sdtPr>
    <w:sdtContent>
      <w:p>
        <w:pPr>
          <w:pStyle w:val="8"/>
          <w:jc w:val="center"/>
        </w:pPr>
        <w:r>
          <w:fldChar w:fldCharType="begin"/>
        </w:r>
        <w:r>
          <w:instrText xml:space="preserve">PAGE   \* MERGEFORMAT</w:instrText>
        </w:r>
        <w:r>
          <w:fldChar w:fldCharType="separate"/>
        </w:r>
        <w:r>
          <w:rPr>
            <w:lang w:val="zh-CN"/>
          </w:rPr>
          <w:t>10</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26C66B"/>
    <w:multiLevelType w:val="singleLevel"/>
    <w:tmpl w:val="B026C66B"/>
    <w:lvl w:ilvl="0" w:tentative="0">
      <w:start w:val="1"/>
      <w:numFmt w:val="decimal"/>
      <w:lvlText w:val="%1."/>
      <w:lvlJc w:val="left"/>
      <w:pPr>
        <w:tabs>
          <w:tab w:val="left" w:pos="312"/>
        </w:tabs>
      </w:p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6">
    <w:nsid w:val="3C97DF01"/>
    <w:multiLevelType w:val="singleLevel"/>
    <w:tmpl w:val="3C97DF01"/>
    <w:lvl w:ilvl="0" w:tentative="0">
      <w:start w:val="2"/>
      <w:numFmt w:val="chineseCounting"/>
      <w:suff w:val="nothing"/>
      <w:lvlText w:val="（%1）"/>
      <w:lvlJc w:val="left"/>
      <w:rPr>
        <w:rFonts w:hint="eastAsia"/>
      </w:rPr>
    </w:lvl>
  </w:abstractNum>
  <w:num w:numId="1">
    <w:abstractNumId w:val="4"/>
  </w:num>
  <w:num w:numId="2">
    <w:abstractNumId w:val="1"/>
  </w:num>
  <w:num w:numId="3">
    <w:abstractNumId w:val="5"/>
  </w:num>
  <w:num w:numId="4">
    <w:abstractNumId w:val="3"/>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6487A"/>
    <w:rsid w:val="00065F8F"/>
    <w:rsid w:val="000768F2"/>
    <w:rsid w:val="0009184B"/>
    <w:rsid w:val="0009593C"/>
    <w:rsid w:val="000B047F"/>
    <w:rsid w:val="000B5923"/>
    <w:rsid w:val="000B5A48"/>
    <w:rsid w:val="000B6FF3"/>
    <w:rsid w:val="000C3467"/>
    <w:rsid w:val="000C3CA6"/>
    <w:rsid w:val="000D1267"/>
    <w:rsid w:val="000D1D50"/>
    <w:rsid w:val="000D5782"/>
    <w:rsid w:val="000E6613"/>
    <w:rsid w:val="000E7119"/>
    <w:rsid w:val="00114E9B"/>
    <w:rsid w:val="0014729F"/>
    <w:rsid w:val="00157BAB"/>
    <w:rsid w:val="001654D1"/>
    <w:rsid w:val="0018106D"/>
    <w:rsid w:val="001877A7"/>
    <w:rsid w:val="00191536"/>
    <w:rsid w:val="00196687"/>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F1818"/>
    <w:rsid w:val="002F567B"/>
    <w:rsid w:val="003216A9"/>
    <w:rsid w:val="0037013F"/>
    <w:rsid w:val="00380C92"/>
    <w:rsid w:val="003A484F"/>
    <w:rsid w:val="003B0BE0"/>
    <w:rsid w:val="003B0C1B"/>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7481D"/>
    <w:rsid w:val="0058486E"/>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F020C"/>
    <w:rsid w:val="007127B7"/>
    <w:rsid w:val="007416B6"/>
    <w:rsid w:val="00746F48"/>
    <w:rsid w:val="0075404D"/>
    <w:rsid w:val="0076182A"/>
    <w:rsid w:val="00767B7E"/>
    <w:rsid w:val="007770C3"/>
    <w:rsid w:val="00784D24"/>
    <w:rsid w:val="00785FBA"/>
    <w:rsid w:val="00786E4A"/>
    <w:rsid w:val="007875EB"/>
    <w:rsid w:val="0079426B"/>
    <w:rsid w:val="007D312A"/>
    <w:rsid w:val="007D3F19"/>
    <w:rsid w:val="007E23B0"/>
    <w:rsid w:val="007F1991"/>
    <w:rsid w:val="007F2C2F"/>
    <w:rsid w:val="007F55FC"/>
    <w:rsid w:val="007F5665"/>
    <w:rsid w:val="00800112"/>
    <w:rsid w:val="008253BB"/>
    <w:rsid w:val="0083706E"/>
    <w:rsid w:val="008423A5"/>
    <w:rsid w:val="00850625"/>
    <w:rsid w:val="00853718"/>
    <w:rsid w:val="00855221"/>
    <w:rsid w:val="00860645"/>
    <w:rsid w:val="00871F71"/>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46945"/>
    <w:rsid w:val="00951248"/>
    <w:rsid w:val="0095152F"/>
    <w:rsid w:val="00954C49"/>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A04EB0"/>
    <w:rsid w:val="00A13CC1"/>
    <w:rsid w:val="00A16847"/>
    <w:rsid w:val="00A237D8"/>
    <w:rsid w:val="00A268C4"/>
    <w:rsid w:val="00A307CD"/>
    <w:rsid w:val="00A40A00"/>
    <w:rsid w:val="00A4142F"/>
    <w:rsid w:val="00A56DF2"/>
    <w:rsid w:val="00A67AB5"/>
    <w:rsid w:val="00A91760"/>
    <w:rsid w:val="00A93B00"/>
    <w:rsid w:val="00A93C21"/>
    <w:rsid w:val="00AC3C6A"/>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91CBB"/>
    <w:rsid w:val="00CC09B6"/>
    <w:rsid w:val="00CC666F"/>
    <w:rsid w:val="00CD1E3F"/>
    <w:rsid w:val="00CE44F6"/>
    <w:rsid w:val="00CE49DA"/>
    <w:rsid w:val="00CE7B61"/>
    <w:rsid w:val="00D00095"/>
    <w:rsid w:val="00D20620"/>
    <w:rsid w:val="00D26091"/>
    <w:rsid w:val="00D34E7C"/>
    <w:rsid w:val="00D35489"/>
    <w:rsid w:val="00D51276"/>
    <w:rsid w:val="00D7035F"/>
    <w:rsid w:val="00DA65AC"/>
    <w:rsid w:val="00DB1913"/>
    <w:rsid w:val="00DC410D"/>
    <w:rsid w:val="00DC68CA"/>
    <w:rsid w:val="00DC7CBA"/>
    <w:rsid w:val="00DD73B7"/>
    <w:rsid w:val="00DF28BC"/>
    <w:rsid w:val="00DF34B9"/>
    <w:rsid w:val="00E01053"/>
    <w:rsid w:val="00E07ACF"/>
    <w:rsid w:val="00E331A1"/>
    <w:rsid w:val="00E33202"/>
    <w:rsid w:val="00E336A9"/>
    <w:rsid w:val="00E50624"/>
    <w:rsid w:val="00E568DF"/>
    <w:rsid w:val="00E64269"/>
    <w:rsid w:val="00E82267"/>
    <w:rsid w:val="00EA010F"/>
    <w:rsid w:val="00ED1B63"/>
    <w:rsid w:val="00ED3C1F"/>
    <w:rsid w:val="00ED4085"/>
    <w:rsid w:val="00ED420E"/>
    <w:rsid w:val="00EE2F57"/>
    <w:rsid w:val="00EF4C34"/>
    <w:rsid w:val="00EF77C6"/>
    <w:rsid w:val="00F05438"/>
    <w:rsid w:val="00F1361C"/>
    <w:rsid w:val="00F160C7"/>
    <w:rsid w:val="00F36D8F"/>
    <w:rsid w:val="00F417B1"/>
    <w:rsid w:val="00F602DF"/>
    <w:rsid w:val="00F81FD9"/>
    <w:rsid w:val="00F841AA"/>
    <w:rsid w:val="00FA23E8"/>
    <w:rsid w:val="00FD3CC1"/>
    <w:rsid w:val="00FF1E02"/>
    <w:rsid w:val="00FF30B4"/>
    <w:rsid w:val="06511E1F"/>
    <w:rsid w:val="08FF2992"/>
    <w:rsid w:val="0A7A3D5F"/>
    <w:rsid w:val="0B31530A"/>
    <w:rsid w:val="0D1E3931"/>
    <w:rsid w:val="0E2E5D19"/>
    <w:rsid w:val="0E5A7857"/>
    <w:rsid w:val="10C055FF"/>
    <w:rsid w:val="141A3053"/>
    <w:rsid w:val="16BB723D"/>
    <w:rsid w:val="1CF176EF"/>
    <w:rsid w:val="1D7C3F40"/>
    <w:rsid w:val="23643E7B"/>
    <w:rsid w:val="240371BF"/>
    <w:rsid w:val="290B387D"/>
    <w:rsid w:val="29380219"/>
    <w:rsid w:val="29FD04D3"/>
    <w:rsid w:val="2BC312BA"/>
    <w:rsid w:val="2FC758DA"/>
    <w:rsid w:val="319F7F4E"/>
    <w:rsid w:val="32176BBD"/>
    <w:rsid w:val="34157822"/>
    <w:rsid w:val="35143C2D"/>
    <w:rsid w:val="351B0EFD"/>
    <w:rsid w:val="387A06F8"/>
    <w:rsid w:val="3A475CB7"/>
    <w:rsid w:val="3D78677A"/>
    <w:rsid w:val="3EA36402"/>
    <w:rsid w:val="42880275"/>
    <w:rsid w:val="43387315"/>
    <w:rsid w:val="43A723BE"/>
    <w:rsid w:val="45074F2D"/>
    <w:rsid w:val="45825BF4"/>
    <w:rsid w:val="47911C1E"/>
    <w:rsid w:val="49D14C30"/>
    <w:rsid w:val="4B256019"/>
    <w:rsid w:val="4B9500F5"/>
    <w:rsid w:val="4E09794A"/>
    <w:rsid w:val="4F9C27A6"/>
    <w:rsid w:val="4FCE2DD6"/>
    <w:rsid w:val="503807DC"/>
    <w:rsid w:val="50B248C2"/>
    <w:rsid w:val="50D14600"/>
    <w:rsid w:val="526D7114"/>
    <w:rsid w:val="552C6E54"/>
    <w:rsid w:val="553772F1"/>
    <w:rsid w:val="585F3C7F"/>
    <w:rsid w:val="58C50885"/>
    <w:rsid w:val="61044C64"/>
    <w:rsid w:val="67EB48CD"/>
    <w:rsid w:val="68AF05AC"/>
    <w:rsid w:val="692A45E0"/>
    <w:rsid w:val="69934C23"/>
    <w:rsid w:val="6AA96826"/>
    <w:rsid w:val="6CD40A27"/>
    <w:rsid w:val="6EA53AB8"/>
    <w:rsid w:val="727052BD"/>
    <w:rsid w:val="732769FA"/>
    <w:rsid w:val="73C10B6A"/>
    <w:rsid w:val="74C00900"/>
    <w:rsid w:val="75B478DE"/>
    <w:rsid w:val="7600554E"/>
    <w:rsid w:val="76C75F06"/>
    <w:rsid w:val="7E783F51"/>
    <w:rsid w:val="F1F9C08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5.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6.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7.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收入支出变动图</a:t>
            </a:r>
          </a:p>
        </c:rich>
      </c:tx>
      <c:layout/>
      <c:overlay val="false"/>
      <c:spPr>
        <a:noFill/>
        <a:ln>
          <a:noFill/>
        </a:ln>
        <a:effectLst/>
      </c:spPr>
    </c:title>
    <c:autoTitleDeleted val="false"/>
    <c:plotArea>
      <c:layout/>
      <c:barChart>
        <c:barDir val="col"/>
        <c:grouping val="stacked"/>
        <c:varyColors val="false"/>
        <c:ser>
          <c:idx val="0"/>
          <c:order val="0"/>
          <c:tx>
            <c:strRef>
              <c:f>Sheet1!$B$1</c:f>
              <c:strCache>
                <c:ptCount val="1"/>
                <c:pt idx="0">
                  <c:v>系列 1</c:v>
                </c:pt>
              </c:strCache>
            </c:strRef>
          </c:tx>
          <c:spPr>
            <a:solidFill>
              <a:schemeClr val="accent1"/>
            </a:solidFill>
            <a:ln>
              <a:noFill/>
            </a:ln>
            <a:effectLst/>
          </c:spPr>
          <c:invertIfNegative val="false"/>
          <c:dLbls>
            <c:delete val="true"/>
          </c:dLbls>
          <c:cat>
            <c:strRef>
              <c:f>Sheet1!$A$2:$A$5</c:f>
              <c:strCache>
                <c:ptCount val="4"/>
                <c:pt idx="0">
                  <c:v>2017年收入</c:v>
                </c:pt>
                <c:pt idx="1">
                  <c:v>2018年收入</c:v>
                </c:pt>
                <c:pt idx="2">
                  <c:v>2017年支出</c:v>
                </c:pt>
                <c:pt idx="3">
                  <c:v>2018年支出</c:v>
                </c:pt>
              </c:strCache>
            </c:strRef>
          </c:cat>
          <c:val>
            <c:numRef>
              <c:f>Sheet1!$B$2:$B$5</c:f>
              <c:numCache>
                <c:formatCode>General</c:formatCode>
                <c:ptCount val="4"/>
                <c:pt idx="0">
                  <c:v>100</c:v>
                </c:pt>
                <c:pt idx="1">
                  <c:v>100</c:v>
                </c:pt>
                <c:pt idx="2">
                  <c:v>100</c:v>
                </c:pt>
                <c:pt idx="3">
                  <c:v>100</c:v>
                </c:pt>
              </c:numCache>
            </c:numRef>
          </c:val>
        </c:ser>
        <c:ser>
          <c:idx val="1"/>
          <c:order val="1"/>
          <c:tx>
            <c:strRef>
              <c:f>Sheet1!$C$1</c:f>
              <c:strCache>
                <c:ptCount val="1"/>
                <c:pt idx="0">
                  <c:v>系列 2</c:v>
                </c:pt>
              </c:strCache>
            </c:strRef>
          </c:tx>
          <c:spPr>
            <a:solidFill>
              <a:schemeClr val="accent1"/>
            </a:solidFill>
            <a:ln>
              <a:noFill/>
            </a:ln>
            <a:effectLst/>
          </c:spPr>
          <c:invertIfNegative val="false"/>
          <c:dLbls>
            <c:delete val="true"/>
          </c:dLbls>
          <c:cat>
            <c:strRef>
              <c:f>Sheet1!$A$2:$A$5</c:f>
              <c:strCache>
                <c:ptCount val="4"/>
                <c:pt idx="0">
                  <c:v>2017年收入</c:v>
                </c:pt>
                <c:pt idx="1">
                  <c:v>2018年收入</c:v>
                </c:pt>
                <c:pt idx="2">
                  <c:v>2017年支出</c:v>
                </c:pt>
                <c:pt idx="3">
                  <c:v>2018年支出</c:v>
                </c:pt>
              </c:strCache>
            </c:strRef>
          </c:cat>
          <c:val>
            <c:numRef>
              <c:f>Sheet1!$C$2:$C$5</c:f>
              <c:numCache>
                <c:formatCode>General</c:formatCode>
                <c:ptCount val="4"/>
                <c:pt idx="0">
                  <c:v>96.92</c:v>
                </c:pt>
                <c:pt idx="1">
                  <c:v>134.66</c:v>
                </c:pt>
                <c:pt idx="2">
                  <c:v>116.43</c:v>
                </c:pt>
                <c:pt idx="3">
                  <c:v>133.46</c:v>
                </c:pt>
              </c:numCache>
            </c:numRef>
          </c:val>
        </c:ser>
        <c:ser>
          <c:idx val="2"/>
          <c:order val="2"/>
          <c:tx>
            <c:strRef>
              <c:f>Sheet1!$D$1</c:f>
              <c:strCache>
                <c:ptCount val="1"/>
                <c:pt idx="0">
                  <c:v>系列 3</c:v>
                </c:pt>
              </c:strCache>
            </c:strRef>
          </c:tx>
          <c:spPr>
            <a:solidFill>
              <a:schemeClr val="accent3"/>
            </a:solidFill>
            <a:ln>
              <a:noFill/>
            </a:ln>
            <a:effectLst/>
          </c:spPr>
          <c:invertIfNegative val="false"/>
          <c:dLbls>
            <c:delete val="true"/>
          </c:dLbls>
          <c:cat>
            <c:strRef>
              <c:f>Sheet1!$A$2:$A$5</c:f>
              <c:strCache>
                <c:ptCount val="4"/>
                <c:pt idx="0">
                  <c:v>2017年收入</c:v>
                </c:pt>
                <c:pt idx="1">
                  <c:v>2018年收入</c:v>
                </c:pt>
                <c:pt idx="2">
                  <c:v>2017年支出</c:v>
                </c:pt>
                <c:pt idx="3">
                  <c:v>2018年支出</c:v>
                </c:pt>
              </c:strCache>
            </c:strRef>
          </c:cat>
          <c:val>
            <c:numRef>
              <c:f>Sheet1!$D$2:$D$5</c:f>
              <c:numCache>
                <c:formatCode>General</c:formatCode>
                <c:ptCount val="4"/>
              </c:numCache>
            </c:numRef>
          </c:val>
        </c:ser>
        <c:dLbls>
          <c:showLegendKey val="false"/>
          <c:showVal val="false"/>
          <c:showCatName val="false"/>
          <c:showSerName val="false"/>
          <c:showPercent val="false"/>
          <c:showBubbleSize val="false"/>
        </c:dLbls>
        <c:gapWidth val="150"/>
        <c:overlap val="100"/>
        <c:axId val="657153833"/>
        <c:axId val="139715494"/>
      </c:barChart>
      <c:catAx>
        <c:axId val="657153833"/>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39715494"/>
        <c:crosses val="autoZero"/>
        <c:auto val="true"/>
        <c:lblAlgn val="ctr"/>
        <c:lblOffset val="100"/>
        <c:noMultiLvlLbl val="false"/>
      </c:catAx>
      <c:valAx>
        <c:axId val="139715494"/>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657153833"/>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pieChart>
        <c:varyColors val="true"/>
        <c:ser>
          <c:idx val="0"/>
          <c:order val="0"/>
          <c:tx>
            <c:strRef>
              <c:f>Sheet1!$B$1</c:f>
              <c:strCache>
                <c:ptCount val="1"/>
                <c:pt idx="0">
                  <c:v>收入占比</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Lbls>
            <c:delete val="true"/>
          </c:dLbls>
          <c:cat>
            <c:strRef>
              <c:f>Sheet1!$A$2:$A$5</c:f>
              <c:strCache>
                <c:ptCount val="4"/>
                <c:pt idx="0">
                  <c:v>财政拨款收入</c:v>
                </c:pt>
              </c:strCache>
            </c:strRef>
          </c:cat>
          <c:val>
            <c:numRef>
              <c:f>Sheet1!$B$2:$B$5</c:f>
              <c:numCache>
                <c:formatCode>General</c:formatCode>
                <c:ptCount val="4"/>
                <c:pt idx="0">
                  <c:v>100</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pieChart>
        <c:varyColors val="true"/>
        <c:ser>
          <c:idx val="0"/>
          <c:order val="0"/>
          <c:tx>
            <c:strRef>
              <c:f>Sheet1!$B$1</c:f>
              <c:strCache>
                <c:ptCount val="1"/>
                <c:pt idx="0">
                  <c:v>支出占比</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Lbls>
            <c:delete val="true"/>
          </c:dLbls>
          <c:cat>
            <c:strRef>
              <c:f>Sheet1!$A$2:$A$5</c:f>
              <c:strCache>
                <c:ptCount val="4"/>
                <c:pt idx="0">
                  <c:v>基本支出</c:v>
                </c:pt>
                <c:pt idx="1">
                  <c:v>项目支出</c:v>
                </c:pt>
              </c:strCache>
            </c:strRef>
          </c:cat>
          <c:val>
            <c:numRef>
              <c:f>Sheet1!$B$2:$B$5</c:f>
              <c:numCache>
                <c:formatCode>General</c:formatCode>
                <c:ptCount val="4"/>
                <c:pt idx="0">
                  <c:v>84.81</c:v>
                </c:pt>
                <c:pt idx="1">
                  <c:v>15.19</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收入支出变动图</a:t>
            </a:r>
          </a:p>
        </c:rich>
      </c:tx>
      <c:layout/>
      <c:overlay val="false"/>
      <c:spPr>
        <a:noFill/>
        <a:ln>
          <a:noFill/>
        </a:ln>
        <a:effectLst/>
      </c:spPr>
    </c:title>
    <c:autoTitleDeleted val="false"/>
    <c:plotArea>
      <c:layout/>
      <c:barChart>
        <c:barDir val="col"/>
        <c:grouping val="stacked"/>
        <c:varyColors val="false"/>
        <c:ser>
          <c:idx val="0"/>
          <c:order val="0"/>
          <c:tx>
            <c:strRef>
              <c:f>Sheet1!$B$1</c:f>
              <c:strCache>
                <c:ptCount val="1"/>
                <c:pt idx="0">
                  <c:v>系列 1</c:v>
                </c:pt>
              </c:strCache>
            </c:strRef>
          </c:tx>
          <c:spPr>
            <a:solidFill>
              <a:schemeClr val="accent3"/>
            </a:solidFill>
            <a:ln>
              <a:noFill/>
            </a:ln>
            <a:effectLst/>
          </c:spPr>
          <c:invertIfNegative val="false"/>
          <c:dLbls>
            <c:delete val="true"/>
          </c:dLbls>
          <c:cat>
            <c:strRef>
              <c:f>Sheet1!$A$2:$A$5</c:f>
              <c:strCache>
                <c:ptCount val="4"/>
                <c:pt idx="0">
                  <c:v>2017年收入</c:v>
                </c:pt>
                <c:pt idx="1">
                  <c:v>2018年收入</c:v>
                </c:pt>
                <c:pt idx="2">
                  <c:v>2017年支出</c:v>
                </c:pt>
                <c:pt idx="3">
                  <c:v>2018年支出</c:v>
                </c:pt>
              </c:strCache>
            </c:strRef>
          </c:cat>
          <c:val>
            <c:numRef>
              <c:f>Sheet1!$B$2:$B$5</c:f>
              <c:numCache>
                <c:formatCode>General</c:formatCode>
                <c:ptCount val="4"/>
                <c:pt idx="0">
                  <c:v>100</c:v>
                </c:pt>
                <c:pt idx="1">
                  <c:v>100</c:v>
                </c:pt>
                <c:pt idx="2">
                  <c:v>100</c:v>
                </c:pt>
                <c:pt idx="3">
                  <c:v>100</c:v>
                </c:pt>
              </c:numCache>
            </c:numRef>
          </c:val>
        </c:ser>
        <c:ser>
          <c:idx val="1"/>
          <c:order val="1"/>
          <c:tx>
            <c:strRef>
              <c:f>Sheet1!$C$1</c:f>
              <c:strCache>
                <c:ptCount val="1"/>
                <c:pt idx="0">
                  <c:v>系列 2</c:v>
                </c:pt>
              </c:strCache>
            </c:strRef>
          </c:tx>
          <c:spPr>
            <a:solidFill>
              <a:schemeClr val="accent3"/>
            </a:solidFill>
            <a:ln>
              <a:noFill/>
            </a:ln>
            <a:effectLst/>
          </c:spPr>
          <c:invertIfNegative val="false"/>
          <c:dLbls>
            <c:delete val="true"/>
          </c:dLbls>
          <c:cat>
            <c:strRef>
              <c:f>Sheet1!$A$2:$A$5</c:f>
              <c:strCache>
                <c:ptCount val="4"/>
                <c:pt idx="0">
                  <c:v>2017年收入</c:v>
                </c:pt>
                <c:pt idx="1">
                  <c:v>2018年收入</c:v>
                </c:pt>
                <c:pt idx="2">
                  <c:v>2017年支出</c:v>
                </c:pt>
                <c:pt idx="3">
                  <c:v>2018年支出</c:v>
                </c:pt>
              </c:strCache>
            </c:strRef>
          </c:cat>
          <c:val>
            <c:numRef>
              <c:f>Sheet1!$C$2:$C$5</c:f>
              <c:numCache>
                <c:formatCode>General</c:formatCode>
                <c:ptCount val="4"/>
                <c:pt idx="0">
                  <c:v>96.92</c:v>
                </c:pt>
                <c:pt idx="1">
                  <c:v>134.66</c:v>
                </c:pt>
                <c:pt idx="2">
                  <c:v>116.43</c:v>
                </c:pt>
                <c:pt idx="3">
                  <c:v>133.46</c:v>
                </c:pt>
              </c:numCache>
            </c:numRef>
          </c:val>
        </c:ser>
        <c:ser>
          <c:idx val="2"/>
          <c:order val="2"/>
          <c:tx>
            <c:strRef>
              <c:f>Sheet1!$D$1</c:f>
              <c:strCache>
                <c:ptCount val="1"/>
                <c:pt idx="0">
                  <c:v>系列 3</c:v>
                </c:pt>
              </c:strCache>
            </c:strRef>
          </c:tx>
          <c:spPr>
            <a:solidFill>
              <a:schemeClr val="accent3"/>
            </a:solidFill>
            <a:ln>
              <a:noFill/>
            </a:ln>
            <a:effectLst/>
          </c:spPr>
          <c:invertIfNegative val="false"/>
          <c:dLbls>
            <c:delete val="true"/>
          </c:dLbls>
          <c:cat>
            <c:strRef>
              <c:f>Sheet1!$A$2:$A$5</c:f>
              <c:strCache>
                <c:ptCount val="4"/>
                <c:pt idx="0">
                  <c:v>2017年收入</c:v>
                </c:pt>
                <c:pt idx="1">
                  <c:v>2018年收入</c:v>
                </c:pt>
                <c:pt idx="2">
                  <c:v>2017年支出</c:v>
                </c:pt>
                <c:pt idx="3">
                  <c:v>2018年支出</c:v>
                </c:pt>
              </c:strCache>
            </c:strRef>
          </c:cat>
          <c:val>
            <c:numRef>
              <c:f>Sheet1!$D$2:$D$5</c:f>
              <c:numCache>
                <c:formatCode>General</c:formatCode>
                <c:ptCount val="4"/>
              </c:numCache>
            </c:numRef>
          </c:val>
        </c:ser>
        <c:dLbls>
          <c:showLegendKey val="false"/>
          <c:showVal val="false"/>
          <c:showCatName val="false"/>
          <c:showSerName val="false"/>
          <c:showPercent val="false"/>
          <c:showBubbleSize val="false"/>
        </c:dLbls>
        <c:gapWidth val="150"/>
        <c:overlap val="100"/>
        <c:axId val="657153833"/>
        <c:axId val="139715494"/>
      </c:barChart>
      <c:catAx>
        <c:axId val="657153833"/>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39715494"/>
        <c:crosses val="autoZero"/>
        <c:auto val="true"/>
        <c:lblAlgn val="ctr"/>
        <c:lblOffset val="100"/>
        <c:noMultiLvlLbl val="false"/>
      </c:catAx>
      <c:valAx>
        <c:axId val="139715494"/>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657153833"/>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支出变动图</a:t>
            </a:r>
          </a:p>
        </c:rich>
      </c:tx>
      <c:layout/>
      <c:overlay val="false"/>
      <c:spPr>
        <a:noFill/>
        <a:ln>
          <a:noFill/>
        </a:ln>
        <a:effectLst/>
      </c:spPr>
    </c:title>
    <c:autoTitleDeleted val="false"/>
    <c:plotArea>
      <c:layout/>
      <c:barChart>
        <c:barDir val="col"/>
        <c:grouping val="stacked"/>
        <c:varyColors val="false"/>
        <c:ser>
          <c:idx val="0"/>
          <c:order val="0"/>
          <c:tx>
            <c:strRef>
              <c:f>Sheet1!$B$1</c:f>
              <c:strCache>
                <c:ptCount val="1"/>
                <c:pt idx="0">
                  <c:v>系列 1</c:v>
                </c:pt>
              </c:strCache>
            </c:strRef>
          </c:tx>
          <c:spPr>
            <a:solidFill>
              <a:schemeClr val="accent1"/>
            </a:solidFill>
            <a:ln>
              <a:noFill/>
            </a:ln>
            <a:effectLst/>
          </c:spPr>
          <c:invertIfNegative val="false"/>
          <c:dLbls>
            <c:delete val="true"/>
          </c:dLbls>
          <c:cat>
            <c:strRef>
              <c:f>Sheet1!$A$2:$A$3</c:f>
              <c:strCache>
                <c:ptCount val="2"/>
                <c:pt idx="0">
                  <c:v>2017年支出</c:v>
                </c:pt>
                <c:pt idx="1">
                  <c:v>2018年支出</c:v>
                </c:pt>
              </c:strCache>
            </c:strRef>
          </c:cat>
          <c:val>
            <c:numRef>
              <c:f>Sheet1!$B$2:$B$3</c:f>
              <c:numCache>
                <c:formatCode>General</c:formatCode>
                <c:ptCount val="2"/>
                <c:pt idx="0">
                  <c:v>100</c:v>
                </c:pt>
                <c:pt idx="1">
                  <c:v>100</c:v>
                </c:pt>
              </c:numCache>
            </c:numRef>
          </c:val>
        </c:ser>
        <c:ser>
          <c:idx val="1"/>
          <c:order val="1"/>
          <c:tx>
            <c:strRef>
              <c:f>Sheet1!$C$1</c:f>
              <c:strCache>
                <c:ptCount val="1"/>
                <c:pt idx="0">
                  <c:v>系列 2</c:v>
                </c:pt>
              </c:strCache>
            </c:strRef>
          </c:tx>
          <c:spPr>
            <a:solidFill>
              <a:schemeClr val="accent1"/>
            </a:solidFill>
            <a:ln>
              <a:noFill/>
            </a:ln>
            <a:effectLst/>
          </c:spPr>
          <c:invertIfNegative val="false"/>
          <c:dLbls>
            <c:delete val="true"/>
          </c:dLbls>
          <c:cat>
            <c:strRef>
              <c:f>Sheet1!$A$2:$A$3</c:f>
              <c:strCache>
                <c:ptCount val="2"/>
                <c:pt idx="0">
                  <c:v>2017年支出</c:v>
                </c:pt>
                <c:pt idx="1">
                  <c:v>2018年支出</c:v>
                </c:pt>
              </c:strCache>
            </c:strRef>
          </c:cat>
          <c:val>
            <c:numRef>
              <c:f>Sheet1!$C$2:$C$3</c:f>
              <c:numCache>
                <c:formatCode>General</c:formatCode>
                <c:ptCount val="2"/>
                <c:pt idx="0">
                  <c:v>116.43</c:v>
                </c:pt>
                <c:pt idx="1">
                  <c:v>133.46</c:v>
                </c:pt>
              </c:numCache>
            </c:numRef>
          </c:val>
        </c:ser>
        <c:ser>
          <c:idx val="2"/>
          <c:order val="2"/>
          <c:tx>
            <c:strRef>
              <c:f>Sheet1!$D$1</c:f>
              <c:strCache>
                <c:ptCount val="1"/>
                <c:pt idx="0">
                  <c:v>系列 3</c:v>
                </c:pt>
              </c:strCache>
            </c:strRef>
          </c:tx>
          <c:spPr>
            <a:solidFill>
              <a:schemeClr val="accent3"/>
            </a:solidFill>
            <a:ln>
              <a:noFill/>
            </a:ln>
            <a:effectLst/>
          </c:spPr>
          <c:invertIfNegative val="false"/>
          <c:dLbls>
            <c:delete val="true"/>
          </c:dLbls>
          <c:cat>
            <c:strRef>
              <c:f>Sheet1!$A$2:$A$3</c:f>
              <c:strCache>
                <c:ptCount val="2"/>
                <c:pt idx="0">
                  <c:v>2017年支出</c:v>
                </c:pt>
                <c:pt idx="1">
                  <c:v>2018年支出</c:v>
                </c:pt>
              </c:strCache>
            </c:strRef>
          </c:cat>
          <c:val>
            <c:numRef>
              <c:f>Sheet1!$D$2:$D$3</c:f>
              <c:numCache>
                <c:formatCode>General</c:formatCode>
                <c:ptCount val="2"/>
              </c:numCache>
            </c:numRef>
          </c:val>
        </c:ser>
        <c:dLbls>
          <c:showLegendKey val="false"/>
          <c:showVal val="false"/>
          <c:showCatName val="false"/>
          <c:showSerName val="false"/>
          <c:showPercent val="false"/>
          <c:showBubbleSize val="false"/>
        </c:dLbls>
        <c:gapWidth val="150"/>
        <c:overlap val="100"/>
        <c:axId val="152666934"/>
        <c:axId val="496292901"/>
      </c:barChart>
      <c:catAx>
        <c:axId val="152666934"/>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496292901"/>
        <c:crosses val="autoZero"/>
        <c:auto val="true"/>
        <c:lblAlgn val="ctr"/>
        <c:lblOffset val="100"/>
        <c:noMultiLvlLbl val="false"/>
      </c:catAx>
      <c:valAx>
        <c:axId val="496292901"/>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52666934"/>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pieChart>
        <c:varyColors val="true"/>
        <c:ser>
          <c:idx val="0"/>
          <c:order val="0"/>
          <c:tx>
            <c:strRef>
              <c:f>Sheet1!$B$1</c:f>
              <c:strCache>
                <c:ptCount val="1"/>
                <c:pt idx="0">
                  <c:v>支出分类图</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Pt>
            <c:idx val="4"/>
            <c:bubble3D val="false"/>
            <c:explosion val="1"/>
            <c:spPr>
              <a:solidFill>
                <a:schemeClr val="tx1"/>
              </a:solidFill>
              <a:ln w="19050">
                <a:solidFill>
                  <a:schemeClr val="lt1"/>
                </a:solidFill>
              </a:ln>
              <a:effectLst/>
            </c:spPr>
          </c:dPt>
          <c:dLbls>
            <c:delete val="true"/>
          </c:dLbls>
          <c:cat>
            <c:strRef>
              <c:f>Sheet1!$A$2:$A$6</c:f>
              <c:strCache>
                <c:ptCount val="5"/>
                <c:pt idx="0">
                  <c:v>一般公共服务支出</c:v>
                </c:pt>
                <c:pt idx="1">
                  <c:v>社会保障和就业支出</c:v>
                </c:pt>
                <c:pt idx="2">
                  <c:v>医疗卫生支出</c:v>
                </c:pt>
                <c:pt idx="3">
                  <c:v>住房保障支出</c:v>
                </c:pt>
                <c:pt idx="4">
                  <c:v>农林水支出</c:v>
                </c:pt>
              </c:strCache>
            </c:strRef>
          </c:cat>
          <c:val>
            <c:numRef>
              <c:f>Sheet1!$B$2:$B$6</c:f>
              <c:numCache>
                <c:formatCode>General</c:formatCode>
                <c:ptCount val="5"/>
                <c:pt idx="0">
                  <c:v>84.29</c:v>
                </c:pt>
                <c:pt idx="1">
                  <c:v>7.9</c:v>
                </c:pt>
                <c:pt idx="2">
                  <c:v>6.87</c:v>
                </c:pt>
                <c:pt idx="3">
                  <c:v>4.63</c:v>
                </c:pt>
                <c:pt idx="4">
                  <c:v>0.24</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pieChart>
        <c:varyColors val="true"/>
        <c:ser>
          <c:idx val="0"/>
          <c:order val="0"/>
          <c:tx>
            <c:strRef>
              <c:f>Sheet1!$B$1</c:f>
              <c:strCache>
                <c:ptCount val="1"/>
                <c:pt idx="0">
                  <c:v>三公经费占比</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Lbls>
            <c:delete val="true"/>
          </c:dLbls>
          <c:cat>
            <c:strRef>
              <c:f>Sheet1!$A$2:$A$4</c:f>
              <c:strCache>
                <c:ptCount val="3"/>
                <c:pt idx="0">
                  <c:v>公务接待</c:v>
                </c:pt>
                <c:pt idx="1">
                  <c:v>因公出国</c:v>
                </c:pt>
                <c:pt idx="2">
                  <c:v>维修维护</c:v>
                </c:pt>
              </c:strCache>
            </c:strRef>
          </c:cat>
          <c:val>
            <c:numRef>
              <c:f>Sheet1!$B$2:$B$4</c:f>
              <c:numCache>
                <c:formatCode>General</c:formatCode>
                <c:ptCount val="3"/>
                <c:pt idx="0">
                  <c:v>100</c:v>
                </c:pt>
                <c:pt idx="1">
                  <c:v>0</c:v>
                </c:pt>
                <c:pt idx="2">
                  <c:v>0</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22</Pages>
  <Words>1441</Words>
  <Characters>8219</Characters>
  <Lines>68</Lines>
  <Paragraphs>19</Paragraphs>
  <TotalTime>9</TotalTime>
  <ScaleCrop>false</ScaleCrop>
  <LinksUpToDate>false</LinksUpToDate>
  <CharactersWithSpaces>9641</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2019-08-01T09:14:00Z</dcterms:created>
  <dc:creator>张彬茜</dc:creator>
  <cp:lastModifiedBy>user</cp:lastModifiedBy>
  <cp:lastPrinted>2019-09-16T13:38:00Z</cp:lastPrinted>
  <dcterms:modified xsi:type="dcterms:W3CDTF">2023-07-13T15:26:27Z</dcterms:modified>
  <dc:title>四川省***</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