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宋体" w:eastAsia="仿宋_GB2312"/>
          <w:color w:val="000000"/>
          <w:sz w:val="32"/>
          <w:szCs w:val="32"/>
        </w:rPr>
      </w:pPr>
      <w:bookmarkStart w:id="0" w:name="_Toc15306267"/>
      <w:bookmarkStart w:id="59" w:name="_GoBack"/>
      <w:bookmarkEnd w:id="59"/>
    </w:p>
    <w:p>
      <w:pPr>
        <w:spacing w:line="600" w:lineRule="exact"/>
        <w:jc w:val="center"/>
        <w:outlineLvl w:val="0"/>
        <w:rPr>
          <w:rFonts w:ascii="仿宋_GB2312" w:hAnsi="宋体" w:eastAsia="仿宋_GB2312"/>
          <w:color w:val="000000"/>
          <w:sz w:val="32"/>
          <w:szCs w:val="32"/>
        </w:rPr>
      </w:pPr>
    </w:p>
    <w:p>
      <w:pPr>
        <w:spacing w:line="600" w:lineRule="exact"/>
        <w:jc w:val="center"/>
        <w:outlineLvl w:val="0"/>
        <w:rPr>
          <w:rFonts w:ascii="仿宋_GB2312" w:hAnsi="宋体" w:eastAsia="仿宋_GB2312"/>
          <w:color w:val="000000"/>
          <w:sz w:val="32"/>
          <w:szCs w:val="32"/>
        </w:rPr>
      </w:pPr>
    </w:p>
    <w:p>
      <w:pPr>
        <w:spacing w:line="600" w:lineRule="exact"/>
        <w:jc w:val="center"/>
        <w:outlineLvl w:val="0"/>
        <w:rPr>
          <w:rFonts w:ascii="仿宋_GB2312" w:hAnsi="宋体" w:eastAsia="仿宋_GB2312"/>
          <w:color w:val="000000"/>
          <w:sz w:val="32"/>
          <w:szCs w:val="32"/>
        </w:rPr>
      </w:pPr>
    </w:p>
    <w:p>
      <w:pPr>
        <w:adjustRightInd w:val="0"/>
        <w:snapToGrid w:val="0"/>
        <w:spacing w:line="360" w:lineRule="auto"/>
        <w:jc w:val="center"/>
        <w:outlineLvl w:val="0"/>
        <w:rPr>
          <w:rFonts w:ascii="方正小标宋简体" w:hAnsi="宋体" w:eastAsia="方正小标宋简体"/>
          <w:color w:val="000000"/>
          <w:sz w:val="44"/>
          <w:szCs w:val="44"/>
        </w:rPr>
      </w:pPr>
      <w:bookmarkStart w:id="1" w:name="_Toc15377193"/>
      <w:bookmarkStart w:id="2" w:name="_Toc15396597"/>
      <w:bookmarkStart w:id="3" w:name="_Toc15377425"/>
      <w:bookmarkStart w:id="4" w:name="_Toc15396475"/>
      <w:bookmarkStart w:id="5" w:name="_Toc15378441"/>
      <w:r>
        <w:rPr>
          <w:rFonts w:hint="eastAsia" w:ascii="方正小标宋简体" w:hAnsi="黑体" w:eastAsia="方正小标宋简体"/>
          <w:color w:val="000000"/>
          <w:sz w:val="44"/>
          <w:szCs w:val="44"/>
        </w:rPr>
        <w:t>2020</w:t>
      </w:r>
      <w:r>
        <w:rPr>
          <w:rFonts w:hint="eastAsia" w:ascii="方正小标宋简体" w:hAnsi="宋体" w:eastAsia="方正小标宋简体"/>
          <w:color w:val="000000"/>
          <w:sz w:val="44"/>
          <w:szCs w:val="44"/>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44"/>
          <w:szCs w:val="44"/>
        </w:rPr>
      </w:pPr>
      <w:bookmarkStart w:id="6" w:name="_Toc15378442"/>
      <w:bookmarkStart w:id="7" w:name="_Toc15377194"/>
      <w:bookmarkStart w:id="8" w:name="_Toc15396476"/>
      <w:bookmarkStart w:id="9" w:name="_Toc15377426"/>
      <w:bookmarkStart w:id="10" w:name="_Toc15396598"/>
      <w:r>
        <w:rPr>
          <w:rFonts w:hint="eastAsia" w:ascii="方正小标宋简体" w:hAnsi="宋体" w:eastAsia="方正小标宋简体"/>
          <w:color w:val="000000"/>
          <w:sz w:val="44"/>
          <w:szCs w:val="44"/>
        </w:rPr>
        <w:t>中共</w:t>
      </w:r>
      <w:bookmarkEnd w:id="0"/>
      <w:bookmarkStart w:id="11" w:name="_Toc15306268"/>
      <w:r>
        <w:rPr>
          <w:rFonts w:hint="eastAsia" w:ascii="方正小标宋简体" w:hAnsi="宋体" w:eastAsia="方正小标宋简体"/>
          <w:color w:val="000000"/>
          <w:sz w:val="44"/>
          <w:szCs w:val="44"/>
        </w:rPr>
        <w:t>广元市利州区委组织部决算</w:t>
      </w:r>
      <w:bookmarkEnd w:id="6"/>
      <w:bookmarkEnd w:id="7"/>
      <w:bookmarkEnd w:id="8"/>
      <w:bookmarkEnd w:id="9"/>
      <w:bookmarkEnd w:id="10"/>
      <w:bookmarkEnd w:id="11"/>
    </w:p>
    <w:p>
      <w:pPr>
        <w:widowControl/>
        <w:jc w:val="left"/>
        <w:rPr>
          <w:rFonts w:ascii="方正小标宋简体" w:hAnsi="宋体" w:eastAsia="方正小标宋简体"/>
          <w:color w:val="000000"/>
          <w:sz w:val="44"/>
          <w:szCs w:val="44"/>
        </w:rPr>
      </w:pPr>
      <w:r>
        <w:rPr>
          <w:rFonts w:ascii="方正小标宋简体" w:hAnsi="宋体" w:eastAsia="方正小标宋简体"/>
          <w:color w:val="000000"/>
          <w:sz w:val="44"/>
          <w:szCs w:val="44"/>
        </w:rPr>
        <w:br w:type="page"/>
      </w:r>
    </w:p>
    <w:p>
      <w:pPr>
        <w:widowControl/>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目    录</w:t>
      </w:r>
    </w:p>
    <w:p>
      <w:pPr>
        <w:widowControl/>
        <w:jc w:val="center"/>
        <w:rPr>
          <w:rFonts w:ascii="仿宋_GB2312" w:hAnsi="黑体" w:eastAsia="仿宋_GB2312"/>
          <w:color w:val="000000"/>
          <w:sz w:val="32"/>
          <w:szCs w:val="32"/>
        </w:rPr>
      </w:pPr>
      <w:r>
        <w:rPr>
          <w:rFonts w:hint="eastAsia" w:ascii="仿宋_GB2312" w:hAnsi="黑体" w:eastAsia="仿宋_GB2312"/>
          <w:color w:val="000000"/>
          <w:sz w:val="32"/>
          <w:szCs w:val="32"/>
        </w:rPr>
        <w:t>公开时间：2020年9月16日</w:t>
      </w:r>
    </w:p>
    <w:p>
      <w:pPr>
        <w:widowControl/>
        <w:jc w:val="center"/>
        <w:rPr>
          <w:rFonts w:ascii="仿宋_GB2312" w:hAnsi="黑体" w:eastAsia="仿宋_GB2312"/>
          <w:color w:val="000000"/>
          <w:sz w:val="32"/>
          <w:szCs w:val="32"/>
        </w:rPr>
      </w:pPr>
    </w:p>
    <w:p>
      <w:pPr>
        <w:widowControl/>
        <w:jc w:val="left"/>
        <w:rPr>
          <w:rFonts w:ascii="仿宋_GB2312" w:hAnsi="黑体" w:eastAsia="仿宋_GB2312"/>
          <w:color w:val="000000"/>
          <w:sz w:val="32"/>
          <w:szCs w:val="32"/>
        </w:rPr>
      </w:pP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第一部分  部门概况</w:t>
      </w:r>
      <w:r>
        <w:rPr>
          <w:rFonts w:ascii="仿宋_GB2312" w:hAnsi="黑体" w:eastAsia="仿宋_GB2312"/>
          <w:b/>
          <w:color w:val="000000"/>
          <w:sz w:val="32"/>
          <w:szCs w:val="32"/>
        </w:rPr>
        <w:t>…………………………………………</w:t>
      </w:r>
      <w:r>
        <w:rPr>
          <w:rFonts w:hint="eastAsia" w:ascii="仿宋_GB2312" w:hAnsi="黑体" w:eastAsia="仿宋_GB2312"/>
          <w:b/>
          <w:color w:val="000000"/>
          <w:sz w:val="32"/>
          <w:szCs w:val="32"/>
        </w:rPr>
        <w:t>4</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一、基本职能及主要工作</w:t>
      </w:r>
      <w:r>
        <w:rPr>
          <w:rFonts w:ascii="仿宋_GB2312" w:hAnsi="黑体" w:eastAsia="仿宋_GB2312"/>
          <w:color w:val="000000"/>
          <w:sz w:val="32"/>
          <w:szCs w:val="32"/>
        </w:rPr>
        <w:t>……………………………………</w:t>
      </w:r>
      <w:r>
        <w:rPr>
          <w:rFonts w:hint="eastAsia" w:ascii="仿宋_GB2312" w:hAnsi="黑体" w:eastAsia="仿宋_GB2312"/>
          <w:color w:val="000000"/>
          <w:sz w:val="32"/>
          <w:szCs w:val="32"/>
        </w:rPr>
        <w:t>4</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二、机构设置</w:t>
      </w:r>
      <w:r>
        <w:rPr>
          <w:rFonts w:ascii="仿宋_GB2312" w:hAnsi="黑体" w:eastAsia="仿宋_GB2312"/>
          <w:color w:val="000000"/>
          <w:sz w:val="32"/>
          <w:szCs w:val="32"/>
        </w:rPr>
        <w:t>…………………………………………………</w:t>
      </w:r>
      <w:r>
        <w:rPr>
          <w:rFonts w:hint="eastAsia" w:ascii="仿宋_GB2312" w:hAnsi="黑体" w:eastAsia="仿宋_GB2312"/>
          <w:color w:val="000000"/>
          <w:sz w:val="32"/>
          <w:szCs w:val="32"/>
        </w:rPr>
        <w:t>8</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 xml:space="preserve">第二部分  2020年度部门决算情况说明 </w:t>
      </w:r>
      <w:r>
        <w:rPr>
          <w:rFonts w:ascii="仿宋_GB2312" w:hAnsi="黑体" w:eastAsia="仿宋_GB2312"/>
          <w:b/>
          <w:color w:val="000000"/>
          <w:sz w:val="32"/>
          <w:szCs w:val="32"/>
        </w:rPr>
        <w:t>…………………</w:t>
      </w:r>
      <w:r>
        <w:rPr>
          <w:rFonts w:hint="eastAsia" w:ascii="仿宋_GB2312" w:hAnsi="黑体" w:eastAsia="仿宋_GB2312"/>
          <w:b/>
          <w:color w:val="000000"/>
          <w:sz w:val="32"/>
          <w:szCs w:val="32"/>
        </w:rPr>
        <w:t>8</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收入支出决算总体情况说明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8</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收入决算情况说明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9</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10</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财政拨款收入支出决算总体情况说明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10</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一般公共预算财政拨款支出决算情况说明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11</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一般公共预算财政拨款基本支出决算情况说明......13</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“三公”经费财政拨款支出决算情况说明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14</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政府性基金预算支出情况说明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15</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国有资本经营预算支出情况说明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15</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预算绩效情况说明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16</w:t>
      </w:r>
    </w:p>
    <w:p>
      <w:pPr>
        <w:pStyle w:val="27"/>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其他重要事项情况说明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19</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第三部分  名词解释</w:t>
      </w:r>
      <w:r>
        <w:rPr>
          <w:rFonts w:ascii="仿宋_GB2312" w:hAnsi="黑体" w:eastAsia="仿宋_GB2312"/>
          <w:b/>
          <w:color w:val="000000"/>
          <w:sz w:val="32"/>
          <w:szCs w:val="32"/>
        </w:rPr>
        <w:t>…………………………………………</w:t>
      </w:r>
      <w:r>
        <w:rPr>
          <w:rFonts w:hint="eastAsia" w:ascii="仿宋_GB2312" w:hAnsi="黑体" w:eastAsia="仿宋_GB2312"/>
          <w:b/>
          <w:color w:val="000000"/>
          <w:sz w:val="32"/>
          <w:szCs w:val="32"/>
        </w:rPr>
        <w:t>20</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第四部分  附件</w:t>
      </w:r>
      <w:r>
        <w:rPr>
          <w:rFonts w:ascii="仿宋_GB2312" w:hAnsi="黑体" w:eastAsia="仿宋_GB2312"/>
          <w:b/>
          <w:color w:val="000000"/>
          <w:sz w:val="32"/>
          <w:szCs w:val="32"/>
        </w:rPr>
        <w:t>………………………………………………</w:t>
      </w:r>
      <w:r>
        <w:rPr>
          <w:rFonts w:hint="eastAsia" w:ascii="仿宋_GB2312" w:hAnsi="黑体" w:eastAsia="仿宋_GB2312"/>
          <w:b/>
          <w:color w:val="000000"/>
          <w:sz w:val="32"/>
          <w:szCs w:val="32"/>
        </w:rPr>
        <w:t>23</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附件1</w:t>
      </w:r>
      <w:r>
        <w:rPr>
          <w:rFonts w:ascii="仿宋_GB2312" w:hAnsi="黑体" w:eastAsia="仿宋_GB2312"/>
          <w:color w:val="000000"/>
          <w:sz w:val="32"/>
          <w:szCs w:val="32"/>
        </w:rPr>
        <w:t>…………………………………………………………</w:t>
      </w:r>
      <w:r>
        <w:rPr>
          <w:rFonts w:hint="eastAsia" w:ascii="仿宋_GB2312" w:hAnsi="黑体" w:eastAsia="仿宋_GB2312"/>
          <w:color w:val="000000"/>
          <w:sz w:val="32"/>
          <w:szCs w:val="32"/>
        </w:rPr>
        <w:t>23</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附件2</w:t>
      </w:r>
      <w:r>
        <w:rPr>
          <w:rFonts w:ascii="仿宋_GB2312" w:hAnsi="黑体" w:eastAsia="仿宋_GB2312"/>
          <w:color w:val="000000"/>
          <w:sz w:val="32"/>
          <w:szCs w:val="32"/>
        </w:rPr>
        <w:t>…………………………………………………………</w:t>
      </w:r>
      <w:r>
        <w:rPr>
          <w:rFonts w:hint="eastAsia" w:ascii="仿宋_GB2312" w:hAnsi="黑体" w:eastAsia="仿宋_GB2312"/>
          <w:color w:val="000000"/>
          <w:sz w:val="32"/>
          <w:szCs w:val="32"/>
        </w:rPr>
        <w:t>29</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第五部分  附表</w:t>
      </w:r>
      <w:r>
        <w:rPr>
          <w:rFonts w:ascii="仿宋_GB2312" w:hAnsi="黑体" w:eastAsia="仿宋_GB2312"/>
          <w:b/>
          <w:color w:val="000000"/>
          <w:sz w:val="32"/>
          <w:szCs w:val="32"/>
        </w:rPr>
        <w:t>………………………………………………</w:t>
      </w:r>
      <w:r>
        <w:rPr>
          <w:rFonts w:hint="eastAsia" w:ascii="仿宋_GB2312" w:hAnsi="黑体" w:eastAsia="仿宋_GB2312"/>
          <w:b/>
          <w:color w:val="000000"/>
          <w:sz w:val="32"/>
          <w:szCs w:val="32"/>
        </w:rPr>
        <w:t>44</w:t>
      </w:r>
    </w:p>
    <w:p>
      <w:pPr>
        <w:pStyle w:val="27"/>
        <w:numPr>
          <w:ilvl w:val="0"/>
          <w:numId w:val="2"/>
        </w:numPr>
        <w:spacing w:line="600" w:lineRule="exact"/>
        <w:ind w:firstLineChars="0"/>
        <w:jc w:val="left"/>
        <w:outlineLvl w:val="0"/>
        <w:rPr>
          <w:rStyle w:val="28"/>
          <w:rFonts w:ascii="仿宋_GB2312" w:eastAsia="仿宋_GB2312" w:hAnsiTheme="minorEastAsia"/>
          <w:b w:val="0"/>
          <w:sz w:val="32"/>
          <w:szCs w:val="32"/>
        </w:rPr>
      </w:pPr>
      <w:r>
        <w:rPr>
          <w:rStyle w:val="28"/>
          <w:rFonts w:hint="eastAsia" w:ascii="仿宋_GB2312" w:eastAsia="仿宋_GB2312" w:hAnsiTheme="minorEastAsia"/>
          <w:b w:val="0"/>
          <w:sz w:val="32"/>
          <w:szCs w:val="32"/>
        </w:rPr>
        <w:t>收入支出决算总表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收入决算表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财政拨款收入支出决算总表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财政拨款支出决算明细表（政府经济分类科目）</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一般公共预算财政拨款支出决算明细表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一般公共预算财政拨款基本支出决算表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一般公共预算财政拨款项目支出决算表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一般公共预算财政拨款“三公”经费支出决算表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政府性基金预算财政拨款收入支出决算表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政府性基金财政拨款“三公”经费支出决算表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国有资本经营预算财政拨款收入支出决算表</w:t>
      </w:r>
    </w:p>
    <w:p>
      <w:pPr>
        <w:pStyle w:val="27"/>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国有资本经营预算财政拨款支出决算表</w:t>
      </w:r>
    </w:p>
    <w:p>
      <w:pPr>
        <w:widowControl/>
        <w:jc w:val="left"/>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jc w:val="left"/>
        <w:rPr>
          <w:rFonts w:ascii="仿宋_GB2312" w:hAnsi="黑体" w:eastAsia="仿宋_GB2312"/>
          <w:color w:val="000000"/>
          <w:sz w:val="32"/>
          <w:szCs w:val="32"/>
        </w:rPr>
      </w:pPr>
    </w:p>
    <w:p>
      <w:pPr>
        <w:widowControl/>
        <w:jc w:val="center"/>
        <w:rPr>
          <w:rStyle w:val="28"/>
          <w:rFonts w:ascii="方正小标宋简体" w:hAnsi="黑体" w:eastAsia="方正小标宋简体"/>
          <w:sz w:val="32"/>
          <w:szCs w:val="32"/>
        </w:rPr>
      </w:pPr>
      <w:bookmarkStart w:id="12" w:name="_Toc15377196"/>
      <w:bookmarkStart w:id="13" w:name="_Toc15396599"/>
      <w:r>
        <w:rPr>
          <w:rFonts w:hint="eastAsia" w:ascii="方正小标宋简体" w:hAnsi="黑体" w:eastAsia="方正小标宋简体"/>
          <w:sz w:val="32"/>
          <w:szCs w:val="32"/>
        </w:rPr>
        <w:t xml:space="preserve">第一部分 </w:t>
      </w:r>
      <w:r>
        <w:rPr>
          <w:rStyle w:val="28"/>
          <w:rFonts w:hint="eastAsia" w:ascii="方正小标宋简体" w:hAnsi="黑体" w:eastAsia="方正小标宋简体"/>
          <w:sz w:val="32"/>
          <w:szCs w:val="32"/>
        </w:rPr>
        <w:t>部门概况</w:t>
      </w:r>
      <w:bookmarkEnd w:id="12"/>
      <w:bookmarkEnd w:id="13"/>
      <w:bookmarkStart w:id="14" w:name="_Toc15377197"/>
      <w:bookmarkStart w:id="15" w:name="_Toc15396600"/>
    </w:p>
    <w:p>
      <w:pPr>
        <w:widowControl/>
        <w:jc w:val="center"/>
        <w:rPr>
          <w:rStyle w:val="28"/>
          <w:rFonts w:ascii="方正小标宋简体" w:hAnsi="黑体" w:eastAsia="方正小标宋简体"/>
          <w:sz w:val="32"/>
          <w:szCs w:val="32"/>
        </w:rPr>
      </w:pPr>
    </w:p>
    <w:p>
      <w:pPr>
        <w:widowControl/>
        <w:ind w:firstLine="803" w:firstLineChars="250"/>
        <w:jc w:val="left"/>
        <w:rPr>
          <w:rFonts w:asciiTheme="minorEastAsia" w:hAnsiTheme="minorEastAsia" w:eastAsiaTheme="minorEastAsia" w:cstheme="majorBidi"/>
          <w:b/>
          <w:bCs/>
          <w:sz w:val="32"/>
          <w:szCs w:val="32"/>
        </w:rPr>
      </w:pPr>
      <w:r>
        <w:rPr>
          <w:rFonts w:hint="eastAsia" w:asciiTheme="minorEastAsia" w:hAnsiTheme="minorEastAsia" w:eastAsiaTheme="minorEastAsia"/>
          <w:b/>
          <w:color w:val="000000"/>
          <w:sz w:val="32"/>
          <w:szCs w:val="32"/>
        </w:rPr>
        <w:t>一、基</w:t>
      </w:r>
      <w:r>
        <w:rPr>
          <w:rStyle w:val="29"/>
          <w:rFonts w:hint="eastAsia" w:asciiTheme="minorEastAsia" w:hAnsiTheme="minorEastAsia" w:eastAsiaTheme="minorEastAsia"/>
        </w:rPr>
        <w:t>本职能及主要工作</w:t>
      </w:r>
      <w:bookmarkEnd w:id="14"/>
      <w:bookmarkEnd w:id="15"/>
      <w:bookmarkStart w:id="16" w:name="_Toc15377198"/>
      <w:bookmarkStart w:id="17" w:name="_Toc15378445"/>
    </w:p>
    <w:bookmarkEnd w:id="16"/>
    <w:bookmarkEnd w:id="17"/>
    <w:p>
      <w:pPr>
        <w:spacing w:line="560" w:lineRule="exact"/>
        <w:ind w:firstLine="562" w:firstLineChars="200"/>
        <w:outlineLvl w:val="0"/>
        <w:rPr>
          <w:rFonts w:ascii="华文仿宋" w:hAnsi="华文仿宋" w:eastAsia="华文仿宋"/>
          <w:bCs/>
          <w:color w:val="000000"/>
          <w:sz w:val="28"/>
          <w:szCs w:val="32"/>
        </w:rPr>
      </w:pPr>
      <w:bookmarkStart w:id="18" w:name="_Toc15396601"/>
      <w:bookmarkStart w:id="19" w:name="_Toc15377200"/>
      <w:r>
        <w:rPr>
          <w:rFonts w:hint="eastAsia" w:ascii="楷体" w:hAnsi="楷体" w:eastAsia="楷体"/>
          <w:b/>
          <w:bCs/>
          <w:color w:val="000000"/>
          <w:sz w:val="28"/>
          <w:szCs w:val="32"/>
        </w:rPr>
        <w:t>（一）主要职能</w:t>
      </w:r>
      <w:r>
        <w:rPr>
          <w:rFonts w:hint="eastAsia" w:ascii="华文仿宋" w:hAnsi="华文仿宋" w:eastAsia="华文仿宋"/>
          <w:bCs/>
          <w:color w:val="000000"/>
          <w:sz w:val="28"/>
          <w:szCs w:val="32"/>
        </w:rPr>
        <w:t>。</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1.负责全区党的组织体系、组织制度建设，负责基层党组织建设规划指导和党员队伍宏观管理，指导开展党员教育工作。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3.负责管理全区公务员工作。牵头拟订和组织实施公务员管理政策，承担公务员录用、调配、考核、奖惩、培训、监督、工资福利等工作，指导公务员绩效管理工作。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4.负责全区人才工作的宏观指导、组织协调和督促检查，牵头推进人才发展体制机制改革和政策创新，牵头推进校（院、企）地战略合作、人才对外开放、党委联系服务专家工作，统筹实施重大人才工程和人才表彰奖励。</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5.负责全区干部教育培训工作的宏观指导、政策规划、组织协调和督促检查，负责区重点培训项目的策划、实施和管理，指导全区干部教育培训基地建设管理、师资队伍建设等工作。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6.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7.负责管理全区直属机关党建工作。指导区直机关党组织党的思想、组织、作风建设和党员的教育、管理工作，研究提出加强和改进机关党的建设的意见和建议。</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9.负责全区非公有制经济组织和社会组织党建工作。牵头产业园区党建工作，指导新兴领域、新兴业态党建工作，研究非公有制经济组织和社会组织党的基层组织建设的政策规定。</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10.归口管理区委机构编制委员会办公室。</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11.承担区委党建领导小组、区人才工作领导小组日常工作。</w:t>
      </w:r>
    </w:p>
    <w:p>
      <w:pPr>
        <w:spacing w:line="560" w:lineRule="exact"/>
        <w:ind w:firstLine="560" w:firstLineChars="200"/>
        <w:outlineLvl w:val="0"/>
        <w:rPr>
          <w:rFonts w:ascii="仿宋_GB2312" w:hAnsi="宋体" w:eastAsia="仿宋_GB2312"/>
          <w:color w:val="000000"/>
          <w:sz w:val="28"/>
          <w:szCs w:val="32"/>
        </w:rPr>
      </w:pPr>
      <w:r>
        <w:rPr>
          <w:rFonts w:hint="eastAsia" w:ascii="仿宋_GB2312" w:eastAsia="仿宋_GB2312"/>
          <w:sz w:val="28"/>
          <w:szCs w:val="32"/>
        </w:rPr>
        <w:t>12.完成区委交办的其他任务。</w:t>
      </w:r>
      <w:r>
        <w:rPr>
          <w:rFonts w:hint="eastAsia" w:ascii="仿宋_GB2312" w:hAnsi="宋体" w:eastAsia="仿宋_GB2312"/>
          <w:color w:val="000000"/>
          <w:sz w:val="28"/>
          <w:szCs w:val="32"/>
        </w:rPr>
        <w:t xml:space="preserve">  </w:t>
      </w:r>
    </w:p>
    <w:p>
      <w:pPr>
        <w:spacing w:line="576" w:lineRule="exact"/>
        <w:ind w:firstLine="560" w:firstLineChars="200"/>
        <w:rPr>
          <w:rFonts w:ascii="楷体" w:hAnsi="楷体" w:eastAsia="楷体"/>
          <w:bCs/>
          <w:color w:val="000000"/>
          <w:sz w:val="28"/>
          <w:szCs w:val="32"/>
        </w:rPr>
      </w:pPr>
      <w:r>
        <w:rPr>
          <w:rFonts w:hint="eastAsia" w:ascii="楷体" w:hAnsi="楷体" w:eastAsia="楷体"/>
          <w:bCs/>
          <w:color w:val="000000"/>
          <w:sz w:val="28"/>
          <w:szCs w:val="32"/>
        </w:rPr>
        <w:t>（二）2020年重点工作完成情况。</w:t>
      </w:r>
    </w:p>
    <w:p>
      <w:pPr>
        <w:pStyle w:val="13"/>
        <w:shd w:val="clear" w:color="auto" w:fill="FFFFFF"/>
        <w:adjustRightInd w:val="0"/>
        <w:snapToGrid w:val="0"/>
        <w:spacing w:before="0" w:beforeAutospacing="0" w:after="0" w:afterAutospacing="0" w:line="576" w:lineRule="exact"/>
        <w:ind w:firstLine="560"/>
        <w:rPr>
          <w:rFonts w:ascii="方正楷体简体" w:hAnsi="方正楷体简体" w:eastAsia="方正楷体简体" w:cs="方正楷体简体"/>
          <w:bCs/>
          <w:sz w:val="28"/>
          <w:szCs w:val="32"/>
          <w:shd w:val="clear" w:color="auto" w:fill="FFFFFF"/>
        </w:rPr>
      </w:pPr>
      <w:r>
        <w:rPr>
          <w:rFonts w:hint="eastAsia" w:ascii="方正楷体简体" w:hAnsi="方正楷体简体" w:eastAsia="方正楷体简体" w:cs="方正楷体简体"/>
          <w:bCs/>
          <w:sz w:val="28"/>
          <w:szCs w:val="32"/>
          <w:shd w:val="clear" w:color="auto" w:fill="FFFFFF"/>
        </w:rPr>
        <w:t>1.</w:t>
      </w:r>
      <w:r>
        <w:rPr>
          <w:rFonts w:hint="eastAsia" w:ascii="楷体" w:hAnsi="楷体" w:eastAsia="楷体" w:cs="方正楷体简体"/>
          <w:bCs/>
          <w:sz w:val="28"/>
          <w:szCs w:val="32"/>
          <w:shd w:val="clear" w:color="auto" w:fill="FFFFFF"/>
        </w:rPr>
        <w:t>始终把政治建设摆在首位。</w:t>
      </w:r>
      <w:r>
        <w:rPr>
          <w:rFonts w:hint="eastAsia" w:ascii="方正仿宋简体" w:hAnsi="方正仿宋简体" w:eastAsia="方正仿宋简体" w:cs="方正仿宋简体"/>
          <w:bCs/>
          <w:sz w:val="28"/>
          <w:szCs w:val="32"/>
          <w:shd w:val="clear" w:color="auto" w:fill="FFFFFF"/>
        </w:rPr>
        <w:t>围绕贯</w:t>
      </w:r>
      <w:r>
        <w:rPr>
          <w:rFonts w:hint="eastAsia" w:ascii="方正仿宋简体" w:hAnsi="方正仿宋简体" w:eastAsia="方正仿宋简体" w:cs="方正仿宋简体"/>
          <w:bCs/>
          <w:sz w:val="28"/>
          <w:szCs w:val="32"/>
        </w:rPr>
        <w:t>彻落实《中共中央关于加强党的政治建设的意见》，</w:t>
      </w:r>
      <w:r>
        <w:rPr>
          <w:rFonts w:hint="eastAsia" w:ascii="方正仿宋简体" w:hAnsi="方正仿宋简体" w:eastAsia="方正仿宋简体" w:cs="方正仿宋简体"/>
          <w:bCs/>
          <w:color w:val="000000"/>
          <w:sz w:val="28"/>
          <w:szCs w:val="32"/>
        </w:rPr>
        <w:t>举办科级领导干部读书班、领导干部综合素质提升班等专题培训23场次。</w:t>
      </w:r>
      <w:r>
        <w:rPr>
          <w:rFonts w:hint="eastAsia" w:ascii="方正仿宋简体" w:hAnsi="方正仿宋简体" w:eastAsia="方正仿宋简体" w:cs="方正仿宋简体"/>
          <w:bCs/>
          <w:sz w:val="28"/>
          <w:szCs w:val="32"/>
        </w:rPr>
        <w:t>探索开展领导班子政治建设专项研判，全覆盖建立区管干部政治素质档案。巩固深化“不忘初心、牢记使命”主题教育成果，围绕贯彻落实中央和省市部署要求，细化63项具体任务，建立健全16项区级制度。严肃党内政治生活。抓实刘亚洲案、向永东案“以案促改”，严格落实党员领导干部双重组织生活、“红色星期五”主题党日等制度，开展“党课开讲啦”“党内法规大学习、对标对表找差距、巩固提升补短板”等活动4500余场次。</w:t>
      </w:r>
    </w:p>
    <w:p>
      <w:pPr>
        <w:pStyle w:val="13"/>
        <w:shd w:val="clear" w:color="auto" w:fill="FFFFFF"/>
        <w:adjustRightInd w:val="0"/>
        <w:snapToGrid w:val="0"/>
        <w:spacing w:before="0" w:beforeAutospacing="0" w:after="0" w:afterAutospacing="0" w:line="576" w:lineRule="exact"/>
        <w:ind w:firstLine="562"/>
        <w:jc w:val="both"/>
        <w:rPr>
          <w:rFonts w:ascii="方正仿宋简体" w:hAnsi="方正仿宋简体" w:eastAsia="方正仿宋简体" w:cs="方正仿宋简体"/>
          <w:bCs/>
          <w:sz w:val="28"/>
          <w:szCs w:val="32"/>
        </w:rPr>
      </w:pPr>
      <w:r>
        <w:rPr>
          <w:rFonts w:hint="eastAsia" w:ascii="楷体" w:hAnsi="楷体" w:eastAsia="楷体" w:cs="方正楷体简体"/>
          <w:bCs/>
          <w:sz w:val="28"/>
          <w:szCs w:val="32"/>
          <w:shd w:val="clear" w:color="auto" w:fill="FFFFFF"/>
        </w:rPr>
        <w:t>2.始终激扬干事创业“精气神”。</w:t>
      </w:r>
      <w:r>
        <w:rPr>
          <w:rFonts w:hint="eastAsia" w:ascii="方正仿宋简体" w:hAnsi="方正仿宋简体" w:eastAsia="方正仿宋简体" w:cs="方正仿宋简体"/>
          <w:bCs/>
          <w:sz w:val="28"/>
          <w:szCs w:val="32"/>
        </w:rPr>
        <w:t>强化疫情防控组织保障，</w:t>
      </w:r>
      <w:r>
        <w:rPr>
          <w:rFonts w:ascii="方正仿宋简体" w:hAnsi="方正仿宋简体" w:eastAsia="方正仿宋简体" w:cs="方正仿宋简体"/>
          <w:bCs/>
          <w:sz w:val="28"/>
          <w:szCs w:val="32"/>
        </w:rPr>
        <w:t>统筹市</w:t>
      </w:r>
      <w:r>
        <w:rPr>
          <w:rFonts w:hint="eastAsia" w:ascii="方正仿宋简体" w:hAnsi="方正仿宋简体" w:eastAsia="方正仿宋简体" w:cs="方正仿宋简体"/>
          <w:bCs/>
          <w:sz w:val="28"/>
          <w:szCs w:val="32"/>
        </w:rPr>
        <w:t>区</w:t>
      </w:r>
      <w:r>
        <w:rPr>
          <w:rFonts w:ascii="方正仿宋简体" w:hAnsi="方正仿宋简体" w:eastAsia="方正仿宋简体" w:cs="方正仿宋简体"/>
          <w:bCs/>
          <w:sz w:val="28"/>
          <w:szCs w:val="32"/>
        </w:rPr>
        <w:t>两级1200余名党员</w:t>
      </w:r>
      <w:r>
        <w:rPr>
          <w:rFonts w:hint="eastAsia" w:ascii="方正仿宋简体" w:hAnsi="方正仿宋简体" w:eastAsia="方正仿宋简体" w:cs="方正仿宋简体"/>
          <w:bCs/>
          <w:sz w:val="28"/>
          <w:szCs w:val="32"/>
        </w:rPr>
        <w:t>志愿者，组建</w:t>
      </w:r>
      <w:r>
        <w:rPr>
          <w:rFonts w:ascii="方正仿宋简体" w:hAnsi="方正仿宋简体" w:eastAsia="方正仿宋简体" w:cs="方正仿宋简体"/>
          <w:bCs/>
          <w:sz w:val="28"/>
          <w:szCs w:val="32"/>
        </w:rPr>
        <w:t>94个临时党支部</w:t>
      </w:r>
      <w:r>
        <w:rPr>
          <w:rFonts w:hint="eastAsia" w:ascii="方正仿宋简体" w:hAnsi="方正仿宋简体" w:eastAsia="方正仿宋简体" w:cs="方正仿宋简体"/>
          <w:bCs/>
          <w:sz w:val="28"/>
          <w:szCs w:val="32"/>
        </w:rPr>
        <w:t>、</w:t>
      </w:r>
      <w:r>
        <w:rPr>
          <w:rFonts w:ascii="方正仿宋简体" w:hAnsi="方正仿宋简体" w:eastAsia="方正仿宋简体" w:cs="方正仿宋简体"/>
          <w:bCs/>
          <w:sz w:val="28"/>
          <w:szCs w:val="32"/>
        </w:rPr>
        <w:t>183支志愿服务队</w:t>
      </w:r>
      <w:r>
        <w:rPr>
          <w:rFonts w:hint="eastAsia" w:ascii="方正仿宋简体" w:hAnsi="方正仿宋简体" w:eastAsia="方正仿宋简体" w:cs="方正仿宋简体"/>
          <w:bCs/>
          <w:sz w:val="28"/>
          <w:szCs w:val="32"/>
        </w:rPr>
        <w:t>，带动全区1.8万余名党员“逆行”</w:t>
      </w:r>
      <w:r>
        <w:rPr>
          <w:rFonts w:ascii="方正仿宋简体" w:hAnsi="方正仿宋简体" w:eastAsia="方正仿宋简体" w:cs="方正仿宋简体"/>
          <w:bCs/>
          <w:sz w:val="28"/>
          <w:szCs w:val="32"/>
        </w:rPr>
        <w:t>防</w:t>
      </w:r>
      <w:r>
        <w:rPr>
          <w:rFonts w:hint="eastAsia" w:ascii="方正仿宋简体" w:hAnsi="方正仿宋简体" w:eastAsia="方正仿宋简体" w:cs="方正仿宋简体"/>
          <w:bCs/>
          <w:sz w:val="28"/>
          <w:szCs w:val="32"/>
        </w:rPr>
        <w:t>疫</w:t>
      </w:r>
      <w:r>
        <w:rPr>
          <w:rFonts w:ascii="方正仿宋简体" w:hAnsi="方正仿宋简体" w:eastAsia="方正仿宋简体" w:cs="方正仿宋简体"/>
          <w:bCs/>
          <w:sz w:val="28"/>
          <w:szCs w:val="32"/>
        </w:rPr>
        <w:t>，</w:t>
      </w:r>
      <w:r>
        <w:rPr>
          <w:rFonts w:hint="eastAsia" w:ascii="方正仿宋简体" w:hAnsi="方正仿宋简体" w:eastAsia="方正仿宋简体" w:cs="方正仿宋简体"/>
          <w:bCs/>
          <w:sz w:val="28"/>
          <w:szCs w:val="32"/>
        </w:rPr>
        <w:t>有力保障55万市民身体健康和生命安全。推动干部资源向经济建设三大主战场集聚，出台《2020—2023年优化全区科级领导班子结构加强干部队伍建设的实施意见》，干部、编制资源向经济建设主战场和基层一线倾斜，优先配齐配强经济部门、乡镇（街道）和区属国有企业领导班子。创新13</w:t>
      </w:r>
      <w:r>
        <w:rPr>
          <w:rFonts w:ascii="方正仿宋简体" w:hAnsi="方正仿宋简体" w:eastAsia="方正仿宋简体" w:cs="方正仿宋简体"/>
          <w:bCs/>
          <w:sz w:val="28"/>
          <w:szCs w:val="32"/>
        </w:rPr>
        <w:t>条措施激发帮扶力量干事创业激情</w:t>
      </w:r>
      <w:r>
        <w:rPr>
          <w:rFonts w:hint="eastAsia" w:ascii="方正仿宋简体" w:hAnsi="方正仿宋简体" w:eastAsia="方正仿宋简体" w:cs="方正仿宋简体"/>
          <w:bCs/>
          <w:sz w:val="28"/>
          <w:szCs w:val="32"/>
        </w:rPr>
        <w:t>，提拔脱贫攻坚一线干部24人，全面落实援彝干部职级晋升、待遇保障、定期走访、困难关怀等措施。积极稳妥推进公务员职务与职级并行。高度重视老干部工作，南河街道石马坝社区离退休干部党支部被评为全省离退休干部先进集体。强化高质量发展的人才支撑，开展“利州英才五进”活动，与清华大学清农学堂、中国城市发展研究院等共建产学研基地，</w:t>
      </w:r>
      <w:r>
        <w:rPr>
          <w:rFonts w:ascii="方正仿宋简体" w:hAnsi="方正仿宋简体" w:eastAsia="方正仿宋简体" w:cs="方正仿宋简体"/>
          <w:bCs/>
          <w:sz w:val="28"/>
          <w:szCs w:val="32"/>
        </w:rPr>
        <w:t>培训乡村干部和各类实用人才2000余人，孵化道地中药材、利州香菇等品牌项目1</w:t>
      </w:r>
      <w:r>
        <w:rPr>
          <w:rFonts w:hint="eastAsia" w:ascii="方正仿宋简体" w:hAnsi="方正仿宋简体" w:eastAsia="方正仿宋简体" w:cs="方正仿宋简体"/>
          <w:bCs/>
          <w:sz w:val="28"/>
          <w:szCs w:val="32"/>
        </w:rPr>
        <w:t>2</w:t>
      </w:r>
      <w:r>
        <w:rPr>
          <w:rFonts w:ascii="方正仿宋简体" w:hAnsi="方正仿宋简体" w:eastAsia="方正仿宋简体" w:cs="方正仿宋简体"/>
          <w:bCs/>
          <w:sz w:val="28"/>
          <w:szCs w:val="32"/>
        </w:rPr>
        <w:t>个</w:t>
      </w:r>
      <w:r>
        <w:rPr>
          <w:rFonts w:hint="eastAsia" w:ascii="方正仿宋简体" w:hAnsi="方正仿宋简体" w:eastAsia="方正仿宋简体" w:cs="方正仿宋简体"/>
          <w:bCs/>
          <w:sz w:val="28"/>
          <w:szCs w:val="32"/>
        </w:rPr>
        <w:t>，引导2.4万名优秀人才扎根乡村一线。</w:t>
      </w:r>
    </w:p>
    <w:p>
      <w:pPr>
        <w:pStyle w:val="13"/>
        <w:shd w:val="clear" w:color="auto" w:fill="FFFFFF"/>
        <w:adjustRightInd w:val="0"/>
        <w:snapToGrid w:val="0"/>
        <w:spacing w:before="0" w:beforeAutospacing="0" w:after="0" w:afterAutospacing="0" w:line="576" w:lineRule="exact"/>
        <w:ind w:firstLine="560"/>
        <w:jc w:val="both"/>
        <w:rPr>
          <w:rFonts w:ascii="方正仿宋简体" w:hAnsi="方正仿宋简体" w:eastAsia="方正仿宋简体" w:cs="方正仿宋简体"/>
          <w:bCs/>
          <w:color w:val="000000"/>
          <w:sz w:val="28"/>
          <w:szCs w:val="32"/>
        </w:rPr>
      </w:pPr>
      <w:r>
        <w:rPr>
          <w:rFonts w:hint="eastAsia" w:ascii="方正楷体简体" w:hAnsi="方正楷体简体" w:eastAsia="方正楷体简体" w:cs="方正楷体简体"/>
          <w:bCs/>
          <w:sz w:val="28"/>
          <w:szCs w:val="32"/>
          <w:shd w:val="clear" w:color="auto" w:fill="FFFFFF"/>
        </w:rPr>
        <w:t>3.</w:t>
      </w:r>
      <w:r>
        <w:rPr>
          <w:rFonts w:hint="eastAsia" w:ascii="楷体" w:hAnsi="楷体" w:eastAsia="楷体" w:cs="方正楷体简体"/>
          <w:bCs/>
          <w:sz w:val="28"/>
          <w:szCs w:val="32"/>
          <w:shd w:val="clear" w:color="auto" w:fill="FFFFFF"/>
        </w:rPr>
        <w:t>始终聚力争先攀高</w:t>
      </w:r>
      <w:r>
        <w:rPr>
          <w:rFonts w:hint="eastAsia" w:ascii="方正楷体简体" w:hAnsi="方正楷体简体" w:eastAsia="方正楷体简体" w:cs="方正楷体简体"/>
          <w:bCs/>
          <w:sz w:val="28"/>
          <w:szCs w:val="32"/>
          <w:shd w:val="clear" w:color="auto" w:fill="FFFFFF"/>
        </w:rPr>
        <w:t>。</w:t>
      </w:r>
      <w:r>
        <w:rPr>
          <w:rFonts w:hint="eastAsia" w:ascii="Times New Roman" w:hAnsi="Times New Roman" w:eastAsia="方正仿宋简体"/>
          <w:bCs/>
          <w:sz w:val="28"/>
          <w:szCs w:val="32"/>
        </w:rPr>
        <w:t>推进城乡</w:t>
      </w:r>
      <w:r>
        <w:rPr>
          <w:rFonts w:ascii="Times New Roman" w:hAnsi="Times New Roman" w:eastAsia="方正仿宋简体"/>
          <w:bCs/>
          <w:sz w:val="28"/>
          <w:szCs w:val="32"/>
        </w:rPr>
        <w:t>基层治理示范体系建设</w:t>
      </w:r>
      <w:r>
        <w:rPr>
          <w:rFonts w:hint="eastAsia" w:ascii="Times New Roman" w:hAnsi="Times New Roman" w:eastAsia="方正仿宋简体"/>
          <w:bCs/>
          <w:sz w:val="28"/>
          <w:szCs w:val="32"/>
        </w:rPr>
        <w:t>，致力“建机制、抓示范”，分别以</w:t>
      </w:r>
      <w:r>
        <w:rPr>
          <w:rFonts w:hint="eastAsia" w:ascii="Times New Roman" w:hAnsi="Times New Roman" w:eastAsia="方正仿宋简体"/>
          <w:bCs/>
          <w:kern w:val="2"/>
          <w:sz w:val="28"/>
          <w:szCs w:val="32"/>
        </w:rPr>
        <w:t>“4+12”</w:t>
      </w:r>
      <w:r>
        <w:rPr>
          <w:rFonts w:ascii="Times New Roman" w:hAnsi="Times New Roman" w:eastAsia="方正仿宋简体"/>
          <w:bCs/>
          <w:sz w:val="28"/>
          <w:szCs w:val="32"/>
        </w:rPr>
        <w:t>“1+4+X”</w:t>
      </w:r>
      <w:r>
        <w:rPr>
          <w:rFonts w:hint="eastAsia" w:ascii="Times New Roman" w:hAnsi="Times New Roman" w:eastAsia="方正仿宋简体"/>
          <w:bCs/>
          <w:sz w:val="28"/>
          <w:szCs w:val="32"/>
        </w:rPr>
        <w:t>机制</w:t>
      </w:r>
      <w:r>
        <w:rPr>
          <w:rFonts w:hint="eastAsia" w:ascii="Times New Roman" w:hAnsi="Times New Roman" w:eastAsia="方正仿宋简体"/>
          <w:bCs/>
          <w:kern w:val="2"/>
          <w:sz w:val="28"/>
          <w:szCs w:val="32"/>
        </w:rPr>
        <w:t>推进乡村和</w:t>
      </w:r>
      <w:r>
        <w:rPr>
          <w:rFonts w:hint="eastAsia" w:ascii="Times New Roman" w:hAnsi="Times New Roman" w:eastAsia="方正仿宋简体"/>
          <w:bCs/>
          <w:sz w:val="28"/>
          <w:szCs w:val="32"/>
        </w:rPr>
        <w:t>城市基层治理，大力推动党群服务中心</w:t>
      </w:r>
      <w:r>
        <w:rPr>
          <w:rFonts w:ascii="Times New Roman" w:hAnsi="Times New Roman" w:eastAsia="方正仿宋简体"/>
          <w:bCs/>
          <w:sz w:val="28"/>
          <w:szCs w:val="32"/>
        </w:rPr>
        <w:t>亲民化改造</w:t>
      </w:r>
      <w:r>
        <w:rPr>
          <w:rFonts w:hint="eastAsia" w:ascii="Times New Roman" w:hAnsi="Times New Roman" w:eastAsia="方正仿宋简体"/>
          <w:bCs/>
          <w:kern w:val="2"/>
          <w:sz w:val="28"/>
          <w:szCs w:val="32"/>
        </w:rPr>
        <w:t>、</w:t>
      </w:r>
      <w:r>
        <w:rPr>
          <w:rFonts w:ascii="Times New Roman" w:hAnsi="Times New Roman" w:eastAsia="方正仿宋简体"/>
          <w:bCs/>
          <w:sz w:val="28"/>
          <w:szCs w:val="32"/>
        </w:rPr>
        <w:t>老旧小区结对共建</w:t>
      </w:r>
      <w:r>
        <w:rPr>
          <w:rFonts w:hint="eastAsia" w:ascii="Times New Roman" w:hAnsi="Times New Roman" w:eastAsia="方正仿宋简体"/>
          <w:bCs/>
          <w:sz w:val="28"/>
          <w:szCs w:val="32"/>
        </w:rPr>
        <w:t>、</w:t>
      </w:r>
      <w:r>
        <w:rPr>
          <w:rFonts w:ascii="Times New Roman" w:hAnsi="Times New Roman" w:eastAsia="方正仿宋简体"/>
          <w:bCs/>
          <w:sz w:val="28"/>
          <w:szCs w:val="32"/>
        </w:rPr>
        <w:t>社区</w:t>
      </w:r>
      <w:r>
        <w:rPr>
          <w:rFonts w:hint="eastAsia" w:ascii="Times New Roman" w:hAnsi="Times New Roman" w:eastAsia="方正仿宋简体"/>
          <w:bCs/>
          <w:sz w:val="28"/>
          <w:szCs w:val="32"/>
        </w:rPr>
        <w:t>办社会企业、</w:t>
      </w:r>
      <w:r>
        <w:rPr>
          <w:rFonts w:hint="eastAsia" w:ascii="Times New Roman" w:hAnsi="Times New Roman" w:eastAsia="方正仿宋简体"/>
          <w:bCs/>
          <w:kern w:val="2"/>
          <w:sz w:val="28"/>
          <w:szCs w:val="32"/>
        </w:rPr>
        <w:t>社区工作者“三岗七级”职业化体系建设</w:t>
      </w:r>
      <w:r>
        <w:rPr>
          <w:rFonts w:hint="eastAsia" w:ascii="Times New Roman" w:hAnsi="Times New Roman" w:eastAsia="方正仿宋简体"/>
          <w:bCs/>
          <w:sz w:val="28"/>
          <w:szCs w:val="32"/>
        </w:rPr>
        <w:t>，</w:t>
      </w:r>
      <w:r>
        <w:rPr>
          <w:rFonts w:hint="eastAsia" w:ascii="Times New Roman" w:hAnsi="Times New Roman" w:eastAsia="方正仿宋简体"/>
          <w:bCs/>
          <w:kern w:val="2"/>
          <w:sz w:val="28"/>
          <w:szCs w:val="32"/>
        </w:rPr>
        <w:t>分层分类分领域建成97个城乡基层治理示范点</w:t>
      </w:r>
      <w:r>
        <w:rPr>
          <w:rFonts w:ascii="Times New Roman" w:hAnsi="Times New Roman" w:eastAsia="方正仿宋简体"/>
          <w:bCs/>
          <w:sz w:val="28"/>
          <w:szCs w:val="32"/>
        </w:rPr>
        <w:t>。</w:t>
      </w:r>
      <w:r>
        <w:rPr>
          <w:rFonts w:hint="eastAsia" w:ascii="方正仿宋简体" w:hAnsi="方正仿宋简体" w:eastAsia="方正仿宋简体" w:cs="方正仿宋简体"/>
          <w:bCs/>
          <w:sz w:val="28"/>
          <w:szCs w:val="32"/>
        </w:rPr>
        <w:t>持续推进基层党建示范建设。</w:t>
      </w:r>
      <w:r>
        <w:rPr>
          <w:rFonts w:hint="eastAsia" w:ascii="Times New Roman" w:hAnsi="Times New Roman" w:eastAsia="方正仿宋简体"/>
          <w:bCs/>
          <w:sz w:val="28"/>
          <w:szCs w:val="32"/>
        </w:rPr>
        <w:t>启动</w:t>
      </w:r>
      <w:r>
        <w:rPr>
          <w:rFonts w:ascii="Times New Roman" w:hAnsi="Times New Roman" w:eastAsia="方正仿宋简体"/>
          <w:bCs/>
          <w:sz w:val="28"/>
          <w:szCs w:val="32"/>
        </w:rPr>
        <w:t>村（社区）</w:t>
      </w:r>
      <w:r>
        <w:rPr>
          <w:rFonts w:hint="eastAsia" w:ascii="Times New Roman" w:hAnsi="Times New Roman" w:eastAsia="方正仿宋简体"/>
          <w:bCs/>
          <w:sz w:val="28"/>
          <w:szCs w:val="32"/>
        </w:rPr>
        <w:t>党组织评先定级，推进星级化管理</w:t>
      </w:r>
      <w:r>
        <w:rPr>
          <w:rFonts w:hint="eastAsia" w:ascii="方正仿宋简体" w:hAnsi="方正仿宋简体" w:eastAsia="方正仿宋简体" w:cs="方正仿宋简体"/>
          <w:bCs/>
          <w:sz w:val="28"/>
          <w:szCs w:val="32"/>
        </w:rPr>
        <w:t>；出台12条措施激发机关党务干部活力，开展“达标争先创模范”活动。落实260万元专项资金，高标准建成快乐社区、托斯卡纳小区等区级党建示范点7个。</w:t>
      </w:r>
      <w:r>
        <w:rPr>
          <w:rFonts w:hint="eastAsia" w:ascii="方正仿宋简体" w:hAnsi="方正仿宋简体" w:eastAsia="方正仿宋简体" w:cs="方正仿宋简体"/>
          <w:bCs/>
          <w:color w:val="000000"/>
          <w:sz w:val="28"/>
          <w:szCs w:val="32"/>
        </w:rPr>
        <w:t>持续推进“人才优先发展示范区”建设，</w:t>
      </w:r>
      <w:r>
        <w:rPr>
          <w:rFonts w:hint="eastAsia" w:ascii="Times New Roman" w:hAnsi="Times New Roman" w:eastAsia="方正仿宋简体"/>
          <w:bCs/>
          <w:kern w:val="2"/>
          <w:sz w:val="28"/>
          <w:szCs w:val="32"/>
        </w:rPr>
        <w:t>探索“总部+基地”模式推动“人才飞地”建设，在成都武侯区建成全市第一个“双创离岸孵化器”，吸引27家战略性、科技型企业入驻。制定“乡村人才振兴八条措施”，刚性引进</w:t>
      </w:r>
      <w:r>
        <w:rPr>
          <w:rFonts w:hint="eastAsia" w:ascii="方正仿宋简体" w:hAnsi="方正仿宋简体" w:eastAsia="方正仿宋简体" w:cs="方正仿宋简体"/>
          <w:bCs/>
          <w:color w:val="000000"/>
          <w:sz w:val="28"/>
          <w:szCs w:val="32"/>
        </w:rPr>
        <w:t>165名高层次和急需紧缺人才，吸引425名“周末工程师”来利州干事创业。</w:t>
      </w:r>
    </w:p>
    <w:p>
      <w:pPr>
        <w:pStyle w:val="13"/>
        <w:shd w:val="clear" w:color="auto" w:fill="FFFFFF"/>
        <w:adjustRightInd w:val="0"/>
        <w:snapToGrid w:val="0"/>
        <w:spacing w:before="0" w:beforeAutospacing="0" w:after="0" w:afterAutospacing="0" w:line="576" w:lineRule="exact"/>
        <w:ind w:firstLine="560"/>
        <w:jc w:val="both"/>
        <w:rPr>
          <w:rFonts w:ascii="黑体" w:hAnsi="黑体" w:eastAsia="黑体" w:cs="黑体"/>
          <w:bCs/>
          <w:sz w:val="28"/>
          <w:szCs w:val="32"/>
          <w:shd w:val="clear" w:color="auto" w:fill="FFFFFF"/>
        </w:rPr>
      </w:pPr>
      <w:r>
        <w:rPr>
          <w:rFonts w:hint="eastAsia" w:ascii="方正楷体简体" w:hAnsi="方正楷体简体" w:eastAsia="方正楷体简体" w:cs="方正楷体简体"/>
          <w:bCs/>
          <w:sz w:val="28"/>
          <w:szCs w:val="32"/>
          <w:shd w:val="clear" w:color="auto" w:fill="FFFFFF"/>
        </w:rPr>
        <w:t>4.</w:t>
      </w:r>
      <w:r>
        <w:rPr>
          <w:rFonts w:hint="eastAsia" w:ascii="楷体" w:hAnsi="楷体" w:eastAsia="楷体" w:cs="方正楷体简体"/>
          <w:bCs/>
          <w:sz w:val="28"/>
          <w:szCs w:val="32"/>
          <w:shd w:val="clear" w:color="auto" w:fill="FFFFFF"/>
        </w:rPr>
        <w:t>始终坚持问题导向，在逗硬整改落实中提升工作质效。</w:t>
      </w:r>
      <w:r>
        <w:rPr>
          <w:rFonts w:hint="eastAsia" w:ascii="方正仿宋简体" w:hAnsi="方正仿宋简体" w:eastAsia="方正仿宋简体" w:cs="方正仿宋简体"/>
          <w:bCs/>
          <w:sz w:val="28"/>
          <w:szCs w:val="32"/>
          <w:shd w:val="clear" w:color="auto" w:fill="FFFFFF"/>
        </w:rPr>
        <w:t>以省委巡视反馈问题整改为契机，</w:t>
      </w:r>
      <w:r>
        <w:rPr>
          <w:rFonts w:hint="eastAsia" w:ascii="方正仿宋简体" w:hAnsi="方正仿宋简体" w:eastAsia="方正仿宋简体" w:cs="方正仿宋简体"/>
          <w:bCs/>
          <w:sz w:val="28"/>
          <w:szCs w:val="32"/>
        </w:rPr>
        <w:t>围绕干部队伍结构不优、专业化水平不高等问题，全年提拔重用35岁以下优秀年轻干部42名，占65.6%，五分之二以上的乡镇配备“85后”党政正职。围绕基层党建工作薄弱环节，健全完善基层党组织底线管理制度机制，持续抓紧抓实“六个基本”建设。</w:t>
      </w:r>
      <w:r>
        <w:rPr>
          <w:rFonts w:ascii="方正仿宋简体" w:hAnsi="方正仿宋简体" w:eastAsia="方正仿宋简体" w:cs="方正仿宋简体"/>
          <w:bCs/>
          <w:sz w:val="28"/>
          <w:szCs w:val="32"/>
        </w:rPr>
        <w:t>探索推广</w:t>
      </w:r>
      <w:r>
        <w:rPr>
          <w:rFonts w:hint="eastAsia" w:ascii="方正仿宋简体" w:hAnsi="方正仿宋简体" w:eastAsia="方正仿宋简体" w:cs="方正仿宋简体"/>
          <w:bCs/>
          <w:sz w:val="28"/>
          <w:szCs w:val="32"/>
        </w:rPr>
        <w:t>“五模式</w:t>
      </w:r>
      <w:r>
        <w:rPr>
          <w:rFonts w:ascii="方正仿宋简体" w:hAnsi="方正仿宋简体" w:eastAsia="方正仿宋简体" w:cs="方正仿宋简体"/>
          <w:bCs/>
          <w:sz w:val="28"/>
          <w:szCs w:val="32"/>
        </w:rPr>
        <w:t>+五业态”</w:t>
      </w:r>
      <w:r>
        <w:rPr>
          <w:rFonts w:hint="eastAsia" w:ascii="方正仿宋简体" w:hAnsi="方正仿宋简体" w:eastAsia="方正仿宋简体" w:cs="方正仿宋简体"/>
          <w:bCs/>
          <w:sz w:val="28"/>
          <w:szCs w:val="32"/>
        </w:rPr>
        <w:t>做法，壮大12</w:t>
      </w:r>
      <w:r>
        <w:rPr>
          <w:rFonts w:ascii="方正仿宋简体" w:hAnsi="方正仿宋简体" w:eastAsia="方正仿宋简体" w:cs="方正仿宋简体"/>
          <w:bCs/>
          <w:sz w:val="28"/>
          <w:szCs w:val="32"/>
        </w:rPr>
        <w:t>个中</w:t>
      </w:r>
      <w:r>
        <w:rPr>
          <w:rFonts w:hint="eastAsia" w:ascii="方正仿宋简体" w:hAnsi="方正仿宋简体" w:eastAsia="方正仿宋简体" w:cs="方正仿宋简体"/>
          <w:bCs/>
          <w:sz w:val="28"/>
          <w:szCs w:val="32"/>
        </w:rPr>
        <w:t>央、</w:t>
      </w:r>
      <w:r>
        <w:rPr>
          <w:rFonts w:ascii="方正仿宋简体" w:hAnsi="方正仿宋简体" w:eastAsia="方正仿宋简体" w:cs="方正仿宋简体"/>
          <w:bCs/>
          <w:sz w:val="28"/>
          <w:szCs w:val="32"/>
        </w:rPr>
        <w:t>省扶持村集体经济</w:t>
      </w:r>
      <w:r>
        <w:rPr>
          <w:rFonts w:hint="eastAsia" w:ascii="方正仿宋简体" w:hAnsi="方正仿宋简体" w:eastAsia="方正仿宋简体" w:cs="方正仿宋简体"/>
          <w:bCs/>
          <w:sz w:val="28"/>
          <w:szCs w:val="32"/>
        </w:rPr>
        <w:t>。创新“九步工作法”推进7个软弱涣散村（社区）党组织整顿提升</w:t>
      </w:r>
      <w:r>
        <w:rPr>
          <w:rFonts w:ascii="方正仿宋简体" w:hAnsi="方正仿宋简体" w:eastAsia="方正仿宋简体" w:cs="方正仿宋简体"/>
          <w:bCs/>
          <w:sz w:val="28"/>
          <w:szCs w:val="32"/>
        </w:rPr>
        <w:t>。</w:t>
      </w:r>
      <w:r>
        <w:rPr>
          <w:rFonts w:hint="eastAsia" w:ascii="方正仿宋简体" w:hAnsi="方正仿宋简体" w:eastAsia="方正仿宋简体" w:cs="方正仿宋简体"/>
          <w:bCs/>
          <w:sz w:val="28"/>
          <w:szCs w:val="32"/>
        </w:rPr>
        <w:t>实施两新组织“大排查、大培训、大整改、大宣讲”行动，调整优化两新党建指导员28名，</w:t>
      </w:r>
      <w:r>
        <w:rPr>
          <w:rFonts w:ascii="方正仿宋简体" w:hAnsi="方正仿宋简体" w:eastAsia="方正仿宋简体" w:cs="方正仿宋简体"/>
          <w:bCs/>
          <w:sz w:val="28"/>
          <w:szCs w:val="32"/>
        </w:rPr>
        <w:t>非公企业、社会组织党组织覆盖率分别达80.65%、92.52%</w:t>
      </w:r>
      <w:r>
        <w:rPr>
          <w:rFonts w:hint="eastAsia" w:ascii="方正仿宋简体" w:hAnsi="方正仿宋简体" w:eastAsia="方正仿宋简体" w:cs="方正仿宋简体"/>
          <w:bCs/>
          <w:sz w:val="28"/>
          <w:szCs w:val="32"/>
        </w:rPr>
        <w:t>，高于全国全省平均水平。大力推进区属国有企业党的建设，党组织覆盖率达</w:t>
      </w:r>
      <w:r>
        <w:rPr>
          <w:rFonts w:hint="eastAsia" w:ascii="Times New Roman" w:hAnsi="Times New Roman" w:eastAsia="方正仿宋简体"/>
          <w:bCs/>
          <w:kern w:val="2"/>
          <w:sz w:val="28"/>
          <w:szCs w:val="32"/>
        </w:rPr>
        <w:t>100%</w:t>
      </w:r>
      <w:r>
        <w:rPr>
          <w:rFonts w:hint="eastAsia" w:ascii="方正仿宋简体" w:hAnsi="方正仿宋简体" w:eastAsia="方正仿宋简体" w:cs="方正仿宋简体"/>
          <w:bCs/>
          <w:color w:val="000000"/>
          <w:sz w:val="28"/>
          <w:szCs w:val="32"/>
        </w:rPr>
        <w:t>。</w:t>
      </w:r>
      <w:r>
        <w:rPr>
          <w:rFonts w:hint="eastAsia" w:ascii="方正仿宋简体" w:hAnsi="方正仿宋简体" w:eastAsia="方正仿宋简体" w:cs="方正仿宋简体"/>
          <w:bCs/>
          <w:sz w:val="28"/>
          <w:szCs w:val="32"/>
        </w:rPr>
        <w:t>围绕一些干部党建业务水平与高质量推进工作要求不相适应问题，</w:t>
      </w:r>
      <w:r>
        <w:rPr>
          <w:rFonts w:hint="eastAsia" w:ascii="Times New Roman" w:hAnsi="Times New Roman" w:eastAsia="方正仿宋简体"/>
          <w:bCs/>
          <w:sz w:val="28"/>
          <w:szCs w:val="32"/>
          <w:lang w:bidi="ar"/>
        </w:rPr>
        <w:t>组织6批127人次“走出去”开阔眼界，</w:t>
      </w:r>
      <w:r>
        <w:rPr>
          <w:rFonts w:hint="eastAsia" w:ascii="方正仿宋简体" w:hAnsi="方正仿宋简体" w:eastAsia="方正仿宋简体" w:cs="方正仿宋简体"/>
          <w:bCs/>
          <w:sz w:val="28"/>
          <w:szCs w:val="32"/>
        </w:rPr>
        <w:t>举办基层党组织书记、党务工作者等5个示范培训班，</w:t>
      </w:r>
      <w:r>
        <w:rPr>
          <w:rFonts w:hint="eastAsia" w:ascii="Times New Roman" w:hAnsi="Times New Roman" w:eastAsia="方正仿宋简体"/>
          <w:bCs/>
          <w:sz w:val="28"/>
          <w:szCs w:val="32"/>
          <w:lang w:bidi="ar"/>
        </w:rPr>
        <w:t>分专题召开6次推进会，现场赛马、实战练兵</w:t>
      </w:r>
      <w:r>
        <w:rPr>
          <w:rFonts w:hint="eastAsia" w:ascii="方正仿宋简体" w:hAnsi="方正仿宋简体" w:eastAsia="方正仿宋简体" w:cs="方正仿宋简体"/>
          <w:bCs/>
          <w:sz w:val="28"/>
          <w:szCs w:val="32"/>
        </w:rPr>
        <w:t>。</w:t>
      </w:r>
    </w:p>
    <w:p>
      <w:pPr>
        <w:pStyle w:val="13"/>
        <w:shd w:val="clear" w:color="auto" w:fill="FFFFFF"/>
        <w:adjustRightInd w:val="0"/>
        <w:snapToGrid w:val="0"/>
        <w:spacing w:before="0" w:beforeAutospacing="0" w:after="0" w:afterAutospacing="0" w:line="576" w:lineRule="exact"/>
        <w:ind w:firstLine="560"/>
        <w:jc w:val="both"/>
        <w:rPr>
          <w:rFonts w:eastAsia="方正仿宋简体" w:cs="仿宋_GB2312"/>
          <w:bCs/>
          <w:color w:val="FF0000"/>
          <w:sz w:val="28"/>
          <w:szCs w:val="32"/>
          <w:shd w:val="clear" w:color="auto" w:fill="FFFFFF"/>
        </w:rPr>
      </w:pPr>
      <w:r>
        <w:rPr>
          <w:rFonts w:hint="eastAsia" w:ascii="方正楷体简体" w:hAnsi="方正楷体简体" w:eastAsia="方正楷体简体" w:cs="方正楷体简体"/>
          <w:bCs/>
          <w:sz w:val="28"/>
          <w:szCs w:val="32"/>
          <w:shd w:val="clear" w:color="auto" w:fill="FFFFFF"/>
        </w:rPr>
        <w:t>5.</w:t>
      </w:r>
      <w:r>
        <w:rPr>
          <w:rFonts w:hint="eastAsia" w:ascii="楷体" w:hAnsi="楷体" w:eastAsia="楷体" w:cs="方正楷体简体"/>
          <w:bCs/>
          <w:sz w:val="28"/>
          <w:szCs w:val="32"/>
          <w:shd w:val="clear" w:color="auto" w:fill="FFFFFF"/>
        </w:rPr>
        <w:t>始终突出改革驱动，在务实创新中推进组织工作高质量发展。</w:t>
      </w:r>
      <w:r>
        <w:rPr>
          <w:rFonts w:hint="eastAsia" w:ascii="Times New Roman" w:hAnsi="Times New Roman" w:eastAsia="方正仿宋简体"/>
          <w:bCs/>
          <w:kern w:val="2"/>
          <w:sz w:val="28"/>
          <w:szCs w:val="32"/>
        </w:rPr>
        <w:t>扎实开展全省街道（乡镇）评议区级职能部门试点，先后</w:t>
      </w:r>
      <w:r>
        <w:rPr>
          <w:rFonts w:hint="eastAsia" w:ascii="Times New Roman" w:hAnsi="Times New Roman" w:eastAsia="方正仿宋简体"/>
          <w:bCs/>
          <w:color w:val="000000"/>
          <w:kern w:val="2"/>
          <w:sz w:val="28"/>
          <w:szCs w:val="32"/>
        </w:rPr>
        <w:t>接待6批次省内外学习考察，工作经验被《四川改革专报》专</w:t>
      </w:r>
      <w:r>
        <w:rPr>
          <w:rFonts w:hint="eastAsia" w:ascii="Times New Roman" w:hAnsi="Times New Roman" w:eastAsia="方正仿宋简体"/>
          <w:bCs/>
          <w:kern w:val="2"/>
          <w:sz w:val="28"/>
          <w:szCs w:val="32"/>
        </w:rPr>
        <w:t>文刊载</w:t>
      </w:r>
      <w:r>
        <w:rPr>
          <w:rFonts w:hint="eastAsia" w:ascii="Times New Roman" w:hAnsi="Times New Roman" w:eastAsia="方正仿宋简体"/>
          <w:bCs/>
          <w:color w:val="000000"/>
          <w:kern w:val="2"/>
          <w:sz w:val="28"/>
          <w:szCs w:val="32"/>
        </w:rPr>
        <w:t>，全市深化街道管理体制改革、老旧小区治理、物业党建工作会在我区召开</w:t>
      </w:r>
      <w:r>
        <w:rPr>
          <w:rFonts w:hint="eastAsia" w:ascii="Times New Roman" w:hAnsi="Times New Roman" w:eastAsia="方正仿宋简体"/>
          <w:bCs/>
          <w:kern w:val="2"/>
          <w:sz w:val="28"/>
          <w:szCs w:val="32"/>
        </w:rPr>
        <w:t>。扎实抓好两项改革，行政村、村民小组减幅分别达</w:t>
      </w:r>
      <w:r>
        <w:rPr>
          <w:rFonts w:ascii="Times New Roman" w:hAnsi="Times New Roman" w:eastAsia="方正仿宋简体"/>
          <w:bCs/>
          <w:kern w:val="2"/>
          <w:sz w:val="28"/>
          <w:szCs w:val="32"/>
        </w:rPr>
        <w:t>44%</w:t>
      </w:r>
      <w:r>
        <w:rPr>
          <w:rFonts w:hint="eastAsia" w:ascii="Times New Roman" w:hAnsi="Times New Roman" w:eastAsia="方正仿宋简体"/>
          <w:bCs/>
          <w:kern w:val="2"/>
          <w:sz w:val="28"/>
          <w:szCs w:val="32"/>
        </w:rPr>
        <w:t>和</w:t>
      </w:r>
      <w:r>
        <w:rPr>
          <w:rFonts w:ascii="Times New Roman" w:hAnsi="Times New Roman" w:eastAsia="方正仿宋简体"/>
          <w:bCs/>
          <w:kern w:val="2"/>
          <w:sz w:val="28"/>
          <w:szCs w:val="32"/>
        </w:rPr>
        <w:t>45%</w:t>
      </w:r>
      <w:r>
        <w:rPr>
          <w:rFonts w:hint="eastAsia" w:ascii="Times New Roman" w:hAnsi="Times New Roman" w:eastAsia="方正仿宋简体"/>
          <w:bCs/>
          <w:kern w:val="2"/>
          <w:sz w:val="28"/>
          <w:szCs w:val="32"/>
        </w:rPr>
        <w:t>。2个乡镇“撤镇改街”，拉大城市发展骨架。3个区级部门派驻机构人权、事权、财权下放乡镇（街道）。全面推行民事代办、社区“全岗通”，构建</w:t>
      </w:r>
      <w:r>
        <w:rPr>
          <w:rFonts w:ascii="Times New Roman" w:hAnsi="Times New Roman" w:eastAsia="方正仿宋简体"/>
          <w:bCs/>
          <w:kern w:val="2"/>
          <w:sz w:val="28"/>
          <w:szCs w:val="32"/>
        </w:rPr>
        <w:t>农村5公里</w:t>
      </w:r>
      <w:r>
        <w:rPr>
          <w:rFonts w:hint="eastAsia" w:ascii="Times New Roman" w:hAnsi="Times New Roman" w:eastAsia="方正仿宋简体"/>
          <w:bCs/>
          <w:kern w:val="2"/>
          <w:sz w:val="28"/>
          <w:szCs w:val="32"/>
        </w:rPr>
        <w:t>、城市</w:t>
      </w:r>
      <w:r>
        <w:rPr>
          <w:rFonts w:ascii="Times New Roman" w:hAnsi="Times New Roman" w:eastAsia="方正仿宋简体"/>
          <w:bCs/>
          <w:kern w:val="2"/>
          <w:sz w:val="28"/>
          <w:szCs w:val="32"/>
        </w:rPr>
        <w:t>10分钟便民服务圈。</w:t>
      </w:r>
      <w:r>
        <w:rPr>
          <w:rFonts w:hint="eastAsia" w:ascii="Times New Roman" w:hAnsi="Times New Roman" w:eastAsia="方正仿宋简体"/>
          <w:bCs/>
          <w:kern w:val="2"/>
          <w:sz w:val="28"/>
          <w:szCs w:val="32"/>
        </w:rPr>
        <w:t>圆满完成4个社区非户籍常住居民和党员参与“两委”换届试点，其余村（社区）“两委”换届工作平稳有序推进，“两委”班子拟任人选学历、年龄、职数“一提两降”。</w:t>
      </w:r>
    </w:p>
    <w:p>
      <w:pPr>
        <w:spacing w:line="576" w:lineRule="exact"/>
        <w:ind w:firstLine="640" w:firstLineChars="200"/>
        <w:rPr>
          <w:rStyle w:val="29"/>
          <w:rFonts w:asciiTheme="minorEastAsia" w:hAnsiTheme="minorEastAsia" w:eastAsiaTheme="minorEastAsia"/>
        </w:rPr>
      </w:pPr>
      <w:r>
        <w:rPr>
          <w:rFonts w:hint="eastAsia" w:asciiTheme="minorEastAsia" w:hAnsiTheme="minorEastAsia" w:eastAsiaTheme="minorEastAsia"/>
          <w:color w:val="000000"/>
          <w:sz w:val="32"/>
          <w:szCs w:val="32"/>
        </w:rPr>
        <w:t>二、机</w:t>
      </w:r>
      <w:r>
        <w:rPr>
          <w:rStyle w:val="29"/>
          <w:rFonts w:hint="eastAsia" w:asciiTheme="minorEastAsia" w:hAnsiTheme="minorEastAsia" w:eastAsiaTheme="minorEastAsia"/>
        </w:rPr>
        <w:t>构设置</w:t>
      </w:r>
      <w:bookmarkEnd w:id="18"/>
      <w:bookmarkEnd w:id="19"/>
    </w:p>
    <w:p>
      <w:pPr>
        <w:spacing w:line="560" w:lineRule="exact"/>
        <w:ind w:firstLine="560" w:firstLineChars="200"/>
        <w:outlineLvl w:val="0"/>
        <w:rPr>
          <w:rFonts w:ascii="仿宋_GB2312" w:eastAsia="仿宋_GB2312"/>
          <w:sz w:val="28"/>
          <w:szCs w:val="32"/>
        </w:rPr>
      </w:pPr>
      <w:bookmarkStart w:id="20" w:name="_Toc15377204"/>
      <w:bookmarkStart w:id="21" w:name="_Toc15396602"/>
      <w:r>
        <w:rPr>
          <w:rFonts w:hint="eastAsia" w:ascii="仿宋_GB2312" w:eastAsia="仿宋_GB2312"/>
          <w:sz w:val="28"/>
          <w:szCs w:val="32"/>
        </w:rPr>
        <w:t>中共广元市利州区委组织部属一级预算单位，执行政府会计会计制度。下属二级单位5个，其中参照公务员法管理的事业单位2个（党员教育服务中心、直属机关党建事务中心），其他事业单位3个（老干部服务中心、干部人事档案管理中心、高端人才服务中心）。纳入中共广元市利州区委组织部2020年度部门决算编制范围的二级预算单位0个。</w:t>
      </w:r>
    </w:p>
    <w:p>
      <w:pPr>
        <w:pStyle w:val="5"/>
        <w:adjustRightInd w:val="0"/>
        <w:snapToGrid w:val="0"/>
        <w:spacing w:before="162" w:line="600" w:lineRule="exact"/>
        <w:jc w:val="center"/>
        <w:rPr>
          <w:rStyle w:val="28"/>
          <w:rFonts w:ascii="方正小标宋简体" w:hAnsi="黑体" w:eastAsia="方正小标宋简体"/>
          <w:sz w:val="32"/>
          <w:szCs w:val="32"/>
        </w:rPr>
      </w:pPr>
      <w:r>
        <w:rPr>
          <w:rFonts w:hint="eastAsia" w:ascii="方正小标宋简体" w:hAnsi="黑体" w:eastAsia="方正小标宋简体"/>
          <w:color w:val="000000"/>
          <w:sz w:val="32"/>
          <w:szCs w:val="32"/>
        </w:rPr>
        <w:t xml:space="preserve">第二部分 </w:t>
      </w:r>
      <w:r>
        <w:rPr>
          <w:rStyle w:val="28"/>
          <w:rFonts w:hint="eastAsia" w:ascii="方正小标宋简体" w:hAnsi="黑体" w:eastAsia="方正小标宋简体"/>
          <w:sz w:val="32"/>
          <w:szCs w:val="32"/>
        </w:rPr>
        <w:t>2020年度部门决算情况说明</w:t>
      </w:r>
      <w:bookmarkEnd w:id="20"/>
      <w:bookmarkEnd w:id="21"/>
    </w:p>
    <w:p>
      <w:pPr>
        <w:spacing w:line="600" w:lineRule="exact"/>
        <w:ind w:firstLine="640" w:firstLineChars="200"/>
        <w:outlineLvl w:val="1"/>
        <w:rPr>
          <w:rStyle w:val="29"/>
          <w:rFonts w:ascii="黑体" w:hAnsi="黑体" w:eastAsia="黑体"/>
          <w:b w:val="0"/>
        </w:rPr>
      </w:pPr>
      <w:bookmarkStart w:id="22" w:name="_Toc15396603"/>
      <w:bookmarkStart w:id="23" w:name="_Toc15377205"/>
      <w:r>
        <w:rPr>
          <w:rFonts w:hint="eastAsia" w:ascii="黑体" w:hAnsi="黑体" w:eastAsia="黑体"/>
          <w:color w:val="000000"/>
          <w:sz w:val="32"/>
          <w:szCs w:val="32"/>
        </w:rPr>
        <w:t>一、收</w:t>
      </w:r>
      <w:r>
        <w:rPr>
          <w:rStyle w:val="29"/>
          <w:rFonts w:hint="eastAsia" w:ascii="黑体" w:hAnsi="黑体" w:eastAsia="黑体"/>
          <w:b w:val="0"/>
        </w:rPr>
        <w:t>入支出决算总体情况说明</w:t>
      </w:r>
      <w:bookmarkEnd w:id="22"/>
      <w:bookmarkEnd w:id="23"/>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2020年度本单位收入总计1272.56万元，其中当年财政拨款收入合计1020.75万元，年初结转和结余51.81万元。</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2020年度本单位支出总计1272.56万元，其中当年支出合计789.05万元，年末结转和结余283.51万元。</w:t>
      </w: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2020年收入、支出总计与2019年相比各增加591.88万元，增长86.95%。增长的主要原因是“两新”党组织建设、城市社区党建及</w:t>
      </w:r>
      <w:r>
        <w:rPr>
          <w:rFonts w:hint="eastAsia" w:ascii="仿宋_GB2312" w:eastAsia="仿宋_GB2312"/>
          <w:sz w:val="28"/>
          <w:szCs w:val="32"/>
          <w:lang w:eastAsia="zh-CN"/>
        </w:rPr>
        <w:t>“不忘初心、牢记使命”主题教育</w:t>
      </w:r>
      <w:r>
        <w:rPr>
          <w:rFonts w:hint="eastAsia" w:ascii="仿宋_GB2312" w:eastAsia="仿宋_GB2312"/>
          <w:sz w:val="28"/>
          <w:szCs w:val="32"/>
        </w:rPr>
        <w:t>等专项业务费增加。</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drawing>
          <wp:anchor distT="0" distB="0" distL="114300" distR="114300" simplePos="0" relativeHeight="251658240" behindDoc="0" locked="0" layoutInCell="1" allowOverlap="1">
            <wp:simplePos x="0" y="0"/>
            <wp:positionH relativeFrom="column">
              <wp:posOffset>477520</wp:posOffset>
            </wp:positionH>
            <wp:positionV relativeFrom="paragraph">
              <wp:posOffset>-26035</wp:posOffset>
            </wp:positionV>
            <wp:extent cx="4733925" cy="2724150"/>
            <wp:effectExtent l="0" t="0" r="9525"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eastAsia="仿宋_GB2312"/>
          <w:sz w:val="28"/>
          <w:szCs w:val="32"/>
        </w:rPr>
      </w:pPr>
      <w:r>
        <w:rPr>
          <w:rFonts w:hint="eastAsia" w:ascii="仿宋_GB2312" w:eastAsia="仿宋_GB2312"/>
          <w:sz w:val="28"/>
          <w:szCs w:val="32"/>
        </w:rPr>
        <w:t>（图1：收、支决算总计变动情况图）</w:t>
      </w:r>
    </w:p>
    <w:p>
      <w:pPr>
        <w:pStyle w:val="27"/>
        <w:numPr>
          <w:ilvl w:val="0"/>
          <w:numId w:val="3"/>
        </w:numPr>
        <w:spacing w:line="600" w:lineRule="exact"/>
        <w:ind w:firstLineChars="0"/>
        <w:outlineLvl w:val="1"/>
        <w:rPr>
          <w:rStyle w:val="29"/>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9"/>
          <w:rFonts w:hint="eastAsia" w:ascii="黑体" w:hAnsi="黑体" w:eastAsia="黑体"/>
          <w:b w:val="0"/>
        </w:rPr>
        <w:t>入决算情况说明</w:t>
      </w:r>
      <w:bookmarkEnd w:id="24"/>
      <w:bookmarkEnd w:id="25"/>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本年收入合计1020.74万元，其中：一般公共预算财政拨款收入1020.74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59264" behindDoc="0" locked="0" layoutInCell="1" allowOverlap="1">
            <wp:simplePos x="0" y="0"/>
            <wp:positionH relativeFrom="column">
              <wp:posOffset>477520</wp:posOffset>
            </wp:positionH>
            <wp:positionV relativeFrom="paragraph">
              <wp:posOffset>28575</wp:posOffset>
            </wp:positionV>
            <wp:extent cx="4629150" cy="2438400"/>
            <wp:effectExtent l="0" t="0" r="1905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_GB2312" w:hAnsi="仿宋" w:eastAsia="仿宋_GB2312"/>
          <w:color w:val="000000"/>
          <w:sz w:val="32"/>
          <w:szCs w:val="32"/>
        </w:rPr>
      </w:pPr>
    </w:p>
    <w:p>
      <w:pPr>
        <w:spacing w:line="600" w:lineRule="exact"/>
        <w:ind w:firstLine="640" w:firstLineChars="200"/>
        <w:outlineLvl w:val="1"/>
        <w:rPr>
          <w:rFonts w:ascii="仿宋_GB2312" w:hAnsi="仿宋" w:eastAsia="仿宋_GB2312"/>
          <w:color w:val="000000"/>
          <w:sz w:val="32"/>
          <w:szCs w:val="32"/>
        </w:rPr>
      </w:pPr>
    </w:p>
    <w:p>
      <w:pPr>
        <w:spacing w:line="600" w:lineRule="exact"/>
        <w:ind w:firstLine="640" w:firstLineChars="200"/>
        <w:outlineLvl w:val="1"/>
        <w:rPr>
          <w:rFonts w:ascii="仿宋_GB2312" w:hAnsi="仿宋" w:eastAsia="仿宋_GB2312"/>
          <w:color w:val="000000"/>
          <w:sz w:val="32"/>
          <w:szCs w:val="32"/>
        </w:rPr>
      </w:pPr>
    </w:p>
    <w:p>
      <w:pPr>
        <w:spacing w:line="600" w:lineRule="exact"/>
        <w:outlineLvl w:val="1"/>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jc w:val="center"/>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（图2：收入决算结构图）</w:t>
      </w:r>
      <w:bookmarkStart w:id="26" w:name="_Toc15377207"/>
      <w:bookmarkStart w:id="27" w:name="_Toc15396605"/>
    </w:p>
    <w:p>
      <w:pPr>
        <w:pStyle w:val="27"/>
        <w:numPr>
          <w:ilvl w:val="0"/>
          <w:numId w:val="3"/>
        </w:numPr>
        <w:spacing w:line="600" w:lineRule="exact"/>
        <w:ind w:firstLineChars="0"/>
        <w:outlineLvl w:val="1"/>
        <w:rPr>
          <w:rStyle w:val="29"/>
          <w:rFonts w:ascii="黑体" w:hAnsi="黑体" w:eastAsia="黑体"/>
          <w:b w:val="0"/>
        </w:rPr>
      </w:pPr>
      <w:r>
        <w:rPr>
          <w:rFonts w:hint="eastAsia" w:ascii="黑体" w:hAnsi="黑体" w:eastAsia="黑体"/>
          <w:color w:val="000000"/>
          <w:sz w:val="32"/>
          <w:szCs w:val="32"/>
        </w:rPr>
        <w:t>支</w:t>
      </w:r>
      <w:r>
        <w:rPr>
          <w:rStyle w:val="29"/>
          <w:rFonts w:hint="eastAsia" w:ascii="黑体" w:hAnsi="黑体" w:eastAsia="黑体"/>
          <w:b w:val="0"/>
        </w:rPr>
        <w:t>出决算情况说明</w:t>
      </w:r>
      <w:bookmarkEnd w:id="26"/>
      <w:bookmarkEnd w:id="27"/>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2020年本年支出合计789.05万元，其中：基本支出572.4万元，占72.54%；项目支出216.65万元，占27.46%；上缴上级支出0万元，占0%；经营支出0万元，占0%；对附属单位补助支出0万元，占0%。</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315595</wp:posOffset>
            </wp:positionH>
            <wp:positionV relativeFrom="paragraph">
              <wp:posOffset>25400</wp:posOffset>
            </wp:positionV>
            <wp:extent cx="4552950" cy="217170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jc w:val="center"/>
        <w:rPr>
          <w:rFonts w:ascii="仿宋_GB2312" w:hAnsi="仿宋" w:eastAsia="仿宋_GB2312"/>
          <w:color w:val="000000"/>
          <w:sz w:val="32"/>
          <w:szCs w:val="32"/>
          <w:shd w:val="pct10" w:color="auto" w:fill="FFFFFF"/>
        </w:rPr>
      </w:pPr>
    </w:p>
    <w:p>
      <w:pPr>
        <w:spacing w:line="600" w:lineRule="exact"/>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eastAsia="仿宋_GB2312"/>
          <w:sz w:val="28"/>
          <w:szCs w:val="32"/>
        </w:rPr>
      </w:pPr>
      <w:r>
        <w:rPr>
          <w:rFonts w:hint="eastAsia" w:ascii="仿宋_GB2312" w:eastAsia="仿宋_GB2312"/>
          <w:sz w:val="28"/>
          <w:szCs w:val="32"/>
        </w:rPr>
        <w:t>（图3：支出决算结构图）</w:t>
      </w:r>
    </w:p>
    <w:p>
      <w:pPr>
        <w:spacing w:line="600" w:lineRule="exact"/>
        <w:ind w:firstLine="640" w:firstLineChars="200"/>
        <w:outlineLvl w:val="1"/>
        <w:rPr>
          <w:rFonts w:ascii="黑体" w:hAnsi="黑体" w:eastAsia="黑体" w:cstheme="majorBidi"/>
          <w:bCs/>
          <w:sz w:val="32"/>
          <w:szCs w:val="32"/>
        </w:rPr>
      </w:pPr>
      <w:bookmarkStart w:id="28" w:name="_Toc15396606"/>
      <w:bookmarkStart w:id="29" w:name="_Toc15377208"/>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28"/>
      <w:bookmarkEnd w:id="29"/>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2020年财政拨款收、支总计1272.56万元。与2019年相比，财政拨款收、支总计各增加591.88万元，增长86.95%。增长的主要原因是本年新增“两新”党组织建设、城市社区党建及</w:t>
      </w:r>
      <w:r>
        <w:rPr>
          <w:rFonts w:hint="eastAsia" w:ascii="仿宋_GB2312" w:eastAsia="仿宋_GB2312"/>
          <w:sz w:val="28"/>
          <w:szCs w:val="32"/>
          <w:lang w:eastAsia="zh-CN"/>
        </w:rPr>
        <w:t>“不忘初心、牢记使命”主题教育</w:t>
      </w:r>
      <w:r>
        <w:rPr>
          <w:rFonts w:hint="eastAsia" w:ascii="仿宋_GB2312" w:eastAsia="仿宋_GB2312"/>
          <w:sz w:val="28"/>
          <w:szCs w:val="32"/>
        </w:rPr>
        <w:t>等专项业务费。</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6432" behindDoc="0" locked="0" layoutInCell="1" allowOverlap="1">
            <wp:simplePos x="0" y="0"/>
            <wp:positionH relativeFrom="column">
              <wp:posOffset>420370</wp:posOffset>
            </wp:positionH>
            <wp:positionV relativeFrom="paragraph">
              <wp:posOffset>114300</wp:posOffset>
            </wp:positionV>
            <wp:extent cx="4286250" cy="2209800"/>
            <wp:effectExtent l="0" t="0" r="1905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（图4：财政拨款收、支决算总计变动情况）</w:t>
      </w:r>
      <w:bookmarkStart w:id="30" w:name="_Toc15396607"/>
      <w:bookmarkStart w:id="31" w:name="_Toc15377209"/>
    </w:p>
    <w:p>
      <w:pPr>
        <w:spacing w:line="600" w:lineRule="exact"/>
        <w:ind w:firstLine="640" w:firstLineChars="200"/>
        <w:outlineLvl w:val="1"/>
        <w:rPr>
          <w:rStyle w:val="29"/>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_GB2312" w:hAnsi="仿宋" w:eastAsia="仿宋_GB2312"/>
          <w:b/>
          <w:color w:val="000000"/>
          <w:sz w:val="32"/>
          <w:szCs w:val="32"/>
        </w:rPr>
      </w:pPr>
      <w:bookmarkStart w:id="32" w:name="_Toc15377210"/>
      <w:r>
        <w:rPr>
          <w:rFonts w:hint="eastAsia" w:ascii="仿宋_GB2312" w:hAnsi="仿宋" w:eastAsia="仿宋_GB2312"/>
          <w:b/>
          <w:color w:val="000000"/>
          <w:sz w:val="32"/>
          <w:szCs w:val="32"/>
        </w:rPr>
        <w:t>（一）一般公共预算财政拨款支出决算总体情况</w:t>
      </w:r>
      <w:bookmarkEnd w:id="32"/>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2020年一般公共预算财政拨款支出789.05万元，占本年支出合计的100%。与2019年相比，一般公共预算财政拨款增加160.04万元，增长25.44%。主要变动原因一是人员工资福利保险等费用增加；二是专项业务费支出增加。</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2336" behindDoc="0" locked="0" layoutInCell="1" allowOverlap="1">
            <wp:simplePos x="0" y="0"/>
            <wp:positionH relativeFrom="column">
              <wp:posOffset>420370</wp:posOffset>
            </wp:positionH>
            <wp:positionV relativeFrom="paragraph">
              <wp:posOffset>73025</wp:posOffset>
            </wp:positionV>
            <wp:extent cx="4800600" cy="26289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（图5：一般公共预算财政拨款支出决算变动情况）</w:t>
      </w:r>
    </w:p>
    <w:p>
      <w:pPr>
        <w:spacing w:line="600" w:lineRule="exact"/>
        <w:ind w:firstLine="642" w:firstLineChars="200"/>
        <w:outlineLvl w:val="2"/>
        <w:rPr>
          <w:rFonts w:ascii="仿宋_GB2312" w:hAnsi="仿宋" w:eastAsia="仿宋_GB2312"/>
          <w:b/>
          <w:color w:val="000000"/>
          <w:sz w:val="32"/>
          <w:szCs w:val="32"/>
        </w:rPr>
      </w:pPr>
      <w:bookmarkStart w:id="33" w:name="_Toc15377211"/>
      <w:r>
        <w:rPr>
          <w:rFonts w:hint="eastAsia" w:ascii="仿宋_GB2312" w:hAnsi="仿宋" w:eastAsia="仿宋_GB2312"/>
          <w:b/>
          <w:color w:val="000000"/>
          <w:sz w:val="32"/>
          <w:szCs w:val="32"/>
        </w:rPr>
        <w:t>（二）一般公共预算财政拨款支出决算结构情况</w:t>
      </w:r>
      <w:bookmarkEnd w:id="33"/>
    </w:p>
    <w:p>
      <w:pPr>
        <w:spacing w:line="560" w:lineRule="exact"/>
        <w:ind w:firstLine="560" w:firstLineChars="200"/>
        <w:outlineLvl w:val="0"/>
        <w:rPr>
          <w:rFonts w:ascii="仿宋_GB2312" w:eastAsia="仿宋_GB2312"/>
          <w:sz w:val="28"/>
          <w:szCs w:val="32"/>
        </w:rPr>
      </w:pPr>
      <w:r>
        <w:rPr>
          <w:rFonts w:hint="eastAsia" w:ascii="仿宋_GB2312" w:eastAsia="仿宋_GB2312"/>
          <w:sz w:val="28"/>
          <w:szCs w:val="32"/>
        </w:rPr>
        <w:t>2020年一般公共预算财政拨款支出789.05万元，主要用于以下方面:一般公共服务（201）支出687.73万元，占87.16%；社会保障和就业（208）支出49.59万元，占6.28%；卫生健康（210）支出18.05万元，占2.29%；农林水（213）支出5.2万元，占0.66%；住房保障（221）支出28.48万元，占3.61%。</w:t>
      </w:r>
    </w:p>
    <w:p>
      <w:pPr>
        <w:spacing w:line="560" w:lineRule="exact"/>
        <w:ind w:firstLine="560" w:firstLineChars="200"/>
        <w:outlineLvl w:val="0"/>
        <w:rPr>
          <w:rFonts w:ascii="仿宋_GB2312" w:eastAsia="仿宋_GB2312"/>
          <w:sz w:val="28"/>
          <w:szCs w:val="32"/>
        </w:rPr>
      </w:pPr>
    </w:p>
    <w:p>
      <w:pPr>
        <w:spacing w:line="600" w:lineRule="exact"/>
        <w:ind w:firstLine="640"/>
        <w:rPr>
          <w:rFonts w:ascii="仿宋_GB2312" w:hAnsi="仿宋" w:eastAsia="仿宋_GB2312"/>
          <w:color w:val="FF0000"/>
          <w:sz w:val="32"/>
          <w:szCs w:val="32"/>
        </w:rPr>
      </w:pPr>
      <w:r>
        <w:rPr>
          <w:rFonts w:hint="eastAsia" w:ascii="仿宋_GB2312" w:hAnsi="仿宋" w:eastAsia="仿宋_GB2312"/>
          <w:color w:val="FF0000"/>
          <w:sz w:val="32"/>
          <w:szCs w:val="32"/>
        </w:rPr>
        <w:drawing>
          <wp:anchor distT="0" distB="0" distL="114300" distR="114300" simplePos="0" relativeHeight="251663360" behindDoc="0" locked="0" layoutInCell="1" allowOverlap="1">
            <wp:simplePos x="0" y="0"/>
            <wp:positionH relativeFrom="column">
              <wp:posOffset>239395</wp:posOffset>
            </wp:positionH>
            <wp:positionV relativeFrom="paragraph">
              <wp:posOffset>34925</wp:posOffset>
            </wp:positionV>
            <wp:extent cx="5038725" cy="2286000"/>
            <wp:effectExtent l="0" t="0" r="9525"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rPr>
          <w:rFonts w:ascii="仿宋_GB2312" w:hAnsi="仿宋" w:eastAsia="仿宋_GB2312"/>
          <w:color w:val="FF0000"/>
          <w:sz w:val="32"/>
          <w:szCs w:val="32"/>
        </w:rPr>
      </w:pPr>
    </w:p>
    <w:p>
      <w:pPr>
        <w:spacing w:line="560" w:lineRule="exact"/>
        <w:ind w:firstLine="560" w:firstLineChars="200"/>
        <w:jc w:val="center"/>
        <w:outlineLvl w:val="0"/>
        <w:rPr>
          <w:rFonts w:ascii="仿宋_GB2312" w:eastAsia="仿宋_GB2312"/>
          <w:sz w:val="28"/>
          <w:szCs w:val="32"/>
        </w:rPr>
      </w:pPr>
      <w:r>
        <w:rPr>
          <w:rFonts w:hint="eastAsia" w:ascii="仿宋_GB2312" w:eastAsia="仿宋_GB2312"/>
          <w:sz w:val="28"/>
          <w:szCs w:val="32"/>
        </w:rPr>
        <w:t>（图6：一般公共预算财政拨款支出决算结构）</w:t>
      </w:r>
    </w:p>
    <w:p>
      <w:pPr>
        <w:spacing w:line="600" w:lineRule="exact"/>
        <w:ind w:firstLine="642" w:firstLineChars="200"/>
        <w:outlineLvl w:val="2"/>
        <w:rPr>
          <w:rFonts w:ascii="仿宋_GB2312" w:hAnsi="仿宋" w:eastAsia="仿宋_GB2312"/>
          <w:b/>
          <w:color w:val="000000"/>
          <w:sz w:val="32"/>
          <w:szCs w:val="32"/>
        </w:rPr>
      </w:pPr>
      <w:bookmarkStart w:id="34" w:name="_Toc15377212"/>
      <w:r>
        <w:rPr>
          <w:rFonts w:hint="eastAsia" w:ascii="仿宋_GB2312" w:hAnsi="仿宋" w:eastAsia="仿宋_GB2312"/>
          <w:b/>
          <w:color w:val="000000"/>
          <w:sz w:val="32"/>
          <w:szCs w:val="32"/>
        </w:rPr>
        <w:t>（三）一般公共预算财政拨款支出决算具体情况</w:t>
      </w:r>
      <w:bookmarkEnd w:id="34"/>
    </w:p>
    <w:p>
      <w:pPr>
        <w:spacing w:line="600" w:lineRule="exact"/>
        <w:ind w:firstLine="642" w:firstLineChars="200"/>
        <w:outlineLvl w:val="2"/>
        <w:rPr>
          <w:rFonts w:ascii="仿宋_GB2312" w:hAnsi="仿宋" w:eastAsia="仿宋_GB2312"/>
          <w:color w:val="FF0000"/>
          <w:sz w:val="32"/>
          <w:szCs w:val="32"/>
        </w:rPr>
      </w:pPr>
      <w:bookmarkStart w:id="35" w:name="_Toc15377213"/>
      <w:bookmarkStart w:id="36" w:name="_Toc15377444"/>
      <w:bookmarkStart w:id="37" w:name="_Toc15378460"/>
      <w:r>
        <w:rPr>
          <w:rFonts w:hint="eastAsia" w:ascii="仿宋_GB2312" w:hAnsi="仿宋" w:eastAsia="仿宋_GB2312"/>
          <w:b/>
          <w:color w:val="000000" w:themeColor="text1"/>
          <w:sz w:val="32"/>
          <w:szCs w:val="32"/>
          <w14:textFill>
            <w14:solidFill>
              <w14:schemeClr w14:val="tx1"/>
            </w14:solidFill>
          </w14:textFill>
        </w:rPr>
        <w:t>2020年一般公共预算支出决算数为789.05</w:t>
      </w:r>
      <w:r>
        <w:rPr>
          <w:rFonts w:hint="eastAsia" w:ascii="仿宋_GB2312" w:hAnsi="仿宋" w:eastAsia="仿宋_GB2312"/>
          <w:color w:val="000000" w:themeColor="text1"/>
          <w:sz w:val="32"/>
          <w:szCs w:val="32"/>
          <w14:textFill>
            <w14:solidFill>
              <w14:schemeClr w14:val="tx1"/>
            </w14:solidFill>
          </w14:textFill>
        </w:rPr>
        <w:t>，</w:t>
      </w:r>
      <w:r>
        <w:rPr>
          <w:rStyle w:val="18"/>
          <w:rFonts w:hint="eastAsia" w:ascii="仿宋_GB2312" w:hAnsi="仿宋" w:eastAsia="仿宋_GB2312"/>
          <w:bCs/>
          <w:color w:val="000000" w:themeColor="text1"/>
          <w:sz w:val="32"/>
          <w:szCs w:val="32"/>
          <w14:textFill>
            <w14:solidFill>
              <w14:schemeClr w14:val="tx1"/>
            </w14:solidFill>
          </w14:textFill>
        </w:rPr>
        <w:t>完成</w:t>
      </w:r>
      <w:r>
        <w:rPr>
          <w:rStyle w:val="18"/>
          <w:rFonts w:hint="eastAsia" w:ascii="仿宋_GB2312" w:hAnsi="仿宋" w:eastAsia="仿宋_GB2312"/>
          <w:bCs/>
          <w:color w:val="000000"/>
          <w:sz w:val="32"/>
          <w:szCs w:val="32"/>
        </w:rPr>
        <w:t>预算77.3%。</w:t>
      </w:r>
      <w:bookmarkEnd w:id="35"/>
      <w:bookmarkEnd w:id="36"/>
      <w:bookmarkEnd w:id="37"/>
      <w:r>
        <w:rPr>
          <w:rStyle w:val="18"/>
          <w:rFonts w:hint="eastAsia" w:ascii="仿宋_GB2312" w:hAnsi="仿宋" w:eastAsia="仿宋_GB2312"/>
          <w:bCs/>
          <w:color w:val="000000"/>
          <w:sz w:val="32"/>
          <w:szCs w:val="32"/>
        </w:rPr>
        <w:t>其中：</w:t>
      </w:r>
    </w:p>
    <w:p>
      <w:pPr>
        <w:spacing w:line="600" w:lineRule="exact"/>
        <w:ind w:firstLine="629" w:firstLineChars="196"/>
        <w:rPr>
          <w:sz w:val="28"/>
        </w:rPr>
      </w:pPr>
      <w:r>
        <w:rPr>
          <w:rStyle w:val="18"/>
          <w:rFonts w:hint="eastAsia" w:ascii="仿宋_GB2312" w:hAnsi="仿宋" w:eastAsia="仿宋_GB2312"/>
          <w:bCs/>
          <w:sz w:val="32"/>
          <w:szCs w:val="32"/>
        </w:rPr>
        <w:t>1.一般公共服务支出（201）组织事务（32）行政运行（01）:</w:t>
      </w:r>
      <w:r>
        <w:rPr>
          <w:rStyle w:val="18"/>
          <w:rFonts w:hint="eastAsia" w:ascii="仿宋_GB2312" w:hAnsi="仿宋" w:eastAsia="仿宋_GB2312"/>
          <w:b w:val="0"/>
          <w:bCs/>
          <w:sz w:val="32"/>
          <w:szCs w:val="32"/>
        </w:rPr>
        <w:t xml:space="preserve"> </w:t>
      </w:r>
      <w:r>
        <w:rPr>
          <w:rFonts w:hint="eastAsia" w:ascii="仿宋_GB2312" w:eastAsia="仿宋_GB2312"/>
          <w:sz w:val="28"/>
          <w:szCs w:val="32"/>
        </w:rPr>
        <w:t>支出决算为476.28万元，完成预算97.99%。决算数小于预算数的主要原因一是2020年度“两新”组织党建指导员工作经费未发放；二是2020年目标考核定向补助未发放。</w:t>
      </w:r>
    </w:p>
    <w:p>
      <w:pPr>
        <w:spacing w:line="600" w:lineRule="exact"/>
        <w:ind w:firstLine="627" w:firstLineChars="196"/>
        <w:rPr>
          <w:rFonts w:ascii="仿宋_GB2312" w:eastAsia="仿宋_GB2312"/>
          <w:sz w:val="28"/>
          <w:szCs w:val="32"/>
        </w:rPr>
      </w:pPr>
      <w:r>
        <w:rPr>
          <w:rStyle w:val="18"/>
          <w:rFonts w:hint="eastAsia" w:ascii="仿宋_GB2312" w:hAnsi="仿宋" w:eastAsia="仿宋_GB2312"/>
          <w:b w:val="0"/>
          <w:bCs/>
          <w:sz w:val="32"/>
          <w:szCs w:val="32"/>
        </w:rPr>
        <w:t>2.</w:t>
      </w:r>
      <w:r>
        <w:rPr>
          <w:rStyle w:val="18"/>
          <w:rFonts w:hint="eastAsia" w:ascii="仿宋_GB2312" w:hAnsi="仿宋" w:eastAsia="仿宋_GB2312"/>
          <w:bCs/>
          <w:sz w:val="32"/>
          <w:szCs w:val="32"/>
        </w:rPr>
        <w:t>一般公共服务支出（201）组织事务（32）一般行政管理事务（02）:</w:t>
      </w:r>
      <w:r>
        <w:rPr>
          <w:rStyle w:val="18"/>
          <w:rFonts w:hint="eastAsia" w:ascii="仿宋_GB2312" w:hAnsi="仿宋" w:eastAsia="仿宋_GB2312"/>
          <w:b w:val="0"/>
          <w:bCs/>
          <w:sz w:val="32"/>
          <w:szCs w:val="32"/>
        </w:rPr>
        <w:t xml:space="preserve"> </w:t>
      </w:r>
      <w:r>
        <w:rPr>
          <w:rFonts w:hint="eastAsia" w:ascii="仿宋_GB2312" w:eastAsia="仿宋_GB2312"/>
          <w:sz w:val="28"/>
          <w:szCs w:val="32"/>
        </w:rPr>
        <w:t>支出决算为211.45万元，完成预算48.79%。决算数小于预算数的主要原因干部慰问及体检费、流动人才党组织建设及社区党建工作经费等专项业务费尚未结算下拨。</w:t>
      </w:r>
    </w:p>
    <w:p>
      <w:pPr>
        <w:spacing w:line="600" w:lineRule="exact"/>
        <w:ind w:firstLine="629" w:firstLineChars="196"/>
        <w:rPr>
          <w:rFonts w:ascii="仿宋_GB2312" w:eastAsia="仿宋_GB2312"/>
          <w:sz w:val="28"/>
          <w:szCs w:val="32"/>
        </w:rPr>
      </w:pPr>
      <w:r>
        <w:rPr>
          <w:rStyle w:val="18"/>
          <w:rFonts w:hint="eastAsia" w:ascii="仿宋_GB2312" w:hAnsi="仿宋" w:eastAsia="仿宋_GB2312"/>
          <w:bCs/>
          <w:sz w:val="32"/>
          <w:szCs w:val="32"/>
        </w:rPr>
        <w:t>3.社会保障和就业支出（208）行政事业单位离退休（05）机关事业单位基本养老保险缴费支出（05）：</w:t>
      </w:r>
      <w:r>
        <w:rPr>
          <w:rFonts w:hint="eastAsia" w:ascii="仿宋_GB2312" w:eastAsia="仿宋_GB2312"/>
          <w:sz w:val="28"/>
          <w:szCs w:val="32"/>
        </w:rPr>
        <w:t>支出决算为39.33万元，完成预算100%。</w:t>
      </w:r>
    </w:p>
    <w:p>
      <w:pPr>
        <w:spacing w:line="600" w:lineRule="exact"/>
        <w:ind w:firstLine="642" w:firstLineChars="200"/>
        <w:rPr>
          <w:rFonts w:ascii="仿宋_GB2312" w:hAnsi="仿宋" w:eastAsia="仿宋_GB2312"/>
          <w:b/>
          <w:bCs/>
          <w:sz w:val="32"/>
          <w:szCs w:val="32"/>
        </w:rPr>
      </w:pPr>
      <w:r>
        <w:rPr>
          <w:rStyle w:val="18"/>
          <w:rFonts w:hint="eastAsia" w:ascii="仿宋_GB2312" w:hAnsi="仿宋" w:eastAsia="仿宋_GB2312"/>
          <w:bCs/>
          <w:sz w:val="32"/>
          <w:szCs w:val="32"/>
        </w:rPr>
        <w:t>5</w:t>
      </w:r>
      <w:r>
        <w:rPr>
          <w:rStyle w:val="18"/>
          <w:rFonts w:hint="eastAsia" w:ascii="仿宋_GB2312" w:hAnsi="仿宋" w:eastAsia="仿宋_GB2312"/>
          <w:b w:val="0"/>
          <w:bCs/>
          <w:sz w:val="32"/>
          <w:szCs w:val="32"/>
        </w:rPr>
        <w:t>.</w:t>
      </w:r>
      <w:r>
        <w:rPr>
          <w:rStyle w:val="18"/>
          <w:rFonts w:hint="eastAsia" w:ascii="仿宋_GB2312" w:hAnsi="仿宋" w:eastAsia="仿宋_GB2312"/>
          <w:bCs/>
          <w:sz w:val="32"/>
          <w:szCs w:val="32"/>
        </w:rPr>
        <w:t xml:space="preserve"> 社会保障和就业支出（208）行政事业单位离退休（05）机关事业单位职业年金缴费支出（06）:</w:t>
      </w:r>
      <w:r>
        <w:rPr>
          <w:rStyle w:val="18"/>
          <w:rFonts w:hint="eastAsia" w:ascii="仿宋_GB2312" w:hAnsi="仿宋" w:eastAsia="仿宋_GB2312"/>
          <w:b w:val="0"/>
          <w:bCs/>
          <w:sz w:val="32"/>
          <w:szCs w:val="32"/>
        </w:rPr>
        <w:t xml:space="preserve"> 支出决算为8.45万元，完成预算100%。</w:t>
      </w:r>
    </w:p>
    <w:p>
      <w:pPr>
        <w:spacing w:line="600" w:lineRule="exact"/>
        <w:ind w:firstLine="642" w:firstLineChars="200"/>
        <w:rPr>
          <w:rStyle w:val="18"/>
          <w:rFonts w:ascii="仿宋_GB2312" w:hAnsi="仿宋" w:eastAsia="仿宋_GB2312"/>
          <w:bCs/>
          <w:sz w:val="32"/>
          <w:szCs w:val="32"/>
        </w:rPr>
      </w:pPr>
      <w:r>
        <w:rPr>
          <w:rStyle w:val="18"/>
          <w:rFonts w:hint="eastAsia" w:ascii="仿宋_GB2312" w:hAnsi="仿宋" w:eastAsia="仿宋_GB2312"/>
          <w:bCs/>
          <w:sz w:val="32"/>
          <w:szCs w:val="32"/>
        </w:rPr>
        <w:t>6. 社会保障和就业支出（208）其他社会保障和就业支出（99）其他社会保障和就业支出（01）：支出决算为1.81万元，完成预算100%；</w:t>
      </w:r>
    </w:p>
    <w:p>
      <w:pPr>
        <w:spacing w:line="600" w:lineRule="exact"/>
        <w:ind w:firstLine="642" w:firstLineChars="200"/>
        <w:rPr>
          <w:rFonts w:ascii="仿宋_GB2312" w:hAnsi="仿宋" w:eastAsia="仿宋_GB2312"/>
          <w:b/>
          <w:sz w:val="32"/>
          <w:szCs w:val="32"/>
        </w:rPr>
      </w:pPr>
      <w:r>
        <w:rPr>
          <w:rStyle w:val="18"/>
          <w:rFonts w:hint="eastAsia" w:ascii="仿宋_GB2312" w:hAnsi="仿宋" w:eastAsia="仿宋_GB2312"/>
          <w:bCs/>
          <w:sz w:val="32"/>
          <w:szCs w:val="32"/>
        </w:rPr>
        <w:t>7.卫生健康支出（210）行政事业单位医疗（11）行政单位医疗（01）:</w:t>
      </w:r>
      <w:r>
        <w:rPr>
          <w:rStyle w:val="18"/>
          <w:rFonts w:hint="eastAsia" w:ascii="仿宋_GB2312" w:hAnsi="仿宋" w:eastAsia="仿宋_GB2312"/>
          <w:b w:val="0"/>
          <w:bCs/>
          <w:sz w:val="32"/>
          <w:szCs w:val="32"/>
        </w:rPr>
        <w:t>支出决算为18.05万元，完成预算100%。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8.农林水支出（213）扶贫（05）其他扶贫支出（99）</w:t>
      </w:r>
      <w:r>
        <w:rPr>
          <w:rFonts w:hint="eastAsia" w:ascii="仿宋_GB2312" w:hAnsi="仿宋" w:eastAsia="仿宋_GB2312"/>
          <w:sz w:val="32"/>
          <w:szCs w:val="32"/>
        </w:rPr>
        <w:t>：支出决算为5.2万元，完成预算100%。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9.住房保障支出（221）住房改革支出（02）住房公积金（01）</w:t>
      </w:r>
      <w:r>
        <w:rPr>
          <w:rFonts w:hint="eastAsia" w:ascii="仿宋_GB2312" w:hAnsi="仿宋" w:eastAsia="仿宋_GB2312"/>
          <w:sz w:val="32"/>
          <w:szCs w:val="32"/>
        </w:rPr>
        <w:t>：支出决算为28.48万元，完成预算100%。</w:t>
      </w:r>
    </w:p>
    <w:p>
      <w:pPr>
        <w:tabs>
          <w:tab w:val="right" w:pos="8306"/>
        </w:tabs>
        <w:spacing w:line="600" w:lineRule="exact"/>
        <w:ind w:firstLine="640"/>
        <w:outlineLvl w:val="1"/>
        <w:rPr>
          <w:rStyle w:val="29"/>
          <w:rFonts w:ascii="黑体" w:hAnsi="黑体" w:eastAsia="黑体"/>
        </w:rPr>
      </w:pPr>
      <w:bookmarkStart w:id="38" w:name="_Toc15377214"/>
      <w:bookmarkStart w:id="39" w:name="_Toc15396608"/>
      <w:r>
        <w:rPr>
          <w:rFonts w:hint="eastAsia" w:ascii="黑体" w:hAnsi="黑体" w:eastAsia="黑体"/>
          <w:color w:val="000000"/>
          <w:sz w:val="32"/>
          <w:szCs w:val="32"/>
        </w:rPr>
        <w:t>六</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38"/>
      <w:bookmarkEnd w:id="39"/>
      <w:r>
        <w:rPr>
          <w:rStyle w:val="29"/>
          <w:rFonts w:hint="eastAsia" w:ascii="黑体" w:hAnsi="黑体" w:eastAsia="黑体"/>
          <w:b w:val="0"/>
        </w:rPr>
        <w:tab/>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2020年一般公共预算财政拨款基本支出572.4万元，其中：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人员经费504.77万元，主要包括：基本工资、津贴补贴、奖金、绩效工资、机关事业单位基本养老保险缴费、职业年金缴费、其他社会保障缴费、其他工资福利支出、抚恤金、生活补助、奖励金、住房公积金等。</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公用经费67.63万元，主要包括：办公费、印刷费、手续费、水费、电费、邮电费、差旅费、因公出国（境）费用、维修（护）费、会议费、培训费、公务接待费、劳务费、工会经费、福利费、公务用车运行维护费、其他交通费、办公设备购置等。</w:t>
      </w:r>
    </w:p>
    <w:p>
      <w:pPr>
        <w:spacing w:line="600" w:lineRule="exact"/>
        <w:ind w:firstLine="640"/>
        <w:outlineLvl w:val="1"/>
        <w:rPr>
          <w:rStyle w:val="29"/>
          <w:rFonts w:ascii="黑体" w:hAnsi="黑体" w:eastAsia="黑体"/>
          <w:b w:val="0"/>
        </w:rPr>
      </w:pPr>
      <w:bookmarkStart w:id="40" w:name="_Toc15377215"/>
      <w:bookmarkStart w:id="41" w:name="_Toc15396609"/>
      <w:r>
        <w:rPr>
          <w:rFonts w:hint="eastAsia" w:ascii="黑体" w:hAns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40"/>
      <w:bookmarkEnd w:id="41"/>
    </w:p>
    <w:p>
      <w:pPr>
        <w:spacing w:line="600" w:lineRule="exact"/>
        <w:ind w:firstLine="640"/>
        <w:outlineLvl w:val="2"/>
        <w:rPr>
          <w:rFonts w:ascii="仿宋_GB2312" w:hAnsi="仿宋" w:eastAsia="仿宋_GB2312"/>
          <w:b/>
          <w:color w:val="000000"/>
          <w:sz w:val="32"/>
          <w:szCs w:val="32"/>
        </w:rPr>
      </w:pPr>
      <w:bookmarkStart w:id="42" w:name="_Toc15377216"/>
      <w:r>
        <w:rPr>
          <w:rFonts w:hint="eastAsia" w:ascii="仿宋_GB2312" w:hAnsi="仿宋" w:eastAsia="仿宋_GB2312"/>
          <w:b/>
          <w:color w:val="000000"/>
          <w:sz w:val="32"/>
          <w:szCs w:val="32"/>
        </w:rPr>
        <w:t>（一）“三公”经费财政拨款支出决算总体情况说明</w:t>
      </w:r>
      <w:bookmarkEnd w:id="42"/>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2020年“三公”经费财政拨款支出决算为1.38万元，完成预算53.07%，决算数小于预算数的主要原因是公务接待减少。</w:t>
      </w:r>
    </w:p>
    <w:p>
      <w:pPr>
        <w:spacing w:line="600" w:lineRule="exact"/>
        <w:ind w:firstLine="640"/>
        <w:outlineLvl w:val="2"/>
        <w:rPr>
          <w:rFonts w:ascii="仿宋_GB2312" w:hAnsi="仿宋" w:eastAsia="仿宋_GB2312"/>
          <w:b/>
          <w:color w:val="000000"/>
          <w:sz w:val="32"/>
          <w:szCs w:val="32"/>
        </w:rPr>
      </w:pPr>
      <w:bookmarkStart w:id="43" w:name="_Toc15377217"/>
      <w:r>
        <w:rPr>
          <w:rFonts w:hint="eastAsia" w:ascii="仿宋_GB2312" w:hAnsi="仿宋" w:eastAsia="仿宋_GB2312"/>
          <w:b/>
          <w:color w:val="000000"/>
          <w:sz w:val="32"/>
          <w:szCs w:val="32"/>
        </w:rPr>
        <w:t>（二）“三公”经费财政拨款支出决算具体情况说明</w:t>
      </w:r>
      <w:bookmarkEnd w:id="43"/>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2020年“三公”经费财政拨款支出决算中，因公出国（境）费支出决算0万元，占0%；公务用车购置及运行维护费支出决算0万元，占0%；公务接待费支出决算1.38万元，占100%。具体情况如下：</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4384" behindDoc="0" locked="0" layoutInCell="1" allowOverlap="1">
            <wp:simplePos x="0" y="0"/>
            <wp:positionH relativeFrom="column">
              <wp:posOffset>182245</wp:posOffset>
            </wp:positionH>
            <wp:positionV relativeFrom="paragraph">
              <wp:posOffset>139700</wp:posOffset>
            </wp:positionV>
            <wp:extent cx="5314950" cy="2600325"/>
            <wp:effectExtent l="0" t="0" r="19050"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ind w:firstLine="640"/>
        <w:jc w:val="center"/>
        <w:rPr>
          <w:rFonts w:ascii="仿宋_GB2312" w:hAnsi="仿宋" w:eastAsia="仿宋_GB2312"/>
          <w:color w:val="000000"/>
          <w:sz w:val="32"/>
          <w:szCs w:val="32"/>
        </w:rPr>
      </w:pPr>
      <w:r>
        <w:rPr>
          <w:rFonts w:hint="eastAsia" w:ascii="仿宋_GB2312" w:hAnsi="仿宋" w:eastAsia="仿宋_GB2312"/>
          <w:color w:val="000000"/>
          <w:sz w:val="32"/>
          <w:szCs w:val="32"/>
        </w:rPr>
        <w:t>（图7：“三公”经费财政拨款支出结构）</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18"/>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全年安排因公出国（境）团组0次，出国（境）0人。因公出国（境）支出决算数与2019年相比无变化。</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Style w:val="18"/>
          <w:rFonts w:hint="eastAsia" w:ascii="仿宋_GB2312" w:hAnsi="仿宋" w:eastAsia="仿宋_GB2312"/>
          <w:b w:val="0"/>
          <w:bCs/>
          <w:color w:val="000000"/>
          <w:sz w:val="32"/>
          <w:szCs w:val="32"/>
        </w:rPr>
        <w:t>完成预算0%。</w:t>
      </w:r>
      <w:r>
        <w:rPr>
          <w:rFonts w:hint="eastAsia" w:ascii="仿宋_GB2312" w:eastAsia="仿宋_GB2312"/>
          <w:color w:val="000000"/>
          <w:sz w:val="32"/>
          <w:szCs w:val="32"/>
        </w:rPr>
        <w:t>公务用车购置及运行维护费支出决算比2019年减少2.19万元，下降100%。主要原因是机关保留公务用车本年移交区机关事务服务中心统一使用，经费预算到区机关事务服务中心。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0万元。全年按规定更新购置公务用车0辆，其中：轿车0辆、金额0万元，越野车0辆、金额0万元，载客汽车0辆、金额0万元。截至2020年12月底，单位共有公务用车1辆，其中：轿车1辆、越野车0辆、载客汽车0辆。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1.38万元，</w:t>
      </w:r>
      <w:r>
        <w:rPr>
          <w:rStyle w:val="18"/>
          <w:rFonts w:hint="eastAsia" w:ascii="仿宋_GB2312" w:hAnsi="仿宋" w:eastAsia="仿宋_GB2312"/>
          <w:b w:val="0"/>
          <w:bCs/>
          <w:color w:val="000000"/>
          <w:sz w:val="32"/>
          <w:szCs w:val="32"/>
        </w:rPr>
        <w:t>完成预算53.08%。</w:t>
      </w:r>
      <w:r>
        <w:rPr>
          <w:rFonts w:hint="eastAsia" w:ascii="仿宋_GB2312" w:eastAsia="仿宋_GB2312"/>
          <w:color w:val="000000"/>
          <w:sz w:val="32"/>
          <w:szCs w:val="32"/>
        </w:rPr>
        <w:t>公务接待费支出决算与2019年减少0.4万元，下降22.47%。主要用于执行公务、开展业务活动开支的用餐费、住宿费。国内公务接待10批次，150余人次，共计支出1.38万元。主要用于接待省委组织部来人及他省市来访考察工作团（组）用餐。</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其他国内公务接待支出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bookmarkStart w:id="44" w:name="_Toc15396610"/>
      <w:bookmarkStart w:id="45" w:name="_Toc15377218"/>
    </w:p>
    <w:p>
      <w:pPr>
        <w:spacing w:line="600" w:lineRule="exact"/>
        <w:ind w:firstLine="640"/>
        <w:outlineLvl w:val="1"/>
        <w:rPr>
          <w:rStyle w:val="29"/>
          <w:rFonts w:ascii="黑体" w:hAnsi="黑体" w:eastAsia="黑体"/>
        </w:rPr>
      </w:pPr>
      <w:r>
        <w:rPr>
          <w:rFonts w:hint="eastAsia" w:ascii="黑体" w:hAnsi="黑体" w:eastAsia="黑体"/>
          <w:color w:val="000000"/>
          <w:sz w:val="32"/>
          <w:szCs w:val="32"/>
        </w:rPr>
        <w:t>八、</w:t>
      </w:r>
      <w:r>
        <w:rPr>
          <w:rStyle w:val="29"/>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2020年政府性基金预算拨款支出0万元。</w:t>
      </w:r>
    </w:p>
    <w:p>
      <w:pPr>
        <w:numPr>
          <w:ilvl w:val="0"/>
          <w:numId w:val="4"/>
        </w:numPr>
        <w:spacing w:line="600" w:lineRule="exact"/>
        <w:ind w:firstLine="640"/>
        <w:outlineLvl w:val="1"/>
        <w:rPr>
          <w:rStyle w:val="29"/>
          <w:rFonts w:ascii="黑体" w:hAnsi="黑体" w:eastAsia="黑体"/>
          <w:b w:val="0"/>
        </w:rPr>
      </w:pPr>
      <w:bookmarkStart w:id="46" w:name="_Toc15377219"/>
      <w:bookmarkStart w:id="47" w:name="_Toc15396611"/>
      <w:r>
        <w:rPr>
          <w:rStyle w:val="29"/>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pStyle w:val="27"/>
        <w:numPr>
          <w:ilvl w:val="0"/>
          <w:numId w:val="5"/>
        </w:numPr>
        <w:spacing w:line="580" w:lineRule="exact"/>
        <w:ind w:firstLineChars="0"/>
        <w:rPr>
          <w:rStyle w:val="29"/>
          <w:rFonts w:ascii="黑体" w:hAnsi="黑体" w:eastAsia="黑体"/>
          <w:b w:val="0"/>
        </w:rPr>
      </w:pPr>
      <w:r>
        <w:rPr>
          <w:rStyle w:val="29"/>
          <w:rFonts w:hint="eastAsia" w:ascii="黑体" w:hAnsi="黑体" w:eastAsia="黑体"/>
          <w:b w:val="0"/>
        </w:rPr>
        <w:t>预算绩效情况说明</w:t>
      </w:r>
    </w:p>
    <w:p>
      <w:pPr>
        <w:numPr>
          <w:ilvl w:val="0"/>
          <w:numId w:val="6"/>
        </w:numPr>
        <w:spacing w:line="580" w:lineRule="exact"/>
        <w:ind w:firstLine="642"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预算绩效管理工作开展情况。</w:t>
      </w:r>
    </w:p>
    <w:p>
      <w:pPr>
        <w:ind w:firstLine="640" w:firstLineChars="200"/>
        <w:rPr>
          <w:rFonts w:ascii="宋体" w:hAnsi="宋体" w:cs="宋体"/>
          <w:kern w:val="0"/>
          <w:sz w:val="20"/>
          <w:szCs w:val="20"/>
        </w:rPr>
      </w:pPr>
      <w:r>
        <w:rPr>
          <w:rFonts w:hint="eastAsia" w:ascii="仿宋_GB2312" w:hAnsi="仿宋_GB2312" w:eastAsia="仿宋_GB2312" w:cs="仿宋_GB2312"/>
          <w:sz w:val="32"/>
          <w:szCs w:val="32"/>
        </w:rPr>
        <w:t>根据预算绩效管理要求，本部门在年初预算编制阶段，组织对基层组织建设、驻村帮扶及第一书记考核、城市社区党建等20个项目开展了预算事前绩效评估，编制了绩效目标。预算执行过程中，选取基层组织建设</w:t>
      </w:r>
      <w:r>
        <w:rPr>
          <w:rFonts w:hint="eastAsia" w:ascii="宋体" w:hAnsi="宋体" w:cs="宋体"/>
          <w:kern w:val="0"/>
          <w:sz w:val="20"/>
          <w:szCs w:val="20"/>
        </w:rPr>
        <w:t>、</w:t>
      </w:r>
      <w:r>
        <w:rPr>
          <w:rFonts w:hint="eastAsia" w:ascii="仿宋_GB2312" w:hAnsi="仿宋_GB2312" w:eastAsia="仿宋_GB2312" w:cs="仿宋_GB2312"/>
          <w:sz w:val="32"/>
          <w:szCs w:val="32"/>
        </w:rPr>
        <w:t>人才工作基金、干部选任、“两新”党组织建设、组织系统网络宣传等项目开展绩效监控，年终执行完毕后，对20个项目开展了绩效目标完成情况自评。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了绩效自评，从评价情况来看，本部门较好地完成了年度总体绩效目标，部门综合管理有序、专项项目规划合理、项目实施效果明显，但也存在预算执行进度还需加快的问题。</w:t>
      </w:r>
    </w:p>
    <w:p>
      <w:pPr>
        <w:spacing w:line="580" w:lineRule="exact"/>
        <w:ind w:firstLine="640" w:firstLineChars="200"/>
        <w:rPr>
          <w:rFonts w:ascii="仿宋_GB2312" w:hAnsi="仿宋_GB2312" w:eastAsia="仿宋_GB2312" w:cs="仿宋_GB2312"/>
          <w:sz w:val="32"/>
          <w:szCs w:val="32"/>
        </w:rPr>
      </w:pPr>
      <w:r>
        <w:rPr>
          <w:rFonts w:hint="eastAsia" w:ascii="宋体" w:hAnsi="宋体" w:cs="宋体"/>
          <w:sz w:val="32"/>
          <w:szCs w:val="32"/>
        </w:rPr>
        <w:t>（二）</w:t>
      </w:r>
      <w:r>
        <w:rPr>
          <w:rFonts w:hint="eastAsia" w:ascii="仿宋_GB2312" w:hAnsi="仿宋" w:eastAsia="仿宋_GB2312" w:cs="楷体_GB2312"/>
          <w:b/>
          <w:bCs/>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本部门在2020年度部门决算中反映20个项目绩效目标实际完成情况，选取其中基层组织建设</w:t>
      </w:r>
      <w:r>
        <w:rPr>
          <w:rFonts w:hint="eastAsia" w:ascii="宋体" w:hAnsi="宋体" w:cs="宋体"/>
          <w:kern w:val="0"/>
          <w:sz w:val="20"/>
          <w:szCs w:val="20"/>
        </w:rPr>
        <w:t>、</w:t>
      </w:r>
      <w:r>
        <w:rPr>
          <w:rFonts w:hint="eastAsia" w:ascii="仿宋_GB2312" w:hAnsi="仿宋_GB2312" w:eastAsia="仿宋_GB2312" w:cs="仿宋_GB2312"/>
          <w:sz w:val="32"/>
          <w:szCs w:val="32"/>
        </w:rPr>
        <w:t>人才工作基金、干部选任、“两新”党组织建设、组织系统网络宣传等5个项目综述如下。</w:t>
      </w:r>
    </w:p>
    <w:p>
      <w:pPr>
        <w:spacing w:line="576" w:lineRule="exact"/>
        <w:ind w:firstLine="800" w:firstLineChars="250"/>
        <w:rPr>
          <w:rFonts w:eastAsia="楷体_GB2312"/>
          <w:bCs/>
          <w:color w:val="000000"/>
          <w:sz w:val="32"/>
          <w:szCs w:val="32"/>
        </w:rPr>
      </w:pPr>
      <w:r>
        <w:rPr>
          <w:rFonts w:hint="eastAsia" w:eastAsia="楷体_GB2312"/>
          <w:bCs/>
          <w:color w:val="000000"/>
          <w:sz w:val="32"/>
          <w:szCs w:val="32"/>
        </w:rPr>
        <w:t>1.基层组织建设项目绩效目标完成情况综述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项目本年预算22.2万元，全年执行数为22.2万元，完成预算的100%。通过项目实施，</w:t>
      </w:r>
      <w:r>
        <w:rPr>
          <w:rFonts w:ascii="仿宋_GB2312" w:hAnsi="仿宋_GB2312" w:eastAsia="仿宋_GB2312" w:cs="仿宋_GB2312"/>
          <w:sz w:val="32"/>
          <w:szCs w:val="32"/>
        </w:rPr>
        <w:t>充分发挥</w:t>
      </w:r>
      <w:r>
        <w:rPr>
          <w:rFonts w:hint="eastAsia" w:ascii="仿宋_GB2312" w:hAnsi="仿宋_GB2312" w:eastAsia="仿宋_GB2312" w:cs="仿宋_GB2312"/>
          <w:sz w:val="32"/>
          <w:szCs w:val="32"/>
        </w:rPr>
        <w:t>出了</w:t>
      </w:r>
      <w:r>
        <w:rPr>
          <w:rFonts w:ascii="仿宋_GB2312" w:hAnsi="仿宋_GB2312" w:eastAsia="仿宋_GB2312" w:cs="仿宋_GB2312"/>
          <w:sz w:val="32"/>
          <w:szCs w:val="32"/>
        </w:rPr>
        <w:t>城市基层党建优势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进一步完善街道、社区、小区三级架构，指导新建小区支部85个</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聚焦重点，抓实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两个示范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。在农村，启动村（社区）党组织评先定级，推进星级化管理，明确创先进村党组织23个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在城市，率先探索编制社区治理规划4个，实施社会组织公益创投项目17个，结合亲民化改造分层分类打造样板和标杆82个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围绕中心，圆满</w:t>
      </w:r>
      <w:r>
        <w:rPr>
          <w:rFonts w:hint="eastAsia" w:ascii="仿宋_GB2312" w:hAnsi="仿宋_GB2312" w:eastAsia="仿宋_GB2312" w:cs="仿宋_GB2312"/>
          <w:sz w:val="32"/>
          <w:szCs w:val="32"/>
        </w:rPr>
        <w:t>完成村</w:t>
      </w:r>
      <w:r>
        <w:rPr>
          <w:rFonts w:ascii="仿宋_GB2312" w:hAnsi="仿宋_GB2312" w:eastAsia="仿宋_GB2312" w:cs="仿宋_GB2312"/>
          <w:sz w:val="32"/>
          <w:szCs w:val="32"/>
        </w:rPr>
        <w:t>级建制调整改革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村（社区）两委换届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脱贫攻坚</w:t>
      </w:r>
      <w:r>
        <w:rPr>
          <w:rFonts w:hint="eastAsia" w:ascii="仿宋_GB2312" w:hAnsi="仿宋_GB2312" w:eastAsia="仿宋_GB2312" w:cs="仿宋_GB2312"/>
          <w:sz w:val="32"/>
          <w:szCs w:val="32"/>
        </w:rPr>
        <w:t>三大任务。本项目完成情况良好。</w:t>
      </w:r>
    </w:p>
    <w:p>
      <w:pPr>
        <w:spacing w:line="576" w:lineRule="exact"/>
        <w:ind w:firstLine="800" w:firstLineChars="250"/>
        <w:rPr>
          <w:rFonts w:eastAsia="楷体_GB2312"/>
          <w:bCs/>
          <w:color w:val="000000"/>
          <w:sz w:val="32"/>
          <w:szCs w:val="32"/>
        </w:rPr>
      </w:pPr>
      <w:r>
        <w:rPr>
          <w:rFonts w:hint="eastAsia" w:eastAsia="楷体_GB2312"/>
          <w:bCs/>
          <w:color w:val="000000"/>
          <w:sz w:val="32"/>
          <w:szCs w:val="32"/>
        </w:rPr>
        <w:t>2.人才工作基金项目绩效目标完成情况综述</w:t>
      </w:r>
    </w:p>
    <w:p>
      <w:pPr>
        <w:spacing w:line="576" w:lineRule="exact"/>
        <w:ind w:firstLine="640" w:firstLineChars="200"/>
        <w:rPr>
          <w:rFonts w:ascii="仿宋_GB2312" w:hAnsi="仿宋_GB2312" w:eastAsia="仿宋_GB2312" w:cs="仿宋_GB2312"/>
          <w:sz w:val="32"/>
          <w:szCs w:val="32"/>
        </w:rPr>
      </w:pPr>
      <w:r>
        <w:rPr>
          <w:rFonts w:hint="eastAsia" w:ascii="方正仿宋简体" w:hAnsi="方正仿宋简体" w:eastAsia="方正仿宋简体"/>
          <w:bCs/>
          <w:sz w:val="32"/>
          <w:szCs w:val="32"/>
        </w:rPr>
        <w:t>项目全年预算数为10万元，执行数为5.8万元，完成预算58%。通过项目实施，全年引进高层次和急需紧缺人才165人，评选“利州英才”166人，并推出政务、金融、科研等7类25项便捷优惠服务。</w:t>
      </w:r>
      <w:r>
        <w:rPr>
          <w:rFonts w:hint="eastAsia" w:ascii="方正仿宋简体" w:hAnsi="方正仿宋简体" w:eastAsia="方正仿宋简体" w:cs="仿宋_GB2312"/>
          <w:bCs/>
          <w:sz w:val="32"/>
          <w:szCs w:val="32"/>
        </w:rPr>
        <w:t>调整在职人员参加研究生教育学费报销办法，鼓励和支持机关及企事业单位干部人才学历再提升。</w:t>
      </w:r>
      <w:r>
        <w:rPr>
          <w:rFonts w:hint="eastAsia" w:ascii="方正仿宋简体" w:hAnsi="方正仿宋简体" w:eastAsia="方正仿宋简体" w:cs="方正仿宋简体"/>
          <w:bCs/>
          <w:sz w:val="32"/>
          <w:szCs w:val="32"/>
        </w:rPr>
        <w:t>在武侯区创新打造“广元（成都）双创离岸孵化器”，耦合成都市场、人才资源和广元土地、人力优势，探索“总部+基地”“研发+生产”“产品+市场”的产业互动模式，让成都在孵项目在利州“5大园区”落地建厂，生产销售。</w:t>
      </w:r>
      <w:r>
        <w:rPr>
          <w:rFonts w:hint="eastAsia" w:ascii="仿宋_GB2312" w:hAnsi="仿宋_GB2312" w:eastAsia="仿宋_GB2312" w:cs="仿宋_GB2312"/>
          <w:sz w:val="32"/>
          <w:szCs w:val="32"/>
        </w:rPr>
        <w:t>本项目完成情况良好。</w:t>
      </w:r>
    </w:p>
    <w:p>
      <w:pPr>
        <w:spacing w:line="576" w:lineRule="exact"/>
        <w:ind w:firstLine="800" w:firstLineChars="250"/>
        <w:rPr>
          <w:rFonts w:ascii="仿宋_GB2312" w:hAnsi="仿宋_GB2312" w:eastAsia="仿宋_GB2312" w:cs="仿宋_GB2312"/>
          <w:sz w:val="32"/>
          <w:szCs w:val="32"/>
        </w:rPr>
      </w:pPr>
      <w:r>
        <w:rPr>
          <w:rFonts w:hint="eastAsia" w:eastAsia="楷体_GB2312"/>
          <w:bCs/>
          <w:color w:val="000000"/>
          <w:sz w:val="32"/>
          <w:szCs w:val="32"/>
        </w:rPr>
        <w:t>3.“两新”党组织建设项目绩效目标完成情况综述</w:t>
      </w:r>
    </w:p>
    <w:p>
      <w:pPr>
        <w:spacing w:line="576" w:lineRule="exact"/>
        <w:ind w:firstLine="800" w:firstLineChars="250"/>
        <w:rPr>
          <w:rFonts w:ascii="仿宋_GB2312" w:hAnsi="仿宋_GB2312" w:eastAsia="仿宋_GB2312" w:cs="仿宋_GB2312"/>
          <w:sz w:val="32"/>
          <w:szCs w:val="32"/>
        </w:rPr>
      </w:pPr>
      <w:r>
        <w:rPr>
          <w:rFonts w:hint="eastAsia" w:ascii="方正仿宋简体" w:hAnsi="方正仿宋简体" w:eastAsia="方正仿宋简体" w:cs="方正仿宋简体"/>
          <w:bCs/>
          <w:sz w:val="32"/>
          <w:szCs w:val="32"/>
        </w:rPr>
        <w:t>项目全年预算数为173万元，执行数为114.35万元，完成预算66.1%。通过项目实施，全年调整乡镇（街道）两新组织综合党委书记5名，召开区委两新组织工委（扩大）会议3次。成立全市首个楼宇综合党委—万达晶座楼宇综合党委。大力实施两新组织“大排查、大培训、大整改、大宣讲”行动，精准建立“五清”工作台账21份，同步更新全省两新组织党建工作平台数据326家，排查出58个问题短板全面完成整改。新建党支部7个，非公企业和社会组织党组织覆盖率分别提升至80.65%、92.52%。</w:t>
      </w:r>
      <w:r>
        <w:rPr>
          <w:rFonts w:hint="eastAsia" w:ascii="仿宋_GB2312" w:hAnsi="仿宋_GB2312" w:eastAsia="仿宋_GB2312" w:cs="仿宋_GB2312"/>
          <w:sz w:val="32"/>
          <w:szCs w:val="32"/>
        </w:rPr>
        <w:t>本项目完成情况良好。</w:t>
      </w:r>
    </w:p>
    <w:p>
      <w:pPr>
        <w:spacing w:line="576" w:lineRule="exact"/>
        <w:ind w:firstLine="800" w:firstLineChars="250"/>
        <w:rPr>
          <w:rFonts w:eastAsia="楷体_GB2312"/>
          <w:bCs/>
          <w:color w:val="000000"/>
          <w:sz w:val="32"/>
          <w:szCs w:val="32"/>
        </w:rPr>
      </w:pPr>
      <w:r>
        <w:rPr>
          <w:rFonts w:hint="eastAsia" w:eastAsia="楷体_GB2312"/>
          <w:bCs/>
          <w:color w:val="000000"/>
          <w:sz w:val="32"/>
          <w:szCs w:val="32"/>
        </w:rPr>
        <w:t>4.干部选任项目绩效目标完成情况综述</w:t>
      </w:r>
    </w:p>
    <w:p>
      <w:pPr>
        <w:spacing w:line="576"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为5.4万元，执行数为5.15万元，完成预算95.4%。通过项目实施，全年高质量推进全区干部队伍建设，健全干部考核评价机制，对全区科级领导班子和科级干部开展全覆盖分析研判，全面了解各科级领导班子运行状况和科级干部履职情况，做好“换届年”各项准备工作。进一步完善了干部教育培训体系，高标准强化公务员队伍管理，高质量完成省委巡视整改工作，进一步加强对区属国企领导班子的管理，配齐配强4家区属国有企业12名高管及14中层管理人员。本项目完成情况良好。</w:t>
      </w:r>
    </w:p>
    <w:p>
      <w:pPr>
        <w:spacing w:line="576" w:lineRule="exact"/>
        <w:ind w:firstLine="800" w:firstLineChars="250"/>
        <w:rPr>
          <w:rFonts w:eastAsia="楷体_GB2312"/>
          <w:bCs/>
          <w:color w:val="000000"/>
          <w:sz w:val="32"/>
          <w:szCs w:val="32"/>
        </w:rPr>
      </w:pPr>
      <w:r>
        <w:rPr>
          <w:rFonts w:hint="eastAsia" w:eastAsia="楷体_GB2312"/>
          <w:bCs/>
          <w:color w:val="000000"/>
          <w:sz w:val="32"/>
          <w:szCs w:val="32"/>
        </w:rPr>
        <w:t>5.组织系统网络宣传项目绩效目标完成情况综述</w:t>
      </w:r>
    </w:p>
    <w:p>
      <w:pPr>
        <w:spacing w:line="576"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5万元，执行数为1.1万元，完成预算的22%。通过项目实施，荣获“2019年度全市组织系统网络宣传先进单位”，《利州基层党建“随手拍”—第一书记“治村记”系列》获评2019年度全国组织系统“网络正能量项目”， “利州组工”新媒体宣传矩阵获评2019年度全省组织部门“网络正能量精品项目”，有效发挥了信息宣传在服务领导决策、引领改革创新、推动工作落实中的积极作用，营造了良好的工作氛围和舆论氛围。本项目完成情况良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本部门按要求对2020年部门整体支出绩效评价情况开展自评，《中共广元市利州区委组织部2020年部门整体支出绩效评价报告》见附件1。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本部门自行组织对基层组织建设</w:t>
      </w:r>
      <w:r>
        <w:rPr>
          <w:rFonts w:hint="eastAsia" w:ascii="宋体" w:hAnsi="宋体" w:cs="宋体"/>
          <w:kern w:val="0"/>
          <w:sz w:val="20"/>
          <w:szCs w:val="20"/>
        </w:rPr>
        <w:t>、</w:t>
      </w:r>
      <w:r>
        <w:rPr>
          <w:rFonts w:hint="eastAsia" w:ascii="仿宋_GB2312" w:hAnsi="仿宋_GB2312" w:eastAsia="仿宋_GB2312" w:cs="仿宋_GB2312"/>
          <w:sz w:val="32"/>
          <w:szCs w:val="32"/>
        </w:rPr>
        <w:t>人才工作基金、干部选任、“两新”党组织建设、组织系统网络宣传5个项目开展了绩效评价，项目支出2020年绩效评价报告见附件2。</w:t>
      </w:r>
    </w:p>
    <w:p>
      <w:pPr>
        <w:spacing w:line="600" w:lineRule="exact"/>
        <w:ind w:firstLine="800" w:firstLineChars="250"/>
        <w:outlineLvl w:val="1"/>
        <w:rPr>
          <w:rStyle w:val="29"/>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9"/>
          <w:rFonts w:hint="eastAsia" w:ascii="黑体" w:hAnsi="黑体" w:eastAsia="黑体"/>
        </w:rPr>
        <w:t>一、</w:t>
      </w:r>
      <w:r>
        <w:rPr>
          <w:rStyle w:val="29"/>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_GB2312" w:hAnsi="仿宋" w:eastAsia="仿宋_GB2312"/>
          <w:color w:val="000000"/>
          <w:sz w:val="32"/>
          <w:szCs w:val="32"/>
        </w:rPr>
      </w:pPr>
      <w:bookmarkStart w:id="50" w:name="_Toc15377222"/>
      <w:r>
        <w:rPr>
          <w:rFonts w:hint="eastAsia" w:ascii="仿宋_GB2312" w:hAnsi="仿宋" w:eastAsia="仿宋_GB2312"/>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2020年，中共广元市利州区委组织部机关运行经费支出67.5万元，比2019年下降3.49万元，下降4.9%。下降的</w:t>
      </w:r>
      <w:r>
        <w:rPr>
          <w:rFonts w:hint="eastAsia" w:ascii="仿宋_GB2312" w:eastAsia="仿宋_GB2312"/>
          <w:color w:val="000000" w:themeColor="text1"/>
          <w:sz w:val="32"/>
          <w:szCs w:val="32"/>
          <w14:textFill>
            <w14:solidFill>
              <w14:schemeClr w14:val="tx1"/>
            </w14:solidFill>
          </w14:textFill>
        </w:rPr>
        <w:t>主要原因是2020年人员日常公用经费下降。</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（数据来源财决CS05表）</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bookmarkStart w:id="51" w:name="_Toc15377223"/>
      <w:r>
        <w:rPr>
          <w:rFonts w:hint="eastAsia" w:ascii="仿宋_GB2312" w:hAnsi="仿宋" w:eastAsia="仿宋_GB2312"/>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中共广元市利州区委组织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r>
        <w:rPr>
          <w:rFonts w:hint="eastAsia" w:ascii="仿宋_GB2312" w:hAnsi="仿宋" w:eastAsia="仿宋_GB2312"/>
          <w:b/>
          <w:color w:val="000000"/>
          <w:sz w:val="32"/>
          <w:szCs w:val="32"/>
        </w:rPr>
        <w:t>（数据来源财决CS06表）</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bookmarkStart w:id="52" w:name="_Toc15377224"/>
      <w:r>
        <w:rPr>
          <w:rFonts w:hint="eastAsia" w:ascii="仿宋_GB2312" w:hAnsi="仿宋" w:eastAsia="仿宋_GB2312"/>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截至2020年12月31日，中共广元市利州区委组织部共有车辆1辆，其中：部级领导干部用车0辆、一般公务用车0辆、一般执法执勤用车0辆、特种专业技术用车0、其他用车1辆，</w:t>
      </w:r>
      <w:r>
        <w:rPr>
          <w:rFonts w:hint="eastAsia" w:ascii="仿宋_GB2312" w:eastAsia="仿宋_GB2312"/>
          <w:color w:val="000000" w:themeColor="text1"/>
          <w:sz w:val="32"/>
          <w:szCs w:val="32"/>
          <w14:textFill>
            <w14:solidFill>
              <w14:schemeClr w14:val="tx1"/>
            </w14:solidFill>
          </w14:textFill>
        </w:rPr>
        <w:t>其他用车主要是用于离退休老干部用车。单价50万元以上通用设备0台（套），单价100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2020年本单位公务用车一辆交由机关事务服务中心统一调配使用，本年无公务用车运行及维护支</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widowControl/>
        <w:jc w:val="center"/>
        <w:rPr>
          <w:rStyle w:val="28"/>
          <w:rFonts w:ascii="黑体" w:hAnsi="黑体" w:eastAsia="黑体"/>
          <w:b w:val="0"/>
          <w:sz w:val="32"/>
          <w:szCs w:val="32"/>
        </w:rPr>
      </w:pPr>
      <w:bookmarkStart w:id="53" w:name="_Toc15377225"/>
      <w:bookmarkStart w:id="54" w:name="_Toc15396613"/>
      <w:r>
        <w:rPr>
          <w:rFonts w:hint="eastAsia" w:ascii="黑体" w:hAnsi="黑体" w:eastAsia="黑体"/>
          <w:b/>
          <w:color w:val="000000"/>
          <w:sz w:val="32"/>
          <w:szCs w:val="32"/>
        </w:rPr>
        <w:t>第三部分  名</w:t>
      </w:r>
      <w:r>
        <w:rPr>
          <w:rStyle w:val="28"/>
          <w:rFonts w:hint="eastAsia" w:ascii="黑体" w:hAnsi="黑体" w:eastAsia="黑体"/>
          <w:b w:val="0"/>
          <w:sz w:val="32"/>
          <w:szCs w:val="32"/>
        </w:rPr>
        <w:t>词解释</w:t>
      </w:r>
      <w:bookmarkEnd w:id="53"/>
      <w:bookmarkEnd w:id="54"/>
    </w:p>
    <w:p>
      <w:pPr>
        <w:spacing w:line="600" w:lineRule="exact"/>
        <w:jc w:val="left"/>
        <w:rPr>
          <w:rFonts w:ascii="仿宋_GB2312" w:eastAsia="仿宋_GB2312"/>
          <w:b/>
          <w:color w:val="000000"/>
          <w:sz w:val="32"/>
          <w:szCs w:val="32"/>
        </w:rPr>
      </w:pP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4.其他收入：指单位取得的除上述收入以外的各项收入。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spacing w:line="600" w:lineRule="exact"/>
        <w:ind w:firstLine="629" w:firstLineChars="196"/>
        <w:rPr>
          <w:rStyle w:val="18"/>
          <w:rFonts w:ascii="仿宋_GB2312" w:hAnsi="仿宋" w:eastAsia="仿宋_GB2312"/>
          <w:b w:val="0"/>
          <w:bCs/>
          <w:sz w:val="32"/>
          <w:szCs w:val="32"/>
        </w:rPr>
      </w:pPr>
      <w:r>
        <w:rPr>
          <w:rStyle w:val="18"/>
          <w:rFonts w:hint="eastAsia" w:ascii="仿宋_GB2312" w:hAnsi="仿宋" w:eastAsia="仿宋_GB2312"/>
          <w:bCs/>
          <w:sz w:val="32"/>
          <w:szCs w:val="32"/>
        </w:rPr>
        <w:t>9、行政运行（2013201）:</w:t>
      </w:r>
      <w:r>
        <w:rPr>
          <w:rStyle w:val="18"/>
          <w:rFonts w:hint="eastAsia" w:ascii="仿宋_GB2312" w:hAnsi="仿宋" w:eastAsia="仿宋_GB2312"/>
          <w:b w:val="0"/>
          <w:bCs/>
          <w:sz w:val="32"/>
          <w:szCs w:val="32"/>
        </w:rPr>
        <w:t xml:space="preserve"> 指组织事务支出中反映行政单位（包括实行公务员管理的事业单位）的基本支出。</w:t>
      </w:r>
    </w:p>
    <w:p>
      <w:pPr>
        <w:spacing w:line="600" w:lineRule="exact"/>
        <w:ind w:firstLine="627" w:firstLineChars="196"/>
        <w:rPr>
          <w:rStyle w:val="18"/>
          <w:rFonts w:ascii="仿宋_GB2312" w:hAnsi="仿宋" w:eastAsia="仿宋_GB2312"/>
          <w:sz w:val="32"/>
          <w:szCs w:val="32"/>
        </w:rPr>
      </w:pPr>
      <w:r>
        <w:rPr>
          <w:rStyle w:val="18"/>
          <w:rFonts w:hint="eastAsia" w:ascii="仿宋_GB2312" w:hAnsi="仿宋" w:eastAsia="仿宋_GB2312"/>
          <w:b w:val="0"/>
          <w:bCs/>
          <w:sz w:val="32"/>
          <w:szCs w:val="32"/>
        </w:rPr>
        <w:t>10、</w:t>
      </w:r>
      <w:r>
        <w:rPr>
          <w:rStyle w:val="18"/>
          <w:rFonts w:hint="eastAsia" w:ascii="仿宋_GB2312" w:hAnsi="仿宋" w:eastAsia="仿宋_GB2312"/>
          <w:bCs/>
          <w:sz w:val="32"/>
          <w:szCs w:val="32"/>
        </w:rPr>
        <w:t>行政管理事务（2013202）:</w:t>
      </w:r>
      <w:r>
        <w:rPr>
          <w:rStyle w:val="18"/>
          <w:rFonts w:hint="eastAsia" w:ascii="仿宋_GB2312" w:hAnsi="仿宋" w:eastAsia="仿宋_GB2312"/>
          <w:b w:val="0"/>
          <w:bCs/>
          <w:sz w:val="32"/>
          <w:szCs w:val="32"/>
        </w:rPr>
        <w:t xml:space="preserve"> 指组织事务支出中反映行政单位（包括实行公务员法管理的事业单位）未单独设置项级科目的其他项目支出。</w:t>
      </w:r>
    </w:p>
    <w:p>
      <w:pPr>
        <w:spacing w:line="600" w:lineRule="exact"/>
        <w:ind w:firstLine="642" w:firstLineChars="200"/>
        <w:rPr>
          <w:rStyle w:val="18"/>
          <w:rFonts w:ascii="仿宋_GB2312" w:hAnsi="仿宋" w:eastAsia="仿宋_GB2312"/>
          <w:b w:val="0"/>
          <w:bCs/>
          <w:sz w:val="32"/>
          <w:szCs w:val="32"/>
        </w:rPr>
      </w:pPr>
      <w:r>
        <w:rPr>
          <w:rStyle w:val="18"/>
          <w:rFonts w:hint="eastAsia" w:ascii="仿宋_GB2312" w:hAnsi="仿宋" w:eastAsia="仿宋_GB2312"/>
          <w:bCs/>
          <w:sz w:val="32"/>
          <w:szCs w:val="32"/>
        </w:rPr>
        <w:t>11、机关事业单位基本养老保险缴费支出（2080505）：</w:t>
      </w:r>
      <w:r>
        <w:rPr>
          <w:rStyle w:val="18"/>
          <w:rFonts w:hint="eastAsia" w:ascii="仿宋_GB2312" w:hAnsi="仿宋" w:eastAsia="仿宋_GB2312"/>
          <w:b w:val="0"/>
          <w:bCs/>
          <w:sz w:val="32"/>
          <w:szCs w:val="32"/>
        </w:rPr>
        <w:t>指社会保障和就业支出中反映机关事业单位实施养老保险制度由单位缴纳的基本养老保险费支出。</w:t>
      </w:r>
    </w:p>
    <w:p>
      <w:pPr>
        <w:spacing w:line="600" w:lineRule="exact"/>
        <w:ind w:firstLine="640" w:firstLineChars="200"/>
        <w:rPr>
          <w:rFonts w:ascii="仿宋_GB2312" w:hAnsi="仿宋" w:eastAsia="仿宋_GB2312"/>
          <w:b/>
          <w:bCs/>
          <w:sz w:val="32"/>
          <w:szCs w:val="32"/>
        </w:rPr>
      </w:pPr>
      <w:r>
        <w:rPr>
          <w:rStyle w:val="18"/>
          <w:rFonts w:hint="eastAsia" w:ascii="仿宋_GB2312" w:hAnsi="仿宋" w:eastAsia="仿宋_GB2312"/>
          <w:b w:val="0"/>
          <w:bCs/>
          <w:sz w:val="32"/>
          <w:szCs w:val="32"/>
        </w:rPr>
        <w:t>12、</w:t>
      </w:r>
      <w:r>
        <w:rPr>
          <w:rStyle w:val="18"/>
          <w:rFonts w:hint="eastAsia" w:ascii="仿宋_GB2312" w:hAnsi="仿宋" w:eastAsia="仿宋_GB2312"/>
          <w:bCs/>
          <w:sz w:val="32"/>
          <w:szCs w:val="32"/>
        </w:rPr>
        <w:t>机关事业单位职业年金缴费支出（2080506）:指社会保障和就业支出中反映机关事业单位实施养老保险制度由单位实际缴纳的职业年金支出。</w:t>
      </w:r>
      <w:r>
        <w:rPr>
          <w:rStyle w:val="18"/>
          <w:rFonts w:hint="eastAsia" w:ascii="仿宋_GB2312" w:hAnsi="仿宋" w:eastAsia="仿宋_GB2312"/>
          <w:b w:val="0"/>
          <w:bCs/>
          <w:sz w:val="32"/>
          <w:szCs w:val="32"/>
        </w:rPr>
        <w:t xml:space="preserve"> </w:t>
      </w:r>
    </w:p>
    <w:p>
      <w:pPr>
        <w:spacing w:line="600" w:lineRule="exact"/>
        <w:ind w:firstLine="642" w:firstLineChars="200"/>
        <w:rPr>
          <w:rFonts w:ascii="仿宋_GB2312" w:hAnsi="仿宋" w:eastAsia="仿宋_GB2312"/>
          <w:b/>
          <w:sz w:val="32"/>
          <w:szCs w:val="32"/>
        </w:rPr>
      </w:pPr>
      <w:r>
        <w:rPr>
          <w:rStyle w:val="18"/>
          <w:rFonts w:hint="eastAsia" w:ascii="仿宋_GB2312" w:hAnsi="仿宋" w:eastAsia="仿宋_GB2312"/>
          <w:bCs/>
          <w:sz w:val="32"/>
          <w:szCs w:val="32"/>
        </w:rPr>
        <w:t>13、行政单位医疗（2101101）:</w:t>
      </w:r>
      <w:r>
        <w:rPr>
          <w:rStyle w:val="18"/>
          <w:rFonts w:hint="eastAsia" w:ascii="仿宋_GB2312" w:hAnsi="仿宋" w:eastAsia="仿宋_GB2312"/>
          <w:b w:val="0"/>
          <w:bCs/>
          <w:sz w:val="32"/>
          <w:szCs w:val="32"/>
        </w:rPr>
        <w:t>指卫生健康支出中反映财政部门集中安排的行政单位基本医疗保险缴费经费，未参加医疗保险的行政单位的公费医疗经费，按国规定享受离休人员、红军老战士待遇人员的医疗经费。</w:t>
      </w:r>
      <w:r>
        <w:rPr>
          <w:rFonts w:ascii="仿宋_GB2312" w:hAnsi="仿宋" w:eastAsia="仿宋_GB2312"/>
          <w:b/>
          <w:sz w:val="32"/>
          <w:szCs w:val="32"/>
        </w:rPr>
        <w:t xml:space="preserve"> </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14、其他扶贫支出（2130599）</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指农林水支出其他用于扶贫方面的支出。</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15、住房公积金（2210201）</w:t>
      </w:r>
      <w:r>
        <w:rPr>
          <w:rFonts w:hint="eastAsia" w:ascii="仿宋_GB2312" w:hAnsi="仿宋" w:eastAsia="仿宋_GB2312"/>
          <w:sz w:val="32"/>
          <w:szCs w:val="32"/>
        </w:rPr>
        <w:t>：指住房保障支出中反映行政事业单位按人力资源和社会保障部、财政局规定的基本工资和津贴补贴以及规定比例为职工缴纳的住房公积金。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sz w:val="32"/>
          <w:szCs w:val="32"/>
        </w:rPr>
        <w:t>16、基本支出：指为保障机构正常运转、完成日常工</w:t>
      </w:r>
      <w:r>
        <w:rPr>
          <w:rFonts w:hint="eastAsia" w:ascii="仿宋_GB2312" w:eastAsia="仿宋_GB2312"/>
          <w:color w:val="000000"/>
          <w:sz w:val="32"/>
          <w:szCs w:val="32"/>
        </w:rPr>
        <w:t>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17、项目支出：指在基本支出之外为完成特定行政任务和事业发展目标所发生的支出。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方正小标宋简体" w:hAnsi="黑体" w:eastAsia="方正小标宋简体"/>
          <w:b w:val="0"/>
          <w:sz w:val="32"/>
          <w:szCs w:val="32"/>
        </w:rPr>
      </w:pPr>
      <w:bookmarkStart w:id="55" w:name="_Toc15377226"/>
      <w:r>
        <w:rPr>
          <w:rFonts w:hint="eastAsia" w:ascii="仿宋_GB2312" w:eastAsia="仿宋_GB2312"/>
          <w:b/>
          <w:color w:val="000000"/>
          <w:sz w:val="32"/>
          <w:szCs w:val="32"/>
        </w:rPr>
        <w:br w:type="page"/>
      </w:r>
      <w:bookmarkStart w:id="56" w:name="_Toc15396614"/>
      <w:r>
        <w:rPr>
          <w:rFonts w:hint="eastAsia" w:ascii="方正小标宋简体" w:hAnsi="黑体" w:eastAsia="方正小标宋简体"/>
          <w:b/>
          <w:color w:val="000000"/>
          <w:sz w:val="32"/>
          <w:szCs w:val="32"/>
        </w:rPr>
        <w:t>第</w:t>
      </w:r>
      <w:r>
        <w:rPr>
          <w:rStyle w:val="28"/>
          <w:rFonts w:hint="eastAsia" w:ascii="方正小标宋简体" w:hAnsi="黑体" w:eastAsia="方正小标宋简体"/>
          <w:b w:val="0"/>
          <w:sz w:val="32"/>
          <w:szCs w:val="32"/>
        </w:rPr>
        <w:t>四部分 附件</w:t>
      </w:r>
      <w:bookmarkEnd w:id="56"/>
      <w:bookmarkStart w:id="57" w:name="_Toc15396615"/>
    </w:p>
    <w:p>
      <w:pPr>
        <w:spacing w:line="600" w:lineRule="exact"/>
        <w:jc w:val="left"/>
        <w:outlineLvl w:val="0"/>
        <w:rPr>
          <w:rStyle w:val="28"/>
          <w:rFonts w:ascii="仿宋_GB2312" w:hAnsi="仿宋" w:eastAsia="仿宋_GB2312"/>
          <w:sz w:val="32"/>
          <w:szCs w:val="32"/>
        </w:rPr>
      </w:pPr>
      <w:r>
        <w:rPr>
          <w:rStyle w:val="28"/>
          <w:rFonts w:hint="eastAsia" w:ascii="仿宋_GB2312" w:hAnsi="仿宋" w:eastAsia="仿宋_GB2312"/>
          <w:sz w:val="32"/>
          <w:szCs w:val="32"/>
        </w:rPr>
        <w:t>附件1</w:t>
      </w:r>
      <w:bookmarkEnd w:id="57"/>
      <w:r>
        <w:rPr>
          <w:rStyle w:val="28"/>
          <w:rFonts w:hint="eastAsia" w:ascii="仿宋_GB2312" w:hAnsi="仿宋" w:eastAsia="仿宋_GB2312"/>
          <w:sz w:val="32"/>
          <w:szCs w:val="32"/>
        </w:rPr>
        <w:t>：</w:t>
      </w:r>
    </w:p>
    <w:p>
      <w:pPr>
        <w:pStyle w:val="13"/>
        <w:shd w:val="clear" w:color="auto" w:fill="FFFFFF"/>
        <w:spacing w:before="162" w:beforeAutospacing="0" w:after="150" w:afterAutospacing="0" w:line="480" w:lineRule="atLeast"/>
        <w:ind w:left="45" w:right="45" w:firstLine="480"/>
        <w:jc w:val="center"/>
        <w:rPr>
          <w:rFonts w:ascii="方正小标宋简体" w:hAnsi="Times New Roman" w:eastAsia="方正小标宋简体" w:cs="Times New Roman"/>
          <w:bCs/>
          <w:sz w:val="32"/>
          <w:szCs w:val="32"/>
          <w:lang w:val="zh-CN"/>
        </w:rPr>
      </w:pPr>
      <w:r>
        <w:rPr>
          <w:rFonts w:hint="eastAsia" w:ascii="方正小标宋简体" w:hAnsi="Times New Roman" w:eastAsia="方正小标宋简体" w:cs="Times New Roman"/>
          <w:bCs/>
          <w:sz w:val="32"/>
          <w:szCs w:val="32"/>
          <w:lang w:val="zh-CN"/>
        </w:rPr>
        <w:t>中共广元市利州区委组织部</w:t>
      </w:r>
    </w:p>
    <w:p>
      <w:pPr>
        <w:pStyle w:val="13"/>
        <w:shd w:val="clear" w:color="auto" w:fill="FFFFFF"/>
        <w:spacing w:before="162" w:beforeAutospacing="0" w:after="150" w:afterAutospacing="0" w:line="480" w:lineRule="atLeast"/>
        <w:ind w:left="45" w:right="45" w:firstLine="480"/>
        <w:jc w:val="center"/>
        <w:rPr>
          <w:rFonts w:ascii="方正小标宋简体" w:hAnsi="Times New Roman" w:eastAsia="方正小标宋简体" w:cs="Times New Roman"/>
          <w:bCs/>
          <w:sz w:val="32"/>
          <w:szCs w:val="32"/>
          <w:lang w:val="zh-CN"/>
        </w:rPr>
      </w:pPr>
      <w:r>
        <w:rPr>
          <w:rFonts w:hint="eastAsia" w:ascii="方正小标宋简体" w:hAnsi="Times New Roman" w:eastAsia="方正小标宋简体" w:cs="Times New Roman"/>
          <w:bCs/>
          <w:sz w:val="32"/>
          <w:szCs w:val="32"/>
          <w:lang w:val="zh-CN"/>
        </w:rPr>
        <w:t>2020年部门整体支出绩效评价报告</w:t>
      </w:r>
    </w:p>
    <w:p>
      <w:pPr>
        <w:pStyle w:val="13"/>
        <w:shd w:val="clear" w:color="auto" w:fill="FFFFFF"/>
        <w:spacing w:before="162" w:beforeAutospacing="0" w:after="150" w:afterAutospacing="0" w:line="480" w:lineRule="atLeast"/>
        <w:ind w:left="45" w:right="45" w:firstLine="480"/>
        <w:jc w:val="both"/>
        <w:rPr>
          <w:rFonts w:asciiTheme="majorEastAsia" w:hAnsiTheme="majorEastAsia" w:eastAsiaTheme="majorEastAsia"/>
          <w:b/>
          <w:color w:val="090909"/>
          <w:sz w:val="32"/>
          <w:szCs w:val="32"/>
        </w:rPr>
      </w:pPr>
      <w:r>
        <w:rPr>
          <w:rFonts w:hint="eastAsia" w:asciiTheme="majorEastAsia" w:hAnsiTheme="majorEastAsia" w:eastAsiaTheme="majorEastAsia"/>
          <w:b/>
          <w:color w:val="090909"/>
          <w:sz w:val="32"/>
          <w:szCs w:val="32"/>
        </w:rPr>
        <w:t>一、部门（单位）概况</w:t>
      </w:r>
    </w:p>
    <w:p>
      <w:pPr>
        <w:ind w:firstLine="642" w:firstLineChars="200"/>
        <w:rPr>
          <w:rFonts w:ascii="仿宋_GB2312" w:hAnsi="微软雅黑" w:eastAsia="仿宋_GB2312"/>
          <w:b/>
          <w:color w:val="090909"/>
          <w:sz w:val="32"/>
          <w:szCs w:val="32"/>
        </w:rPr>
      </w:pPr>
      <w:r>
        <w:rPr>
          <w:rFonts w:hint="eastAsia" w:ascii="仿宋_GB2312" w:hAnsi="微软雅黑" w:eastAsia="仿宋_GB2312"/>
          <w:b/>
          <w:color w:val="090909"/>
          <w:sz w:val="32"/>
          <w:szCs w:val="32"/>
        </w:rPr>
        <w:t>（一）机构组成。</w:t>
      </w:r>
    </w:p>
    <w:p>
      <w:pPr>
        <w:ind w:firstLine="640" w:firstLineChars="200"/>
        <w:rPr>
          <w:rFonts w:ascii="仿宋_GB2312" w:eastAsia="仿宋_GB2312"/>
          <w:bCs/>
          <w:kern w:val="0"/>
          <w:sz w:val="32"/>
          <w:szCs w:val="32"/>
          <w:lang w:val="zh-CN"/>
        </w:rPr>
      </w:pPr>
      <w:r>
        <w:rPr>
          <w:rFonts w:hint="eastAsia" w:ascii="仿宋_GB2312" w:eastAsia="仿宋_GB2312"/>
          <w:bCs/>
          <w:kern w:val="0"/>
          <w:sz w:val="32"/>
          <w:szCs w:val="32"/>
          <w:lang w:val="zh-CN"/>
        </w:rPr>
        <w:t>中共广元市利州区委组织部属一级预算单位，执行政府会计会计制度。下属二级单位5个，其中参照公务员法管理的事业单位2个（党员教育服务中心、直属机关党建事务中心），其他事业单位3个（老干部服务中心、干部人事档案管理中心、高端人才服务中心）。纳入中共广元市利州区委组织部2020年度部门决算编制范围的二级预算单位0个。</w:t>
      </w:r>
    </w:p>
    <w:p>
      <w:pPr>
        <w:pStyle w:val="13"/>
        <w:shd w:val="clear" w:color="auto" w:fill="FFFFFF"/>
        <w:spacing w:before="162" w:beforeAutospacing="0" w:after="150" w:afterAutospacing="0" w:line="480" w:lineRule="atLeast"/>
        <w:ind w:left="45" w:right="45" w:firstLine="480"/>
        <w:jc w:val="both"/>
        <w:rPr>
          <w:rFonts w:ascii="仿宋_GB2312" w:hAnsi="微软雅黑" w:eastAsia="仿宋_GB2312"/>
          <w:b/>
          <w:color w:val="090909"/>
          <w:sz w:val="32"/>
          <w:szCs w:val="32"/>
        </w:rPr>
      </w:pPr>
      <w:r>
        <w:rPr>
          <w:rFonts w:hint="eastAsia" w:ascii="仿宋_GB2312" w:hAnsi="微软雅黑" w:eastAsia="仿宋_GB2312"/>
          <w:b/>
          <w:color w:val="090909"/>
          <w:sz w:val="32"/>
          <w:szCs w:val="32"/>
        </w:rPr>
        <w:t>（二）机构职能。</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1.负责全区党的组织体系、组织制度建设，负责基层党组织建设规划指导和党员队伍宏观管理，指导开展党员教育工作。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3.负责管理全区公务员工作。牵头拟订和组织实施公务员管理政策，承担公务员录用、调配、考核、奖惩、培训、监督、工资福利等工作，指导公务员绩效管理工作。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4.负责全区人才工作的宏观指导、组织协调和督促检查，牵头推进人才发展体制机制改革和政策创新，牵头推进校（院、企）地战略合作、人才对外开放、党委联系服务专家工作，统筹实施重大人才工程和人才表彰奖励。</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5.负责全区干部教育培训工作的宏观指导、政策规划、组织协调和督促检查，负责区重点培训项目的策划、实施和管理，指导全区干部教育培训基地建设管理、师资队伍建设等工作。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6.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7.负责管理全区直属机关党建工作。指导区直机关党组织党的思想、组织、作风建设和党员的教育、管理工作，研究提出加强和改进机关党的建设的意见和建议。</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9.负责全区非公有制经济组织和社会组织党建工作。牵头产业园区党建工作，指导新兴领域、新兴业态党建工作，研究非公有制经济组织和社会组织党的基层组织建设的政策规定。</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10.归口管理区委机构编制委员会办公室。</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11.承担区委党建领导小组、区人才工作领导小组日常工</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12.完成区委交办的其他任务。</w:t>
      </w:r>
    </w:p>
    <w:p>
      <w:pPr>
        <w:ind w:firstLine="642" w:firstLineChars="200"/>
        <w:rPr>
          <w:rFonts w:ascii="仿宋_GB2312" w:hAnsi="微软雅黑" w:eastAsia="仿宋_GB2312"/>
          <w:b/>
          <w:color w:val="090909"/>
          <w:sz w:val="32"/>
          <w:szCs w:val="32"/>
        </w:rPr>
      </w:pPr>
      <w:r>
        <w:rPr>
          <w:rFonts w:hint="eastAsia" w:ascii="仿宋_GB2312" w:hAnsi="微软雅黑" w:eastAsia="仿宋_GB2312"/>
          <w:b/>
          <w:color w:val="090909"/>
          <w:sz w:val="32"/>
          <w:szCs w:val="32"/>
        </w:rPr>
        <w:t>（三）人员概况。</w:t>
      </w:r>
    </w:p>
    <w:p>
      <w:pPr>
        <w:snapToGrid w:val="0"/>
        <w:spacing w:line="576" w:lineRule="exact"/>
        <w:ind w:firstLine="640" w:firstLineChars="200"/>
        <w:rPr>
          <w:rFonts w:ascii="华文仿宋" w:hAnsi="华文仿宋" w:eastAsia="华文仿宋" w:cs="仿宋_GB2312"/>
          <w:sz w:val="28"/>
          <w:szCs w:val="32"/>
        </w:rPr>
      </w:pPr>
      <w:r>
        <w:rPr>
          <w:rFonts w:hint="eastAsia" w:ascii="仿宋_GB2312" w:eastAsia="仿宋_GB2312"/>
          <w:sz w:val="32"/>
          <w:szCs w:val="32"/>
        </w:rPr>
        <w:t>总编制100名，其中行政编制23名，参公事业编制12名，全额事业编制64人（含专职村支书编制54人），工勤编制1名。2020年末实有在职人员总数39人，其中行政人员19人，参公事业编制5人，全额补助事业编制14人，工勤人员1人。</w:t>
      </w:r>
    </w:p>
    <w:p>
      <w:pPr>
        <w:pStyle w:val="13"/>
        <w:shd w:val="clear" w:color="auto" w:fill="FFFFFF"/>
        <w:spacing w:before="162" w:beforeAutospacing="0" w:after="150" w:afterAutospacing="0" w:line="480" w:lineRule="atLeast"/>
        <w:ind w:left="44" w:leftChars="21" w:right="45" w:firstLine="639" w:firstLineChars="199"/>
        <w:jc w:val="both"/>
        <w:rPr>
          <w:rFonts w:asciiTheme="majorEastAsia" w:hAnsiTheme="majorEastAsia" w:eastAsiaTheme="majorEastAsia"/>
          <w:b/>
          <w:color w:val="090909"/>
          <w:sz w:val="32"/>
          <w:szCs w:val="32"/>
        </w:rPr>
      </w:pPr>
      <w:r>
        <w:rPr>
          <w:rFonts w:hint="eastAsia" w:asciiTheme="majorEastAsia" w:hAnsiTheme="majorEastAsia" w:eastAsiaTheme="majorEastAsia"/>
          <w:b/>
          <w:color w:val="090909"/>
          <w:sz w:val="32"/>
          <w:szCs w:val="32"/>
        </w:rPr>
        <w:t>二、部门财政资金收支情况</w:t>
      </w:r>
    </w:p>
    <w:p>
      <w:pPr>
        <w:pStyle w:val="13"/>
        <w:shd w:val="clear" w:color="auto" w:fill="FFFFFF"/>
        <w:spacing w:before="162" w:beforeAutospacing="0" w:after="150" w:afterAutospacing="0" w:line="480" w:lineRule="atLeast"/>
        <w:ind w:left="45" w:right="45" w:firstLine="480"/>
        <w:jc w:val="both"/>
        <w:rPr>
          <w:rFonts w:ascii="仿宋_GB2312" w:hAnsi="微软雅黑" w:eastAsia="仿宋_GB2312"/>
          <w:b/>
          <w:color w:val="090909"/>
          <w:sz w:val="32"/>
          <w:szCs w:val="32"/>
        </w:rPr>
      </w:pPr>
      <w:r>
        <w:rPr>
          <w:rFonts w:hint="eastAsia" w:ascii="仿宋_GB2312" w:hAnsi="微软雅黑" w:eastAsia="仿宋_GB2312"/>
          <w:b/>
          <w:color w:val="090909"/>
          <w:sz w:val="32"/>
          <w:szCs w:val="32"/>
        </w:rPr>
        <w:t>（一）部门财政资金收入情况。</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2020年度本单位收入总计1272.56万元，其中当年财政拨款收入合计1020.75万元，年初结转和结余51.81万元，</w:t>
      </w:r>
      <w:r>
        <w:rPr>
          <w:rFonts w:hint="eastAsia" w:ascii="仿宋_GB2312" w:hAnsi="微软雅黑" w:eastAsia="仿宋_GB2312"/>
          <w:color w:val="090909"/>
          <w:sz w:val="32"/>
          <w:szCs w:val="32"/>
        </w:rPr>
        <w:t>均为财政拨款收入。</w:t>
      </w:r>
    </w:p>
    <w:p>
      <w:pPr>
        <w:pStyle w:val="13"/>
        <w:shd w:val="clear" w:color="auto" w:fill="FFFFFF"/>
        <w:spacing w:before="162" w:beforeAutospacing="0" w:after="150" w:afterAutospacing="0" w:line="480" w:lineRule="atLeast"/>
        <w:ind w:left="44" w:leftChars="21" w:right="45" w:firstLine="639" w:firstLineChars="199"/>
        <w:jc w:val="both"/>
        <w:rPr>
          <w:rFonts w:ascii="仿宋_GB2312" w:hAnsi="微软雅黑" w:eastAsia="仿宋_GB2312"/>
          <w:b/>
          <w:color w:val="090909"/>
          <w:sz w:val="32"/>
          <w:szCs w:val="32"/>
        </w:rPr>
      </w:pPr>
      <w:r>
        <w:rPr>
          <w:rFonts w:hint="eastAsia" w:ascii="仿宋_GB2312" w:hAnsi="微软雅黑" w:eastAsia="仿宋_GB2312"/>
          <w:b/>
          <w:color w:val="090909"/>
          <w:sz w:val="32"/>
          <w:szCs w:val="32"/>
        </w:rPr>
        <w:t>（二）部门财政资金支出情况。</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2020年本年支出合计789.05万元，其中：基本支出572.4万元（人员经费504.77万元，公用经费67.63万元），项目支出216.65万元。</w:t>
      </w:r>
    </w:p>
    <w:p>
      <w:pPr>
        <w:pStyle w:val="13"/>
        <w:shd w:val="clear" w:color="auto" w:fill="FFFFFF"/>
        <w:spacing w:before="162" w:beforeAutospacing="0" w:after="150" w:afterAutospacing="0" w:line="480" w:lineRule="atLeast"/>
        <w:ind w:left="44" w:leftChars="21" w:right="45" w:firstLine="639" w:firstLineChars="199"/>
        <w:jc w:val="both"/>
        <w:rPr>
          <w:rFonts w:asciiTheme="majorEastAsia" w:hAnsiTheme="majorEastAsia" w:eastAsiaTheme="majorEastAsia"/>
          <w:b/>
          <w:color w:val="090909"/>
          <w:sz w:val="32"/>
          <w:szCs w:val="32"/>
        </w:rPr>
      </w:pPr>
      <w:r>
        <w:rPr>
          <w:rFonts w:hint="eastAsia" w:asciiTheme="majorEastAsia" w:hAnsiTheme="majorEastAsia" w:eastAsiaTheme="majorEastAsia"/>
          <w:b/>
          <w:color w:val="090909"/>
          <w:sz w:val="32"/>
          <w:szCs w:val="32"/>
        </w:rPr>
        <w:t>三、部门整体预算绩效管理情况</w:t>
      </w:r>
    </w:p>
    <w:p>
      <w:pPr>
        <w:pStyle w:val="13"/>
        <w:shd w:val="clear" w:color="auto" w:fill="FFFFFF"/>
        <w:spacing w:before="162" w:beforeAutospacing="0" w:after="150" w:afterAutospacing="0" w:line="480" w:lineRule="atLeast"/>
        <w:ind w:left="45" w:right="45" w:firstLine="480"/>
        <w:jc w:val="both"/>
        <w:rPr>
          <w:rFonts w:ascii="仿宋_GB2312" w:hAnsi="微软雅黑" w:eastAsia="仿宋_GB2312"/>
          <w:b/>
          <w:color w:val="090909"/>
          <w:sz w:val="32"/>
          <w:szCs w:val="32"/>
        </w:rPr>
      </w:pPr>
      <w:r>
        <w:rPr>
          <w:rFonts w:hint="eastAsia" w:ascii="仿宋_GB2312" w:hAnsi="微软雅黑" w:eastAsia="仿宋_GB2312"/>
          <w:b/>
          <w:color w:val="090909"/>
          <w:sz w:val="32"/>
          <w:szCs w:val="32"/>
        </w:rPr>
        <w:t>（一）部门预算管理。</w:t>
      </w:r>
    </w:p>
    <w:p>
      <w:pPr>
        <w:widowControl/>
        <w:shd w:val="clear" w:color="auto" w:fill="FFFFFF"/>
        <w:spacing w:after="150" w:line="480" w:lineRule="atLeast"/>
        <w:ind w:left="45" w:right="45" w:firstLine="480"/>
        <w:rPr>
          <w:rFonts w:ascii="仿宋_GB2312" w:hAnsi="仿宋" w:eastAsia="仿宋_GB2312"/>
          <w:color w:val="000000"/>
          <w:sz w:val="32"/>
          <w:szCs w:val="32"/>
        </w:rPr>
      </w:pPr>
      <w:r>
        <w:rPr>
          <w:rFonts w:hint="eastAsia" w:ascii="仿宋_GB2312" w:hAnsi="仿宋" w:eastAsia="仿宋_GB2312"/>
          <w:b/>
          <w:color w:val="000000"/>
          <w:sz w:val="32"/>
          <w:szCs w:val="32"/>
        </w:rPr>
        <w:t>1.预算编制情况</w:t>
      </w:r>
      <w:r>
        <w:rPr>
          <w:rFonts w:hint="eastAsia" w:ascii="仿宋_GB2312" w:hAnsi="仿宋" w:eastAsia="仿宋_GB2312"/>
          <w:color w:val="000000"/>
          <w:sz w:val="32"/>
          <w:szCs w:val="32"/>
        </w:rPr>
        <w:t>。2020年部门预算项目绩效目标主要围绕当年组织工作要点，根据项目性质设置，包括项目完成指标、效益指标和满意度指标。各项目绩效目标设置均满足要素完整、细化量化的要求。</w:t>
      </w:r>
    </w:p>
    <w:p>
      <w:pPr>
        <w:spacing w:line="60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2.决算编制情况</w:t>
      </w:r>
      <w:r>
        <w:rPr>
          <w:rFonts w:hint="eastAsia" w:ascii="仿宋_GB2312" w:hAnsi="仿宋" w:eastAsia="仿宋_GB2312"/>
          <w:color w:val="000000"/>
          <w:sz w:val="32"/>
          <w:szCs w:val="32"/>
        </w:rPr>
        <w:t>。按财政要求编制决算：本着真实、准确、帐表相符的原则，将全部预算项目纳入决算编制范围，编制了《2020决算报告》和《决算报表说明》。</w:t>
      </w:r>
    </w:p>
    <w:p>
      <w:pPr>
        <w:spacing w:line="60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3.执行管理情况。</w:t>
      </w:r>
      <w:r>
        <w:rPr>
          <w:rFonts w:hint="eastAsia" w:ascii="仿宋_GB2312" w:hAnsi="仿宋" w:eastAsia="仿宋_GB2312"/>
          <w:color w:val="000000"/>
          <w:sz w:val="32"/>
          <w:szCs w:val="32"/>
        </w:rPr>
        <w:t>2020年按财政年初下达的资金计划进度申请资金拨付，2020年6月、11月的预算执行进度分别为11.5%、45.64%。</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4.支出绩效情况。</w:t>
      </w:r>
      <w:r>
        <w:rPr>
          <w:rFonts w:hint="eastAsia" w:ascii="仿宋_GB2312" w:hAnsi="仿宋" w:eastAsia="仿宋_GB2312"/>
          <w:color w:val="000000"/>
          <w:sz w:val="32"/>
          <w:szCs w:val="32"/>
        </w:rPr>
        <w:t>在资金使用中，严格按照资金预算编制用途和拨付流程进行拨付。本年度接受了财政部门检查，无徇私舞弊、滥用资金等违规违纪行为发生。</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（二）绩效结果应用情况。</w:t>
      </w:r>
    </w:p>
    <w:p>
      <w:pPr>
        <w:widowControl/>
        <w:shd w:val="clear" w:color="auto" w:fill="FFFFFF"/>
        <w:spacing w:after="150" w:line="480" w:lineRule="atLeast"/>
        <w:ind w:left="45" w:right="45" w:firstLine="480"/>
        <w:rPr>
          <w:rFonts w:ascii="仿宋_GB2312" w:hAnsi="仿宋" w:eastAsia="仿宋_GB2312"/>
          <w:color w:val="000000"/>
          <w:sz w:val="32"/>
          <w:szCs w:val="32"/>
        </w:rPr>
      </w:pPr>
      <w:r>
        <w:rPr>
          <w:rFonts w:hint="eastAsia" w:ascii="仿宋_GB2312" w:hAnsi="仿宋" w:eastAsia="仿宋_GB2312"/>
          <w:color w:val="000000"/>
          <w:sz w:val="32"/>
          <w:szCs w:val="32"/>
        </w:rPr>
        <w:t>1.自评公开。2020年，部门绩效目标与当年预算由区财政局统一在利州区门户网站公开，2019年部门整体预算绩效自评报告与当年决算同在利州区门户网站公开。公开的范围、内容等均符合《预算法》及区人大预算工委、区财政局有关规定。</w:t>
      </w:r>
    </w:p>
    <w:p>
      <w:pPr>
        <w:widowControl/>
        <w:shd w:val="clear" w:color="auto" w:fill="FFFFFF"/>
        <w:spacing w:after="150" w:line="480" w:lineRule="atLeast"/>
        <w:ind w:left="45" w:right="45" w:firstLine="480"/>
        <w:rPr>
          <w:rFonts w:ascii="仿宋_GB2312" w:hAnsi="仿宋" w:eastAsia="仿宋_GB2312"/>
          <w:color w:val="000000"/>
          <w:sz w:val="32"/>
          <w:szCs w:val="32"/>
        </w:rPr>
      </w:pPr>
      <w:r>
        <w:rPr>
          <w:rFonts w:hint="eastAsia" w:ascii="仿宋_GB2312" w:hAnsi="仿宋" w:eastAsia="仿宋_GB2312"/>
          <w:color w:val="000000"/>
          <w:sz w:val="32"/>
          <w:szCs w:val="32"/>
        </w:rPr>
        <w:t>2.整改反馈。2020年，我部严格按照财政局文件要求编制和审核绩效目标，进行绩效监控，开展绩效评价，未收到外单位对我部绩效管理提出任何问题。我部在审核各股（室、中心）绩效目标、开展绩效监控和评价的过程中，对目标编制的合理性、完整性、准确性提出修改意见，要求各相关股室根据监控结果及时纠偏或调整预算，督促其对绩效评价提出的问题及时完善政策、改进管理、整改落实，对绩效不佳的项目适当调减预算等，根据绩效管理结果扎实地推进了问题整改落实工作。</w:t>
      </w:r>
    </w:p>
    <w:p>
      <w:pPr>
        <w:pStyle w:val="13"/>
        <w:shd w:val="clear" w:color="auto" w:fill="FFFFFF"/>
        <w:spacing w:before="162" w:beforeAutospacing="0" w:after="150" w:afterAutospacing="0" w:line="480" w:lineRule="atLeast"/>
        <w:ind w:left="44" w:leftChars="21" w:right="45" w:firstLine="640" w:firstLineChars="200"/>
        <w:jc w:val="both"/>
        <w:rPr>
          <w:rFonts w:ascii="方正小标宋简体" w:hAnsi="微软雅黑" w:eastAsia="方正小标宋简体"/>
          <w:color w:val="090909"/>
          <w:sz w:val="32"/>
          <w:szCs w:val="32"/>
        </w:rPr>
      </w:pPr>
      <w:r>
        <w:rPr>
          <w:rFonts w:hint="eastAsia" w:ascii="方正小标宋简体" w:hAnsi="微软雅黑" w:eastAsia="方正小标宋简体"/>
          <w:color w:val="090909"/>
          <w:sz w:val="32"/>
          <w:szCs w:val="32"/>
        </w:rPr>
        <w:t>四、评价结论及建议</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总体来看， 2020年度区委组织部在部门绩效目标制定、目标完成、预算编制准确、支出控制、预算动态调整、执行进度、预算完成都严格按照各项制度和规定按时保质完成，部门综合管理有序，专项项目规划合理，项目实施效果明显，但同时也存在</w:t>
      </w:r>
      <w:r>
        <w:rPr>
          <w:rFonts w:ascii="仿宋_GB2312" w:hAnsi="仿宋" w:eastAsia="仿宋_GB2312"/>
          <w:color w:val="000000"/>
          <w:sz w:val="32"/>
          <w:szCs w:val="32"/>
        </w:rPr>
        <w:t>质量效益指标难以量化，评价难度较大</w:t>
      </w:r>
      <w:r>
        <w:rPr>
          <w:rFonts w:hint="eastAsia" w:ascii="仿宋_GB2312" w:hAnsi="仿宋" w:eastAsia="仿宋_GB2312"/>
          <w:color w:val="000000"/>
          <w:sz w:val="32"/>
          <w:szCs w:val="32"/>
        </w:rPr>
        <w:t>的问题，个别项目资金使用受制于该项目启动的必经流程和相对固定的时间安排等因素，影响了部门整体预算执行进度。</w:t>
      </w:r>
    </w:p>
    <w:p>
      <w:pPr>
        <w:spacing w:line="58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下一步改进措施：一是进一步</w:t>
      </w:r>
      <w:r>
        <w:rPr>
          <w:rFonts w:ascii="仿宋_GB2312" w:hAnsi="仿宋" w:eastAsia="仿宋_GB2312"/>
          <w:color w:val="000000"/>
          <w:sz w:val="32"/>
          <w:szCs w:val="32"/>
        </w:rPr>
        <w:t>探索建立更加科学、合理的绩效评价体系</w:t>
      </w:r>
      <w:r>
        <w:rPr>
          <w:rFonts w:hint="eastAsia" w:ascii="仿宋_GB2312" w:hAnsi="仿宋" w:eastAsia="仿宋_GB2312"/>
          <w:color w:val="000000"/>
          <w:sz w:val="32"/>
          <w:szCs w:val="32"/>
        </w:rPr>
        <w:t>，加强绩效结果应用。二是加快项目实施进度，合理安排预算执行，强化预算执行进度考核。三是进一步加强预算绩效动态监控工作，</w:t>
      </w:r>
      <w:r>
        <w:rPr>
          <w:rFonts w:ascii="仿宋_GB2312" w:hAnsi="仿宋" w:eastAsia="仿宋_GB2312"/>
          <w:color w:val="000000"/>
          <w:sz w:val="32"/>
          <w:szCs w:val="32"/>
        </w:rPr>
        <w:t>根据支出进度及时调整预算</w:t>
      </w:r>
      <w:r>
        <w:rPr>
          <w:rFonts w:hint="eastAsia" w:ascii="仿宋_GB2312" w:hAnsi="仿宋" w:eastAsia="仿宋_GB2312"/>
          <w:color w:val="000000"/>
          <w:sz w:val="32"/>
          <w:szCs w:val="32"/>
        </w:rPr>
        <w:t>。</w:t>
      </w:r>
    </w:p>
    <w:p>
      <w:pPr>
        <w:spacing w:line="600" w:lineRule="exact"/>
        <w:jc w:val="center"/>
        <w:outlineLvl w:val="0"/>
        <w:rPr>
          <w:rFonts w:ascii="方正小标宋简体" w:hAnsi="黑体" w:eastAsia="方正小标宋简体"/>
          <w:bCs/>
          <w:kern w:val="44"/>
          <w:sz w:val="32"/>
          <w:szCs w:val="32"/>
        </w:rPr>
      </w:pPr>
      <w:r>
        <w:rPr>
          <w:rFonts w:hint="eastAsia" w:ascii="黑体" w:hAnsi="黑体" w:eastAsia="黑体"/>
          <w:color w:val="000000"/>
          <w:sz w:val="32"/>
          <w:szCs w:val="32"/>
        </w:rPr>
        <w:t>2020年部门整体支出绩效评价情况表</w:t>
      </w:r>
    </w:p>
    <w:tbl>
      <w:tblPr>
        <w:tblStyle w:val="15"/>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664"/>
        <w:gridCol w:w="398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4" w:type="pc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1511" w:type="pct"/>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2261" w:type="pct"/>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414" w:type="pc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14" w:type="pct"/>
            <w:vMerge w:val="restart"/>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部门决策</w:t>
            </w:r>
          </w:p>
          <w:p>
            <w:pPr>
              <w:widowControl/>
              <w:rPr>
                <w:rFonts w:ascii="宋体" w:hAnsi="宋体" w:cs="宋体"/>
                <w:color w:val="000000"/>
                <w:kern w:val="0"/>
                <w:sz w:val="22"/>
                <w:szCs w:val="21"/>
              </w:rPr>
            </w:pPr>
            <w:r>
              <w:rPr>
                <w:rFonts w:hint="eastAsia" w:ascii="宋体" w:hAnsi="宋体" w:cs="宋体"/>
                <w:color w:val="000000"/>
                <w:kern w:val="0"/>
                <w:sz w:val="22"/>
                <w:szCs w:val="21"/>
              </w:rPr>
              <w:t>（25分）</w:t>
            </w:r>
          </w:p>
        </w:tc>
        <w:tc>
          <w:tcPr>
            <w:tcW w:w="1511" w:type="pct"/>
            <w:vMerge w:val="restart"/>
            <w:tcBorders>
              <w:bottom w:val="nil"/>
            </w:tcBorders>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目标任务（15分）</w:t>
            </w:r>
          </w:p>
        </w:tc>
        <w:tc>
          <w:tcPr>
            <w:tcW w:w="2261" w:type="pct"/>
            <w:tcBorders>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相关性（5分）</w:t>
            </w:r>
          </w:p>
        </w:tc>
        <w:tc>
          <w:tcPr>
            <w:tcW w:w="414" w:type="pct"/>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4" w:type="pct"/>
            <w:vMerge w:val="continue"/>
            <w:vAlign w:val="center"/>
          </w:tcPr>
          <w:p>
            <w:pPr>
              <w:widowControl/>
              <w:rPr>
                <w:rFonts w:ascii="宋体" w:hAnsi="宋体" w:cs="宋体"/>
                <w:color w:val="000000"/>
                <w:kern w:val="0"/>
                <w:sz w:val="22"/>
                <w:szCs w:val="21"/>
              </w:rPr>
            </w:pPr>
          </w:p>
        </w:tc>
        <w:tc>
          <w:tcPr>
            <w:tcW w:w="1511" w:type="pct"/>
            <w:vMerge w:val="continue"/>
            <w:tcBorders>
              <w:top w:val="nil"/>
              <w:bottom w:val="nil"/>
            </w:tcBorders>
            <w:vAlign w:val="center"/>
          </w:tcPr>
          <w:p>
            <w:pPr>
              <w:widowControl/>
              <w:rPr>
                <w:rFonts w:ascii="宋体" w:hAnsi="宋体" w:cs="宋体"/>
                <w:color w:val="000000"/>
                <w:kern w:val="0"/>
                <w:sz w:val="22"/>
                <w:szCs w:val="21"/>
              </w:rPr>
            </w:pPr>
          </w:p>
        </w:tc>
        <w:tc>
          <w:tcPr>
            <w:tcW w:w="2261" w:type="pct"/>
            <w:tcBorders>
              <w:top w:val="single" w:color="auto" w:sz="4" w:space="0"/>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明确性（5分）</w:t>
            </w:r>
          </w:p>
        </w:tc>
        <w:tc>
          <w:tcPr>
            <w:tcW w:w="414" w:type="pct"/>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4" w:type="pct"/>
            <w:vMerge w:val="continue"/>
            <w:vAlign w:val="center"/>
          </w:tcPr>
          <w:p>
            <w:pPr>
              <w:widowControl/>
              <w:rPr>
                <w:rFonts w:ascii="宋体" w:hAnsi="宋体" w:cs="宋体"/>
                <w:color w:val="000000"/>
                <w:kern w:val="0"/>
                <w:sz w:val="22"/>
                <w:szCs w:val="21"/>
              </w:rPr>
            </w:pPr>
          </w:p>
        </w:tc>
        <w:tc>
          <w:tcPr>
            <w:tcW w:w="1511" w:type="pct"/>
            <w:vMerge w:val="continue"/>
            <w:tcBorders>
              <w:top w:val="nil"/>
            </w:tcBorders>
            <w:vAlign w:val="center"/>
          </w:tcPr>
          <w:p>
            <w:pPr>
              <w:widowControl/>
              <w:rPr>
                <w:rFonts w:ascii="宋体" w:hAnsi="宋体" w:cs="宋体"/>
                <w:color w:val="000000"/>
                <w:kern w:val="0"/>
                <w:sz w:val="22"/>
                <w:szCs w:val="21"/>
              </w:rPr>
            </w:pPr>
          </w:p>
        </w:tc>
        <w:tc>
          <w:tcPr>
            <w:tcW w:w="2261" w:type="pct"/>
            <w:tcBorders>
              <w:top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合理性（5分）</w:t>
            </w:r>
          </w:p>
        </w:tc>
        <w:tc>
          <w:tcPr>
            <w:tcW w:w="414" w:type="pct"/>
          </w:tcPr>
          <w:p>
            <w:pPr>
              <w:widowControl/>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14" w:type="pct"/>
            <w:vMerge w:val="continue"/>
            <w:vAlign w:val="center"/>
          </w:tcPr>
          <w:p>
            <w:pPr>
              <w:widowControl/>
              <w:jc w:val="center"/>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预算编制（10分）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测算依据（5分）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目标管理（5分）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814" w:type="pct"/>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综合管理</w:t>
            </w:r>
          </w:p>
          <w:p>
            <w:pPr>
              <w:widowControl/>
              <w:jc w:val="center"/>
              <w:rPr>
                <w:rFonts w:ascii="宋体" w:hAnsi="宋体" w:cs="宋体"/>
                <w:color w:val="000000"/>
                <w:kern w:val="0"/>
                <w:sz w:val="22"/>
                <w:szCs w:val="21"/>
              </w:rPr>
            </w:pPr>
            <w:r>
              <w:rPr>
                <w:rFonts w:hint="eastAsia" w:ascii="宋体" w:hAnsi="宋体" w:cs="宋体"/>
                <w:color w:val="000000"/>
                <w:kern w:val="0"/>
                <w:sz w:val="22"/>
                <w:szCs w:val="21"/>
              </w:rPr>
              <w:t>（30分）</w:t>
            </w: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专项资金分配时限（2分）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本级财力专项预算分配时限（1分）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上级专款分配合规率（1分）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4" w:type="pct"/>
            <w:vMerge w:val="continue"/>
            <w:vAlign w:val="center"/>
          </w:tcPr>
          <w:p>
            <w:pPr>
              <w:jc w:val="center"/>
              <w:rPr>
                <w:rFonts w:ascii="宋体" w:hAnsi="宋体" w:cs="宋体"/>
                <w:color w:val="000000"/>
                <w:kern w:val="0"/>
                <w:sz w:val="22"/>
                <w:szCs w:val="21"/>
              </w:rPr>
            </w:pPr>
          </w:p>
        </w:tc>
        <w:tc>
          <w:tcPr>
            <w:tcW w:w="151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中期评估（2分）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执行中期评估（2分）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绩效监控（5分）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预算执行进度监控（2分）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绩效目标动态监控（3分）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资产管理（6分）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资产管理信息化情况（2分）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行政事业单位资产报告情况（2分）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14" w:type="pct"/>
            <w:vMerge w:val="continue"/>
            <w:vAlign w:val="center"/>
          </w:tcPr>
          <w:p>
            <w:pPr>
              <w:jc w:val="center"/>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资产管理与预算管理相结合（2分）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14" w:type="pct"/>
            <w:vMerge w:val="continue"/>
            <w:vAlign w:val="center"/>
          </w:tcPr>
          <w:p>
            <w:pPr>
              <w:widowControl/>
              <w:jc w:val="center"/>
              <w:rPr>
                <w:rFonts w:ascii="宋体" w:hAnsi="宋体" w:cs="宋体"/>
                <w:color w:val="000000"/>
                <w:kern w:val="0"/>
                <w:sz w:val="22"/>
                <w:szCs w:val="21"/>
              </w:rPr>
            </w:pPr>
          </w:p>
        </w:tc>
        <w:tc>
          <w:tcPr>
            <w:tcW w:w="151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内控制度管理（4分）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内部控制度健全完整（4分）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信息公开（6分）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预算公开（2分）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决算公开（2分）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绩效信息公开（2分）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绩效评价（5分）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绩效评价开展（2分）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评价结果应用（3分）</w:t>
            </w:r>
          </w:p>
        </w:tc>
        <w:tc>
          <w:tcPr>
            <w:tcW w:w="414" w:type="pct"/>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14" w:type="pct"/>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部门绩效情况（45分）</w:t>
            </w:r>
          </w:p>
          <w:p>
            <w:pPr>
              <w:widowControl/>
              <w:jc w:val="center"/>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p>
          <w:p>
            <w:pPr>
              <w:rPr>
                <w:rFonts w:ascii="宋体" w:hAnsi="宋体" w:cs="宋体"/>
                <w:color w:val="000000"/>
                <w:kern w:val="0"/>
                <w:sz w:val="22"/>
                <w:szCs w:val="21"/>
              </w:rPr>
            </w:pPr>
            <w:r>
              <w:rPr>
                <w:rFonts w:hint="eastAsia" w:ascii="宋体" w:hAnsi="宋体" w:cs="宋体"/>
                <w:color w:val="000000"/>
                <w:kern w:val="0"/>
                <w:sz w:val="22"/>
                <w:szCs w:val="21"/>
              </w:rPr>
              <w:t>部门职责履行结果（25分）</w:t>
            </w:r>
          </w:p>
          <w:p>
            <w:pPr>
              <w:widowControl/>
              <w:spacing w:line="320" w:lineRule="exact"/>
              <w:jc w:val="left"/>
              <w:rPr>
                <w:rFonts w:ascii="宋体" w:hAnsi="宋体" w:cs="宋体"/>
                <w:color w:val="000000"/>
                <w:kern w:val="0"/>
                <w:sz w:val="22"/>
                <w:szCs w:val="21"/>
              </w:rPr>
            </w:pPr>
          </w:p>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基层组织建设（5分）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党员干部队伍建设（5分）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党建促脱贫攻坚及乡村振兴（5分）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人才工作（5分）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老干部工作（5分）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重点项目绩效评价结果（10分）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评价项目覆盖率4分）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评价结果报告（3分）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整改完成率（3分）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restart"/>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满意度（10分）</w:t>
            </w: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协作部门满意度（3分）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14" w:type="pct"/>
            <w:vMerge w:val="continue"/>
            <w:vAlign w:val="center"/>
          </w:tcPr>
          <w:p>
            <w:pPr>
              <w:jc w:val="left"/>
              <w:rPr>
                <w:rFonts w:ascii="宋体" w:hAnsi="宋体" w:cs="宋体"/>
                <w:color w:val="000000"/>
                <w:kern w:val="0"/>
                <w:sz w:val="22"/>
                <w:szCs w:val="21"/>
              </w:rPr>
            </w:pPr>
          </w:p>
        </w:tc>
        <w:tc>
          <w:tcPr>
            <w:tcW w:w="1511" w:type="pct"/>
            <w:vMerge w:val="continue"/>
            <w:vAlign w:val="center"/>
          </w:tcPr>
          <w:p>
            <w:pPr>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管理对象满意度（3分）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14" w:type="pct"/>
            <w:vMerge w:val="continue"/>
            <w:vAlign w:val="center"/>
          </w:tcPr>
          <w:p>
            <w:pPr>
              <w:widowControl/>
              <w:jc w:val="left"/>
              <w:rPr>
                <w:rFonts w:ascii="宋体" w:hAnsi="宋体" w:cs="宋体"/>
                <w:color w:val="000000"/>
                <w:kern w:val="0"/>
                <w:sz w:val="22"/>
                <w:szCs w:val="21"/>
              </w:rPr>
            </w:pPr>
          </w:p>
        </w:tc>
        <w:tc>
          <w:tcPr>
            <w:tcW w:w="1511" w:type="pct"/>
            <w:vMerge w:val="continue"/>
            <w:vAlign w:val="center"/>
          </w:tcPr>
          <w:p>
            <w:pPr>
              <w:widowControl/>
              <w:spacing w:line="320" w:lineRule="exact"/>
              <w:jc w:val="left"/>
              <w:rPr>
                <w:rFonts w:ascii="宋体" w:hAnsi="宋体" w:cs="宋体"/>
                <w:color w:val="000000"/>
                <w:kern w:val="0"/>
                <w:sz w:val="22"/>
                <w:szCs w:val="21"/>
              </w:rPr>
            </w:pPr>
          </w:p>
        </w:tc>
        <w:tc>
          <w:tcPr>
            <w:tcW w:w="2261" w:type="pc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社会公众满意度（4分）</w:t>
            </w:r>
          </w:p>
        </w:tc>
        <w:tc>
          <w:tcPr>
            <w:tcW w:w="414" w:type="pct"/>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bl>
    <w:p>
      <w:pPr>
        <w:spacing w:line="580" w:lineRule="exact"/>
        <w:ind w:firstLine="640" w:firstLineChars="200"/>
        <w:rPr>
          <w:rFonts w:ascii="仿宋_GB2312" w:hAnsi="宋体" w:eastAsia="仿宋_GB2312"/>
          <w:sz w:val="32"/>
          <w:szCs w:val="32"/>
          <w:lang w:val="zh-CN"/>
        </w:rPr>
      </w:pPr>
      <w:bookmarkStart w:id="58" w:name="_Toc15396618"/>
    </w:p>
    <w:p>
      <w:pPr>
        <w:widowControl/>
        <w:jc w:val="left"/>
        <w:rPr>
          <w:rFonts w:ascii="仿宋_GB2312" w:hAnsi="宋体" w:eastAsia="仿宋_GB2312"/>
          <w:sz w:val="32"/>
          <w:szCs w:val="32"/>
          <w:lang w:val="zh-CN"/>
        </w:rPr>
      </w:pPr>
      <w:r>
        <w:rPr>
          <w:rFonts w:ascii="仿宋_GB2312" w:hAnsi="宋体" w:eastAsia="仿宋_GB2312"/>
          <w:sz w:val="32"/>
          <w:szCs w:val="32"/>
          <w:lang w:val="zh-CN"/>
        </w:rPr>
        <w:br w:type="page"/>
      </w:r>
      <w:r>
        <w:rPr>
          <w:rFonts w:hint="eastAsia" w:ascii="仿宋_GB2312" w:hAnsi="宋体" w:eastAsia="仿宋_GB2312"/>
          <w:sz w:val="32"/>
          <w:szCs w:val="32"/>
          <w:lang w:val="zh-CN"/>
        </w:rPr>
        <w:t>附件2：</w:t>
      </w:r>
    </w:p>
    <w:p>
      <w:pPr>
        <w:spacing w:line="600" w:lineRule="exact"/>
        <w:jc w:val="center"/>
        <w:rPr>
          <w:rFonts w:ascii="方正小标宋简体" w:hAnsi="宋体" w:eastAsia="方正小标宋简体"/>
          <w:color w:val="000000"/>
          <w:kern w:val="0"/>
          <w:sz w:val="32"/>
          <w:szCs w:val="32"/>
          <w:lang w:val="zh-CN"/>
        </w:rPr>
      </w:pPr>
      <w:r>
        <w:rPr>
          <w:rFonts w:hint="eastAsia" w:ascii="方正小标宋简体" w:hAnsi="宋体" w:eastAsia="方正小标宋简体"/>
          <w:color w:val="000000"/>
          <w:kern w:val="0"/>
          <w:sz w:val="32"/>
          <w:szCs w:val="32"/>
        </w:rPr>
        <w:t>基层组织建设</w:t>
      </w:r>
      <w:r>
        <w:rPr>
          <w:rFonts w:hint="eastAsia" w:ascii="方正小标宋简体" w:hAnsi="宋体" w:eastAsia="方正小标宋简体"/>
          <w:color w:val="000000"/>
          <w:kern w:val="0"/>
          <w:sz w:val="32"/>
          <w:szCs w:val="32"/>
          <w:lang w:val="zh-CN"/>
        </w:rPr>
        <w:t>项目</w:t>
      </w:r>
      <w:r>
        <w:rPr>
          <w:rFonts w:hint="eastAsia" w:ascii="方正小标宋简体" w:hAnsi="宋体" w:eastAsia="方正小标宋简体"/>
          <w:color w:val="000000"/>
          <w:kern w:val="0"/>
          <w:sz w:val="32"/>
          <w:szCs w:val="32"/>
        </w:rPr>
        <w:t>2020年</w:t>
      </w:r>
      <w:r>
        <w:rPr>
          <w:rFonts w:hint="eastAsia" w:ascii="方正小标宋简体" w:hAnsi="宋体" w:eastAsia="方正小标宋简体"/>
          <w:color w:val="000000"/>
          <w:kern w:val="0"/>
          <w:sz w:val="32"/>
          <w:szCs w:val="32"/>
          <w:lang w:val="zh-CN"/>
        </w:rPr>
        <w:t>绩效评价报告</w:t>
      </w:r>
    </w:p>
    <w:p>
      <w:pPr>
        <w:spacing w:line="600" w:lineRule="exact"/>
        <w:jc w:val="center"/>
        <w:rPr>
          <w:rFonts w:ascii="方正小标宋简体" w:hAnsi="宋体" w:eastAsia="方正小标宋简体"/>
          <w:color w:val="000000"/>
          <w:kern w:val="0"/>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根据区委组织部2020年重点工作任务需要立项，以实际开支情况作为资金申报的依据，由区委组织部负责该项目具体实施、过程监管和事后评价。具体绩效目标为：贯彻落实新时代党的建设总要求，全面落实全国、全省基层党建工作重点任务推进会会议精神，推进各领域党支部标准化建设，严实干部队伍建设、党员发展、党员教育管理等工作，建强基层组织体系，聚焦党建引领城乡基层治理，持续增强基层党组织整治功能和组织力，推动基层党建全面进步全面过硬。</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的组织实施步骤及方法：该项目具体由区委组织部组织一股、组织二股、组织三股、组织三股申报实施，分管业务股室副部长初审，分管财务副部长审批。项目资金预算申报时实行“两上两下”，使用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二、评价结论及建议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项目全年预算数22.2万元，执行数为22.2万元，完成预算的100%。通过项目实施，</w:t>
      </w:r>
      <w:r>
        <w:rPr>
          <w:rFonts w:ascii="仿宋_GB2312" w:hAnsi="仿宋_GB2312" w:eastAsia="仿宋_GB2312" w:cs="仿宋_GB2312"/>
          <w:sz w:val="32"/>
          <w:szCs w:val="32"/>
        </w:rPr>
        <w:t>充分发挥</w:t>
      </w:r>
      <w:r>
        <w:rPr>
          <w:rFonts w:hint="eastAsia" w:ascii="仿宋_GB2312" w:hAnsi="仿宋_GB2312" w:eastAsia="仿宋_GB2312" w:cs="仿宋_GB2312"/>
          <w:sz w:val="32"/>
          <w:szCs w:val="32"/>
        </w:rPr>
        <w:t>出了</w:t>
      </w:r>
      <w:r>
        <w:rPr>
          <w:rFonts w:ascii="仿宋_GB2312" w:hAnsi="仿宋_GB2312" w:eastAsia="仿宋_GB2312" w:cs="仿宋_GB2312"/>
          <w:sz w:val="32"/>
          <w:szCs w:val="32"/>
        </w:rPr>
        <w:t>城市基层党建优势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进一步完善街道、社区、小区三级架构，指导新建小区支部85个</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聚焦重点，抓实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两个示范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。在农村，启动村（社区）党组织评先定级，推进星级化管理，明确创先进村党组织23个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在城市，率先探索编制社区治理规划4个，实施社会组织公益创投项目17个，结合亲民化改造分层分类打造样板和标杆82个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围绕中心，圆满</w:t>
      </w:r>
      <w:r>
        <w:rPr>
          <w:rFonts w:hint="eastAsia" w:ascii="仿宋_GB2312" w:hAnsi="仿宋_GB2312" w:eastAsia="仿宋_GB2312" w:cs="仿宋_GB2312"/>
          <w:sz w:val="32"/>
          <w:szCs w:val="32"/>
        </w:rPr>
        <w:t>完成村</w:t>
      </w:r>
      <w:r>
        <w:rPr>
          <w:rFonts w:ascii="仿宋_GB2312" w:hAnsi="仿宋_GB2312" w:eastAsia="仿宋_GB2312" w:cs="仿宋_GB2312"/>
          <w:sz w:val="32"/>
          <w:szCs w:val="32"/>
        </w:rPr>
        <w:t>级建制调整改革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村（社区）两委换届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脱贫攻坚</w:t>
      </w:r>
      <w:r>
        <w:rPr>
          <w:rFonts w:hint="eastAsia" w:ascii="仿宋_GB2312" w:hAnsi="仿宋_GB2312" w:eastAsia="仿宋_GB2312" w:cs="仿宋_GB2312"/>
          <w:sz w:val="32"/>
          <w:szCs w:val="32"/>
        </w:rPr>
        <w:t>三大任务。本项目完成情况良好。</w:t>
      </w:r>
    </w:p>
    <w:p>
      <w:pPr>
        <w:widowControl/>
        <w:ind w:firstLine="640" w:firstLineChars="200"/>
        <w:jc w:val="left"/>
        <w:rPr>
          <w:rFonts w:ascii="仿宋_GB2312" w:hAnsi="仿宋" w:eastAsia="仿宋_GB2312"/>
          <w:color w:val="000000"/>
          <w:sz w:val="32"/>
          <w:szCs w:val="32"/>
        </w:rPr>
      </w:pPr>
      <w:r>
        <w:rPr>
          <w:rFonts w:hint="eastAsia" w:ascii="仿宋" w:hAnsi="仿宋" w:eastAsia="仿宋" w:cs="仿宋_GB2312"/>
          <w:sz w:val="32"/>
          <w:szCs w:val="32"/>
        </w:rPr>
        <w:t>下一步改进措施：进一步</w:t>
      </w:r>
      <w:r>
        <w:rPr>
          <w:rFonts w:ascii="仿宋_GB2312" w:hAnsi="仿宋" w:eastAsia="仿宋_GB2312"/>
          <w:color w:val="000000"/>
          <w:sz w:val="32"/>
          <w:szCs w:val="32"/>
        </w:rPr>
        <w:t>探索建立更加科学、合理的绩效评价体系</w:t>
      </w:r>
      <w:r>
        <w:rPr>
          <w:rFonts w:hint="eastAsia" w:ascii="仿宋_GB2312" w:hAnsi="仿宋" w:eastAsia="仿宋_GB2312"/>
          <w:color w:val="000000"/>
          <w:sz w:val="32"/>
          <w:szCs w:val="32"/>
        </w:rPr>
        <w:t>，加强绩效结果应用。</w:t>
      </w:r>
    </w:p>
    <w:tbl>
      <w:tblPr>
        <w:tblStyle w:val="15"/>
        <w:tblpPr w:leftFromText="180" w:rightFromText="180" w:vertAnchor="text" w:horzAnchor="page" w:tblpXSpec="center" w:tblpY="423"/>
        <w:tblOverlap w:val="never"/>
        <w:tblW w:w="951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410"/>
        <w:gridCol w:w="157"/>
        <w:gridCol w:w="567"/>
        <w:gridCol w:w="1276"/>
        <w:gridCol w:w="1276"/>
        <w:gridCol w:w="850"/>
        <w:gridCol w:w="2067"/>
        <w:gridCol w:w="9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276" w:type="dxa"/>
            <w:gridSpan w:val="2"/>
          </w:tcPr>
          <w:p>
            <w:pPr>
              <w:widowControl/>
              <w:jc w:val="center"/>
              <w:textAlignment w:val="center"/>
              <w:rPr>
                <w:rFonts w:ascii="宋体" w:hAnsi="宋体" w:cs="宋体"/>
                <w:b/>
                <w:bCs/>
                <w:color w:val="000000"/>
                <w:kern w:val="0"/>
                <w:sz w:val="32"/>
                <w:szCs w:val="32"/>
                <w:lang w:bidi="ar"/>
              </w:rPr>
            </w:pPr>
          </w:p>
        </w:tc>
        <w:tc>
          <w:tcPr>
            <w:tcW w:w="8237" w:type="dxa"/>
            <w:gridSpan w:val="8"/>
            <w:tcMar>
              <w:top w:w="15" w:type="dxa"/>
              <w:left w:w="15" w:type="dxa"/>
              <w:bottom w:w="0" w:type="dxa"/>
              <w:right w:w="15" w:type="dxa"/>
            </w:tcMar>
            <w:vAlign w:val="center"/>
          </w:tcPr>
          <w:p>
            <w:pPr>
              <w:widowControl/>
              <w:jc w:val="center"/>
              <w:textAlignment w:val="center"/>
              <w:rPr>
                <w:rFonts w:ascii="仿宋_GB2312" w:hAnsi="宋体" w:eastAsia="仿宋_GB2312" w:cs="宋体"/>
                <w:b/>
                <w:color w:val="000000"/>
                <w:sz w:val="32"/>
                <w:szCs w:val="32"/>
              </w:rPr>
            </w:pPr>
            <w:r>
              <w:rPr>
                <w:rFonts w:hint="eastAsia" w:ascii="宋体" w:hAnsi="宋体" w:cs="宋体"/>
                <w:b/>
                <w:bCs/>
                <w:color w:val="000000"/>
                <w:kern w:val="0"/>
                <w:sz w:val="32"/>
                <w:szCs w:val="32"/>
                <w:lang w:bidi="ar"/>
              </w:rPr>
              <w:t>项目支出绩效目标完成情况表</w:t>
            </w:r>
            <w:r>
              <w:rPr>
                <w:rFonts w:hint="eastAsia" w:ascii="仿宋_GB2312" w:hAnsi="宋体" w:eastAsia="仿宋_GB2312" w:cs="宋体"/>
                <w:b/>
                <w:color w:val="000000"/>
                <w:kern w:val="0"/>
                <w:sz w:val="32"/>
                <w:szCs w:val="32"/>
                <w:lang w:bidi="ar"/>
              </w:rPr>
              <w:br w:type="textWrapping"/>
            </w:r>
            <w:r>
              <w:rPr>
                <w:rFonts w:hint="eastAsia" w:ascii="仿宋_GB2312" w:hAnsi="宋体" w:eastAsia="仿宋_GB2312" w:cs="宋体"/>
                <w:b/>
                <w:color w:val="000000"/>
                <w:kern w:val="0"/>
                <w:sz w:val="32"/>
                <w:szCs w:val="32"/>
                <w:lang w:bidi="ar"/>
              </w:rPr>
              <w:t>(2020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3276" w:type="dxa"/>
            <w:gridSpan w:val="5"/>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项目名称</w:t>
            </w:r>
          </w:p>
        </w:tc>
        <w:tc>
          <w:tcPr>
            <w:tcW w:w="6237" w:type="dxa"/>
            <w:gridSpan w:val="5"/>
          </w:tcPr>
          <w:p>
            <w:pPr>
              <w:jc w:val="center"/>
              <w:rPr>
                <w:rFonts w:ascii="宋体" w:hAnsi="宋体" w:cs="宋体"/>
                <w:color w:val="000000"/>
                <w:kern w:val="0"/>
                <w:szCs w:val="21"/>
              </w:rPr>
            </w:pPr>
            <w:r>
              <w:rPr>
                <w:rFonts w:hint="eastAsia" w:ascii="宋体" w:hAnsi="宋体" w:cs="宋体"/>
                <w:color w:val="000000"/>
                <w:kern w:val="0"/>
                <w:szCs w:val="21"/>
              </w:rPr>
              <w:t>基层组织建设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trPr>
        <w:tc>
          <w:tcPr>
            <w:tcW w:w="3276" w:type="dxa"/>
            <w:gridSpan w:val="5"/>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预算单位</w:t>
            </w:r>
          </w:p>
        </w:tc>
        <w:tc>
          <w:tcPr>
            <w:tcW w:w="1276" w:type="dxa"/>
          </w:tcPr>
          <w:p>
            <w:pPr>
              <w:widowControl/>
              <w:spacing w:line="320" w:lineRule="exact"/>
              <w:jc w:val="center"/>
              <w:rPr>
                <w:rFonts w:ascii="宋体" w:hAnsi="宋体" w:cs="宋体"/>
                <w:color w:val="000000"/>
                <w:kern w:val="0"/>
                <w:szCs w:val="21"/>
              </w:rPr>
            </w:pPr>
          </w:p>
        </w:tc>
        <w:tc>
          <w:tcPr>
            <w:tcW w:w="4961" w:type="dxa"/>
            <w:gridSpan w:val="4"/>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中共广元市利州区委组织部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trPr>
        <w:tc>
          <w:tcPr>
            <w:tcW w:w="866" w:type="dxa"/>
            <w:vMerge w:val="restart"/>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预算执行情况</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2410" w:type="dxa"/>
            <w:gridSpan w:val="4"/>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预算数:</w:t>
            </w:r>
          </w:p>
        </w:tc>
        <w:tc>
          <w:tcPr>
            <w:tcW w:w="2126" w:type="dxa"/>
            <w:gridSpan w:val="2"/>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22.2万元</w:t>
            </w:r>
          </w:p>
        </w:tc>
        <w:tc>
          <w:tcPr>
            <w:tcW w:w="2067" w:type="dxa"/>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执行数:</w:t>
            </w:r>
          </w:p>
        </w:tc>
        <w:tc>
          <w:tcPr>
            <w:tcW w:w="2044" w:type="dxa"/>
            <w:gridSpan w:val="2"/>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2410" w:type="dxa"/>
            <w:gridSpan w:val="4"/>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2126" w:type="dxa"/>
            <w:gridSpan w:val="2"/>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22.2万元</w:t>
            </w:r>
          </w:p>
        </w:tc>
        <w:tc>
          <w:tcPr>
            <w:tcW w:w="2067" w:type="dxa"/>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2044" w:type="dxa"/>
            <w:gridSpan w:val="2"/>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2410" w:type="dxa"/>
            <w:gridSpan w:val="4"/>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其它资金:</w:t>
            </w:r>
          </w:p>
        </w:tc>
        <w:tc>
          <w:tcPr>
            <w:tcW w:w="2126" w:type="dxa"/>
            <w:gridSpan w:val="2"/>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c>
          <w:tcPr>
            <w:tcW w:w="2067" w:type="dxa"/>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其它资金:</w:t>
            </w:r>
          </w:p>
        </w:tc>
        <w:tc>
          <w:tcPr>
            <w:tcW w:w="2044" w:type="dxa"/>
            <w:gridSpan w:val="2"/>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866"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目标</w:t>
            </w:r>
          </w:p>
          <w:p>
            <w:pPr>
              <w:widowControl/>
              <w:spacing w:line="320" w:lineRule="exact"/>
              <w:ind w:firstLine="105" w:firstLineChars="50"/>
              <w:jc w:val="center"/>
              <w:rPr>
                <w:rFonts w:ascii="宋体" w:hAnsi="宋体" w:cs="宋体"/>
                <w:color w:val="000000"/>
                <w:kern w:val="0"/>
                <w:szCs w:val="21"/>
              </w:rPr>
            </w:pPr>
            <w:r>
              <w:rPr>
                <w:rFonts w:hint="eastAsia" w:ascii="宋体" w:hAnsi="宋体" w:cs="宋体"/>
                <w:color w:val="000000"/>
                <w:kern w:val="0"/>
                <w:szCs w:val="21"/>
              </w:rPr>
              <w:t>完成</w:t>
            </w:r>
          </w:p>
          <w:p>
            <w:pPr>
              <w:widowControl/>
              <w:spacing w:line="320" w:lineRule="exact"/>
              <w:ind w:firstLine="105" w:firstLineChars="50"/>
              <w:jc w:val="center"/>
              <w:rPr>
                <w:rFonts w:ascii="宋体" w:hAnsi="宋体" w:cs="宋体"/>
                <w:color w:val="000000"/>
                <w:kern w:val="0"/>
                <w:szCs w:val="21"/>
              </w:rPr>
            </w:pPr>
            <w:r>
              <w:rPr>
                <w:rFonts w:hint="eastAsia" w:ascii="宋体" w:hAnsi="宋体" w:cs="宋体"/>
                <w:color w:val="000000"/>
                <w:kern w:val="0"/>
                <w:szCs w:val="21"/>
              </w:rPr>
              <w:t>情况</w:t>
            </w:r>
          </w:p>
        </w:tc>
        <w:tc>
          <w:tcPr>
            <w:tcW w:w="4536" w:type="dxa"/>
            <w:gridSpan w:val="6"/>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预期目标</w:t>
            </w:r>
          </w:p>
        </w:tc>
        <w:tc>
          <w:tcPr>
            <w:tcW w:w="4111" w:type="dxa"/>
            <w:gridSpan w:val="3"/>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4536" w:type="dxa"/>
            <w:gridSpan w:val="6"/>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贯彻落实新时代党的建设总要求，全面落实全国、全省基层党建工作重点任务推进会会议精神，推进各领域党支部标准化建设，严实干部队伍建设、党员发展、党员教育管理等工作，建强基层组织体系，聚焦党建引领城乡基层治理，持续增强基层党组织整治功能和组织力，推动基层党建全面进步全面过硬。</w:t>
            </w:r>
          </w:p>
        </w:tc>
        <w:tc>
          <w:tcPr>
            <w:tcW w:w="4111" w:type="dxa"/>
            <w:gridSpan w:val="3"/>
          </w:tcPr>
          <w:p>
            <w:pPr>
              <w:widowControl/>
              <w:spacing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坚定以习近平新时代中国特色社会主义思想为指导，全面贯彻落实新时代党的建设总要求和新时代党的组织路线，坚持</w:t>
            </w:r>
            <w:r>
              <w:rPr>
                <w:rFonts w:ascii="宋体" w:hAnsi="宋体" w:cs="宋体"/>
                <w:color w:val="000000"/>
                <w:kern w:val="0"/>
                <w:szCs w:val="21"/>
              </w:rPr>
              <w:t>聚焦重点，抓实</w:t>
            </w:r>
            <w:r>
              <w:rPr>
                <w:rFonts w:hint="eastAsia" w:ascii="宋体" w:hAnsi="宋体" w:cs="宋体"/>
                <w:color w:val="000000"/>
                <w:kern w:val="0"/>
                <w:szCs w:val="21"/>
              </w:rPr>
              <w:t>“</w:t>
            </w:r>
            <w:r>
              <w:rPr>
                <w:rFonts w:ascii="宋体" w:hAnsi="宋体" w:cs="宋体"/>
                <w:color w:val="000000"/>
                <w:kern w:val="0"/>
                <w:szCs w:val="21"/>
              </w:rPr>
              <w:t>两个示范</w:t>
            </w:r>
            <w:r>
              <w:rPr>
                <w:rFonts w:hint="eastAsia" w:ascii="宋体" w:hAnsi="宋体" w:cs="宋体"/>
                <w:color w:val="000000"/>
                <w:kern w:val="0"/>
                <w:szCs w:val="21"/>
              </w:rPr>
              <w:t>”，</w:t>
            </w:r>
            <w:r>
              <w:rPr>
                <w:rFonts w:ascii="宋体" w:hAnsi="宋体" w:cs="宋体"/>
                <w:color w:val="000000"/>
                <w:kern w:val="0"/>
                <w:szCs w:val="21"/>
              </w:rPr>
              <w:t>圆满</w:t>
            </w:r>
            <w:r>
              <w:rPr>
                <w:rFonts w:hint="eastAsia" w:ascii="宋体" w:hAnsi="宋体" w:cs="宋体"/>
                <w:color w:val="000000"/>
                <w:kern w:val="0"/>
                <w:szCs w:val="21"/>
              </w:rPr>
              <w:t>完成村</w:t>
            </w:r>
            <w:r>
              <w:rPr>
                <w:rFonts w:ascii="宋体" w:hAnsi="宋体" w:cs="宋体"/>
                <w:color w:val="000000"/>
                <w:kern w:val="0"/>
                <w:szCs w:val="21"/>
              </w:rPr>
              <w:t>级建制调整改革</w:t>
            </w:r>
            <w:r>
              <w:rPr>
                <w:rFonts w:hint="eastAsia" w:ascii="宋体" w:hAnsi="宋体" w:cs="宋体"/>
                <w:color w:val="000000"/>
                <w:kern w:val="0"/>
                <w:szCs w:val="21"/>
              </w:rPr>
              <w:t>、</w:t>
            </w:r>
            <w:r>
              <w:rPr>
                <w:rFonts w:ascii="宋体" w:hAnsi="宋体" w:cs="宋体"/>
                <w:color w:val="000000"/>
                <w:kern w:val="0"/>
                <w:szCs w:val="21"/>
              </w:rPr>
              <w:t>村（社区）两委换届</w:t>
            </w:r>
            <w:r>
              <w:rPr>
                <w:rFonts w:hint="eastAsia" w:ascii="宋体" w:hAnsi="宋体" w:cs="宋体"/>
                <w:color w:val="000000"/>
                <w:kern w:val="0"/>
                <w:szCs w:val="21"/>
              </w:rPr>
              <w:t>、</w:t>
            </w:r>
            <w:r>
              <w:rPr>
                <w:rFonts w:ascii="宋体" w:hAnsi="宋体" w:cs="宋体"/>
                <w:color w:val="000000"/>
                <w:kern w:val="0"/>
                <w:szCs w:val="21"/>
              </w:rPr>
              <w:t>脱贫攻坚</w:t>
            </w:r>
            <w:r>
              <w:rPr>
                <w:rFonts w:hint="eastAsia" w:ascii="宋体" w:hAnsi="宋体" w:cs="宋体"/>
                <w:color w:val="000000"/>
                <w:kern w:val="0"/>
                <w:szCs w:val="21"/>
              </w:rPr>
              <w:t>三大任务。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66" w:type="dxa"/>
            <w:vMerge w:val="restart"/>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绩</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效</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指</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标</w:t>
            </w:r>
          </w:p>
        </w:tc>
        <w:tc>
          <w:tcPr>
            <w:tcW w:w="567" w:type="dxa"/>
            <w:gridSpan w:val="2"/>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一级</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3402" w:type="dxa"/>
            <w:gridSpan w:val="3"/>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2977" w:type="dxa"/>
            <w:gridSpan w:val="2"/>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项目完成指标</w:t>
            </w:r>
          </w:p>
        </w:tc>
        <w:tc>
          <w:tcPr>
            <w:tcW w:w="567" w:type="dxa"/>
            <w:vMerge w:val="restart"/>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数量指标</w:t>
            </w:r>
          </w:p>
          <w:p>
            <w:pPr>
              <w:widowControl/>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指标1：制作党员教育专题片和开展党员教育培训。</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制作党员教育专题片2部，开展全区党员教育培训1次。</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widowControl/>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指标2：召开全区组织工作会议。</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召开全区组织工作会议4次。</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widowControl/>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指标3：按照要求召开全区七一座谈会。</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召开1次全区七一座谈会。</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widowControl/>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指标4：召开区委常委扩大会议，听取乡镇（街道）党（工）委书记、部分区级行业系统党委（工委）现场述职。</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听取14个乡镇（街道）党（工）委书记、部分区级行业系统党委（工委）现场述职</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widowControl/>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指标5：打造机关党建示范点，召开党建工作现场推进会，召开部门党组（党委）书记和机关党委（党总支、党支部）书记述职会。</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打造党建示范点1个，召开党建工作现场推进会1次，召开部门党组（党委）书记和机关党委（党总支、党支部）书记述职会各1次。</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restart"/>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时效指标</w:t>
            </w: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指标1：全区组织工作会议。</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会议时间1天，2020年上半年完成</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指标2：召开全区七一座谈会。</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按照要求于7月举行，会议时间为半天。</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指标3：2020年12月下旬开展各乡镇（街道）党（工）、区级部门党委（工委）书记抓党建述职评议考核工作。</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会议时间1天。</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567" w:type="dxa"/>
            <w:vMerge w:val="continue"/>
            <w:vAlign w:val="center"/>
          </w:tcPr>
          <w:p>
            <w:pPr>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指标4：完成机关党建示范点打造并在第三季度召开机关党建工作现场推进会；年底开展部门党组（党委）书记和机关党委（党总支、党支部）书记抓党建述职评议考核工作。</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机关党建工作现场推进会会议时间1天。</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restart"/>
            <w:tcMar>
              <w:top w:w="15" w:type="dxa"/>
              <w:left w:w="15" w:type="dxa"/>
              <w:bottom w:w="0" w:type="dxa"/>
              <w:right w:w="15" w:type="dxa"/>
            </w:tcMar>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567" w:type="dxa"/>
            <w:vMerge w:val="restart"/>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指标1：全区从严治党工作开展情况</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全面从严治党纵深推进，全面从严治党深入人心。</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spacing w:line="320" w:lineRule="exact"/>
              <w:jc w:val="center"/>
              <w:rPr>
                <w:rFonts w:ascii="宋体" w:hAnsi="宋体" w:cs="宋体"/>
                <w:color w:val="000000"/>
                <w:kern w:val="0"/>
                <w:szCs w:val="21"/>
              </w:rPr>
            </w:pPr>
          </w:p>
        </w:tc>
        <w:tc>
          <w:tcPr>
            <w:tcW w:w="567" w:type="dxa"/>
            <w:vMerge w:val="continue"/>
            <w:vAlign w:val="center"/>
          </w:tcPr>
          <w:p>
            <w:pPr>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指标2：抓党建述职评议效果。</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推动形成严抓严管、敢抓敢管、常抓长管良好态势。</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866" w:type="dxa"/>
            <w:vMerge w:val="continue"/>
            <w:vAlign w:val="center"/>
          </w:tcPr>
          <w:p>
            <w:pPr>
              <w:widowControl/>
              <w:spacing w:line="320" w:lineRule="exact"/>
              <w:jc w:val="left"/>
              <w:rPr>
                <w:rFonts w:ascii="宋体" w:hAnsi="宋体" w:cs="宋体"/>
                <w:color w:val="000000"/>
                <w:kern w:val="0"/>
                <w:szCs w:val="21"/>
              </w:rPr>
            </w:pPr>
          </w:p>
        </w:tc>
        <w:tc>
          <w:tcPr>
            <w:tcW w:w="567" w:type="dxa"/>
            <w:gridSpan w:val="2"/>
            <w:vMerge w:val="continue"/>
            <w:tcMar>
              <w:top w:w="15" w:type="dxa"/>
              <w:left w:w="15" w:type="dxa"/>
              <w:bottom w:w="0" w:type="dxa"/>
              <w:right w:w="15" w:type="dxa"/>
            </w:tcMar>
            <w:vAlign w:val="center"/>
          </w:tcPr>
          <w:p>
            <w:pPr>
              <w:spacing w:line="320" w:lineRule="exact"/>
              <w:jc w:val="center"/>
              <w:rPr>
                <w:rFonts w:ascii="宋体" w:hAnsi="宋体" w:cs="宋体"/>
                <w:color w:val="000000"/>
                <w:kern w:val="0"/>
                <w:szCs w:val="21"/>
              </w:rPr>
            </w:pPr>
          </w:p>
        </w:tc>
        <w:tc>
          <w:tcPr>
            <w:tcW w:w="567" w:type="dxa"/>
            <w:vMerge w:val="continue"/>
            <w:vAlign w:val="center"/>
          </w:tcPr>
          <w:p>
            <w:pPr>
              <w:spacing w:line="320" w:lineRule="exact"/>
              <w:jc w:val="center"/>
              <w:rPr>
                <w:rFonts w:ascii="宋体" w:hAnsi="宋体" w:cs="宋体"/>
                <w:color w:val="000000"/>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指标3：全区机关党组织和党员干部服务社会的能力和水平。</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机关党组织和党员干部服务社会的能力和水平不断提升，干部群众对党员的认可度不断提升。</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continue"/>
            <w:tcMar>
              <w:top w:w="15" w:type="dxa"/>
              <w:left w:w="15" w:type="dxa"/>
              <w:bottom w:w="0" w:type="dxa"/>
              <w:right w:w="15" w:type="dxa"/>
            </w:tcMar>
            <w:vAlign w:val="center"/>
          </w:tcPr>
          <w:p>
            <w:pPr>
              <w:widowControl/>
              <w:jc w:val="center"/>
              <w:rPr>
                <w:rFonts w:ascii="宋体" w:hAnsi="宋体" w:cs="宋体"/>
                <w:kern w:val="0"/>
                <w:szCs w:val="21"/>
              </w:rPr>
            </w:pPr>
          </w:p>
        </w:tc>
        <w:tc>
          <w:tcPr>
            <w:tcW w:w="567" w:type="dxa"/>
            <w:vMerge w:val="restart"/>
            <w:vAlign w:val="center"/>
          </w:tcPr>
          <w:p>
            <w:pPr>
              <w:jc w:val="center"/>
              <w:rPr>
                <w:rFonts w:ascii="宋体" w:hAnsi="宋体" w:cs="宋体"/>
                <w:kern w:val="0"/>
                <w:szCs w:val="21"/>
              </w:rPr>
            </w:pPr>
            <w:r>
              <w:rPr>
                <w:rFonts w:hint="eastAsia" w:ascii="宋体" w:hAnsi="宋体" w:cs="宋体"/>
                <w:kern w:val="0"/>
                <w:szCs w:val="21"/>
              </w:rPr>
              <w:t>可持续影响指标</w:t>
            </w: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指标1：对各级会议精神的传达贯彻落实情况。</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贯彻落实习近平新时代中国特色社会主义思想，全面落实党的十九大及习近平总书记对四川工作系列重要指示精神，贯彻落实全国、全省、全市组织工作会议精神。</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continue"/>
            <w:tcMar>
              <w:top w:w="15" w:type="dxa"/>
              <w:left w:w="15" w:type="dxa"/>
              <w:bottom w:w="0" w:type="dxa"/>
              <w:right w:w="15" w:type="dxa"/>
            </w:tcMar>
            <w:vAlign w:val="center"/>
          </w:tcPr>
          <w:p>
            <w:pPr>
              <w:widowControl/>
              <w:jc w:val="center"/>
              <w:rPr>
                <w:rFonts w:ascii="宋体" w:hAnsi="宋体" w:cs="宋体"/>
                <w:kern w:val="0"/>
                <w:szCs w:val="21"/>
              </w:rPr>
            </w:pPr>
          </w:p>
        </w:tc>
        <w:tc>
          <w:tcPr>
            <w:tcW w:w="567" w:type="dxa"/>
            <w:vMerge w:val="continue"/>
            <w:vAlign w:val="center"/>
          </w:tcPr>
          <w:p>
            <w:pPr>
              <w:jc w:val="center"/>
              <w:rPr>
                <w:rFonts w:ascii="宋体" w:hAnsi="宋体" w:cs="宋体"/>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指标2：利州政治生态情况。</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持续巩固风清气正的政治生态。</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continue"/>
            <w:tcMar>
              <w:top w:w="15" w:type="dxa"/>
              <w:left w:w="15" w:type="dxa"/>
              <w:bottom w:w="0" w:type="dxa"/>
              <w:right w:w="15" w:type="dxa"/>
            </w:tcMar>
            <w:vAlign w:val="center"/>
          </w:tcPr>
          <w:p>
            <w:pPr>
              <w:widowControl/>
              <w:jc w:val="center"/>
              <w:rPr>
                <w:rFonts w:ascii="宋体" w:hAnsi="宋体" w:cs="宋体"/>
                <w:kern w:val="0"/>
                <w:szCs w:val="21"/>
              </w:rPr>
            </w:pPr>
          </w:p>
        </w:tc>
        <w:tc>
          <w:tcPr>
            <w:tcW w:w="567" w:type="dxa"/>
            <w:vMerge w:val="continue"/>
            <w:vAlign w:val="center"/>
          </w:tcPr>
          <w:p>
            <w:pPr>
              <w:jc w:val="center"/>
              <w:rPr>
                <w:rFonts w:ascii="宋体" w:hAnsi="宋体" w:cs="宋体"/>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指标3：党建工作薄弱问题的解决力度。</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党建薄弱问题有效整改，建立健全以上率下、狠抓党建责任落实工作体系。</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continue"/>
            <w:tcMar>
              <w:top w:w="15" w:type="dxa"/>
              <w:left w:w="15" w:type="dxa"/>
              <w:bottom w:w="0" w:type="dxa"/>
              <w:right w:w="15" w:type="dxa"/>
            </w:tcMar>
            <w:vAlign w:val="center"/>
          </w:tcPr>
          <w:p>
            <w:pPr>
              <w:widowControl/>
              <w:jc w:val="center"/>
              <w:rPr>
                <w:rFonts w:ascii="宋体" w:hAnsi="宋体" w:cs="宋体"/>
                <w:kern w:val="0"/>
                <w:szCs w:val="21"/>
              </w:rPr>
            </w:pPr>
          </w:p>
        </w:tc>
        <w:tc>
          <w:tcPr>
            <w:tcW w:w="567" w:type="dxa"/>
            <w:vMerge w:val="continue"/>
            <w:vAlign w:val="center"/>
          </w:tcPr>
          <w:p>
            <w:pPr>
              <w:jc w:val="center"/>
              <w:rPr>
                <w:rFonts w:ascii="宋体" w:hAnsi="宋体" w:cs="宋体"/>
                <w:kern w:val="0"/>
                <w:szCs w:val="21"/>
              </w:rPr>
            </w:pPr>
          </w:p>
        </w:tc>
        <w:tc>
          <w:tcPr>
            <w:tcW w:w="3402"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指标4：机关党建基层基础情况，机关党员干部的能力。</w:t>
            </w:r>
          </w:p>
        </w:tc>
        <w:tc>
          <w:tcPr>
            <w:tcW w:w="2977" w:type="dxa"/>
            <w:gridSpan w:val="2"/>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机关党建基层基础情况进一步夯实，机关党建水平及党员能力不断提升。</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restart"/>
            <w:tcMar>
              <w:top w:w="15" w:type="dxa"/>
              <w:left w:w="15" w:type="dxa"/>
              <w:bottom w:w="0" w:type="dxa"/>
              <w:right w:w="15" w:type="dxa"/>
            </w:tcMar>
            <w:vAlign w:val="center"/>
          </w:tcPr>
          <w:p>
            <w:pPr>
              <w:jc w:val="center"/>
              <w:rPr>
                <w:rFonts w:ascii="宋体" w:hAnsi="宋体" w:cs="宋体"/>
                <w:kern w:val="0"/>
                <w:szCs w:val="21"/>
              </w:rPr>
            </w:pPr>
            <w:r>
              <w:rPr>
                <w:rFonts w:hint="eastAsia" w:ascii="宋体" w:hAnsi="宋体" w:cs="宋体"/>
                <w:kern w:val="0"/>
                <w:szCs w:val="21"/>
              </w:rPr>
              <w:t>满意度指标</w:t>
            </w:r>
          </w:p>
        </w:tc>
        <w:tc>
          <w:tcPr>
            <w:tcW w:w="567" w:type="dxa"/>
            <w:vMerge w:val="restart"/>
            <w:vAlign w:val="center"/>
          </w:tcPr>
          <w:p>
            <w:pPr>
              <w:jc w:val="center"/>
              <w:rPr>
                <w:rFonts w:ascii="宋体" w:hAnsi="宋体" w:cs="宋体"/>
                <w:kern w:val="0"/>
                <w:szCs w:val="21"/>
              </w:rPr>
            </w:pPr>
            <w:r>
              <w:rPr>
                <w:rFonts w:hint="eastAsia" w:ascii="宋体" w:hAnsi="宋体" w:cs="宋体"/>
                <w:kern w:val="0"/>
                <w:szCs w:val="21"/>
              </w:rPr>
              <w:t>满意度指标</w:t>
            </w:r>
          </w:p>
        </w:tc>
        <w:tc>
          <w:tcPr>
            <w:tcW w:w="3402" w:type="dxa"/>
            <w:gridSpan w:val="3"/>
            <w:tcMar>
              <w:top w:w="15" w:type="dxa"/>
              <w:left w:w="15" w:type="dxa"/>
              <w:bottom w:w="0" w:type="dxa"/>
              <w:right w:w="15" w:type="dxa"/>
            </w:tcMar>
            <w:vAlign w:val="center"/>
          </w:tcPr>
          <w:p>
            <w:pPr>
              <w:rPr>
                <w:rFonts w:ascii="宋体" w:hAnsi="宋体" w:cs="宋体"/>
                <w:sz w:val="22"/>
                <w:szCs w:val="22"/>
              </w:rPr>
            </w:pPr>
            <w:r>
              <w:rPr>
                <w:rFonts w:hint="eastAsia"/>
                <w:sz w:val="22"/>
                <w:szCs w:val="22"/>
              </w:rPr>
              <w:t xml:space="preserve"> 指标1：机关党员干部作风、服务群众能力及水平。</w:t>
            </w:r>
          </w:p>
        </w:tc>
        <w:tc>
          <w:tcPr>
            <w:tcW w:w="2977" w:type="dxa"/>
            <w:gridSpan w:val="2"/>
            <w:vAlign w:val="center"/>
          </w:tcPr>
          <w:p>
            <w:pPr>
              <w:widowControl/>
              <w:spacing w:line="320" w:lineRule="exact"/>
              <w:jc w:val="left"/>
              <w:rPr>
                <w:rFonts w:ascii="宋体" w:hAnsi="宋体" w:cs="宋体"/>
                <w:sz w:val="22"/>
                <w:szCs w:val="22"/>
              </w:rPr>
            </w:pPr>
            <w:r>
              <w:rPr>
                <w:rFonts w:hint="eastAsia" w:ascii="宋体" w:hAnsi="宋体" w:cs="宋体"/>
                <w:color w:val="000000"/>
                <w:kern w:val="0"/>
                <w:szCs w:val="21"/>
              </w:rPr>
              <w:t>机关党员干部作风明显好转，服务群众的能力和水平明显提升，群众对机关党员干部的服务质量比较满意。</w:t>
            </w:r>
          </w:p>
        </w:tc>
        <w:tc>
          <w:tcPr>
            <w:tcW w:w="1134" w:type="dxa"/>
            <w:vAlign w:val="center"/>
          </w:tcPr>
          <w:p>
            <w:pPr>
              <w:jc w:val="center"/>
              <w:rPr>
                <w:rFonts w:ascii="宋体" w:hAnsi="宋体" w:cs="宋体"/>
                <w:sz w:val="22"/>
                <w:szCs w:val="22"/>
              </w:rPr>
            </w:pPr>
            <w:r>
              <w:rPr>
                <w:rFonts w:hint="eastAsia"/>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866" w:type="dxa"/>
            <w:vMerge w:val="continue"/>
            <w:vAlign w:val="center"/>
          </w:tcPr>
          <w:p>
            <w:pPr>
              <w:widowControl/>
              <w:jc w:val="left"/>
              <w:rPr>
                <w:rFonts w:ascii="仿宋_GB2312" w:hAnsi="宋体" w:eastAsia="仿宋_GB2312" w:cs="宋体"/>
                <w:color w:val="000000"/>
                <w:szCs w:val="21"/>
              </w:rPr>
            </w:pPr>
          </w:p>
        </w:tc>
        <w:tc>
          <w:tcPr>
            <w:tcW w:w="567" w:type="dxa"/>
            <w:gridSpan w:val="2"/>
            <w:vMerge w:val="continue"/>
            <w:tcMar>
              <w:top w:w="15" w:type="dxa"/>
              <w:left w:w="15" w:type="dxa"/>
              <w:bottom w:w="0" w:type="dxa"/>
              <w:right w:w="15" w:type="dxa"/>
            </w:tcMar>
            <w:vAlign w:val="center"/>
          </w:tcPr>
          <w:p>
            <w:pPr>
              <w:jc w:val="center"/>
              <w:rPr>
                <w:rFonts w:ascii="宋体" w:hAnsi="宋体" w:cs="宋体"/>
                <w:kern w:val="0"/>
                <w:szCs w:val="21"/>
              </w:rPr>
            </w:pPr>
          </w:p>
        </w:tc>
        <w:tc>
          <w:tcPr>
            <w:tcW w:w="567" w:type="dxa"/>
            <w:vMerge w:val="continue"/>
            <w:vAlign w:val="center"/>
          </w:tcPr>
          <w:p>
            <w:pPr>
              <w:jc w:val="center"/>
              <w:rPr>
                <w:rFonts w:ascii="宋体" w:hAnsi="宋体" w:cs="宋体"/>
                <w:kern w:val="0"/>
                <w:szCs w:val="21"/>
              </w:rPr>
            </w:pPr>
          </w:p>
        </w:tc>
        <w:tc>
          <w:tcPr>
            <w:tcW w:w="3402" w:type="dxa"/>
            <w:gridSpan w:val="3"/>
            <w:tcMar>
              <w:top w:w="15" w:type="dxa"/>
              <w:left w:w="15" w:type="dxa"/>
              <w:bottom w:w="0" w:type="dxa"/>
              <w:right w:w="15" w:type="dxa"/>
            </w:tcMar>
            <w:vAlign w:val="center"/>
          </w:tcPr>
          <w:p>
            <w:pPr>
              <w:rPr>
                <w:rFonts w:ascii="宋体" w:hAnsi="宋体" w:cs="宋体"/>
                <w:sz w:val="22"/>
                <w:szCs w:val="22"/>
              </w:rPr>
            </w:pPr>
            <w:r>
              <w:rPr>
                <w:rFonts w:hint="eastAsia"/>
                <w:sz w:val="22"/>
                <w:szCs w:val="22"/>
              </w:rPr>
              <w:t xml:space="preserve"> 指标2：基层党员干部群众满意度</w:t>
            </w:r>
          </w:p>
        </w:tc>
        <w:tc>
          <w:tcPr>
            <w:tcW w:w="2977" w:type="dxa"/>
            <w:gridSpan w:val="2"/>
            <w:vAlign w:val="center"/>
          </w:tcPr>
          <w:p>
            <w:pPr>
              <w:rPr>
                <w:rFonts w:ascii="宋体" w:hAnsi="宋体" w:cs="宋体"/>
                <w:sz w:val="22"/>
                <w:szCs w:val="22"/>
              </w:rPr>
            </w:pPr>
            <w:r>
              <w:rPr>
                <w:rFonts w:hint="eastAsia"/>
                <w:sz w:val="22"/>
                <w:szCs w:val="22"/>
              </w:rPr>
              <w:t>满意度达90%。</w:t>
            </w:r>
          </w:p>
        </w:tc>
        <w:tc>
          <w:tcPr>
            <w:tcW w:w="1134" w:type="dxa"/>
            <w:vAlign w:val="center"/>
          </w:tcPr>
          <w:p>
            <w:pPr>
              <w:jc w:val="center"/>
              <w:rPr>
                <w:rFonts w:ascii="宋体" w:hAnsi="宋体" w:cs="宋体"/>
                <w:sz w:val="22"/>
                <w:szCs w:val="22"/>
              </w:rPr>
            </w:pPr>
            <w:r>
              <w:rPr>
                <w:rFonts w:hint="eastAsia"/>
                <w:sz w:val="22"/>
                <w:szCs w:val="22"/>
              </w:rPr>
              <w:t>完成</w:t>
            </w:r>
          </w:p>
        </w:tc>
      </w:tr>
    </w:tbl>
    <w:p>
      <w:pPr>
        <w:spacing w:line="600" w:lineRule="exact"/>
        <w:rPr>
          <w:rFonts w:ascii="方正小标宋简体" w:hAnsi="宋体" w:eastAsia="方正小标宋简体"/>
          <w:color w:val="000000"/>
          <w:kern w:val="0"/>
          <w:sz w:val="32"/>
          <w:szCs w:val="32"/>
        </w:rPr>
      </w:pPr>
    </w:p>
    <w:p>
      <w:pPr>
        <w:widowControl/>
        <w:jc w:val="left"/>
        <w:rPr>
          <w:rFonts w:ascii="方正小标宋简体" w:hAnsi="宋体" w:eastAsia="方正小标宋简体"/>
          <w:color w:val="000000"/>
          <w:kern w:val="0"/>
          <w:sz w:val="32"/>
          <w:szCs w:val="32"/>
        </w:rPr>
      </w:pPr>
      <w:r>
        <w:rPr>
          <w:rFonts w:ascii="方正小标宋简体" w:hAnsi="宋体" w:eastAsia="方正小标宋简体"/>
          <w:color w:val="000000"/>
          <w:kern w:val="0"/>
          <w:sz w:val="32"/>
          <w:szCs w:val="32"/>
        </w:rPr>
        <w:br w:type="page"/>
      </w:r>
    </w:p>
    <w:p>
      <w:pPr>
        <w:spacing w:line="600" w:lineRule="exact"/>
        <w:ind w:firstLine="360" w:firstLineChars="100"/>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人才工作基金2020年</w:t>
      </w:r>
      <w:r>
        <w:rPr>
          <w:rFonts w:hint="eastAsia" w:ascii="方正小标宋简体" w:hAnsi="宋体" w:eastAsia="方正小标宋简体"/>
          <w:color w:val="000000"/>
          <w:kern w:val="0"/>
          <w:sz w:val="36"/>
          <w:szCs w:val="36"/>
          <w:lang w:val="zh-CN"/>
        </w:rPr>
        <w:t>绩效评价报告</w:t>
      </w:r>
    </w:p>
    <w:p>
      <w:pPr>
        <w:spacing w:line="600" w:lineRule="exact"/>
        <w:jc w:val="center"/>
        <w:rPr>
          <w:rFonts w:ascii="方正小标宋简体" w:hAnsi="宋体" w:eastAsia="方正小标宋简体"/>
          <w:color w:val="000000"/>
          <w:kern w:val="0"/>
          <w:sz w:val="36"/>
          <w:szCs w:val="36"/>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根据区委组织部2020年人才工作重点任务需要立项，全以实际开支情况作为资金申报的依据，由区委组织部负责该项目具体实施、过程监管和事后评价。具体绩效目标为：做好高层次人才引进、人才培养培训、人才工作站（点）建设、人才相关活动等工作经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绩效自评采用的组织实施步骤及方法：该项目具体由区委组织部人才办负责申报实施，分管业务股室副部长初审，分管财务副部长审批。项目资金预算申报时实行“两上两下”，使用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二、评价结论及建议</w:t>
      </w:r>
    </w:p>
    <w:p>
      <w:pPr>
        <w:pStyle w:val="13"/>
        <w:shd w:val="clear" w:color="auto" w:fill="FFFFFF"/>
        <w:adjustRightInd w:val="0"/>
        <w:snapToGrid w:val="0"/>
        <w:spacing w:before="0" w:beforeAutospacing="0" w:after="0" w:afterAutospacing="0" w:line="576" w:lineRule="exact"/>
        <w:ind w:firstLine="643"/>
        <w:jc w:val="both"/>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bCs/>
          <w:sz w:val="32"/>
          <w:szCs w:val="32"/>
        </w:rPr>
        <w:t>项目全年预算数为10万元，执行数为5.8万元，完成预算58%。</w:t>
      </w:r>
      <w:r>
        <w:rPr>
          <w:rFonts w:hint="eastAsia" w:ascii="方正仿宋简体" w:hAnsi="方正仿宋简体" w:eastAsia="方正仿宋简体"/>
          <w:bCs/>
          <w:color w:val="000000" w:themeColor="text1"/>
          <w:sz w:val="32"/>
          <w:szCs w:val="32"/>
          <w14:textFill>
            <w14:solidFill>
              <w14:schemeClr w14:val="tx1"/>
            </w14:solidFill>
          </w14:textFill>
        </w:rPr>
        <w:t>通过项目实施，持</w:t>
      </w:r>
      <w:r>
        <w:rPr>
          <w:rFonts w:hint="eastAsia" w:ascii="方正仿宋简体" w:hAnsi="方正仿宋简体" w:eastAsia="方正仿宋简体" w:cs="方正仿宋简体"/>
          <w:bCs/>
          <w:color w:val="000000"/>
          <w:sz w:val="32"/>
          <w:szCs w:val="32"/>
        </w:rPr>
        <w:t>续推进“人才优先发展示范区”建设。</w:t>
      </w:r>
      <w:r>
        <w:rPr>
          <w:rFonts w:hint="eastAsia" w:ascii="Times New Roman" w:hAnsi="Times New Roman" w:eastAsia="方正仿宋简体"/>
          <w:bCs/>
          <w:kern w:val="2"/>
          <w:sz w:val="32"/>
          <w:szCs w:val="32"/>
        </w:rPr>
        <w:t>主动融入成渝地区双城经济圈人才协同发展，探索“总部+基地”模式推动“人才飞地”建设，在成都武侯区建成全市第一个“双创离岸孵化器”，吸引27家战略性、科技型企业入驻。制定“乡村人才振兴八条措施”，刚性引进</w:t>
      </w:r>
      <w:r>
        <w:rPr>
          <w:rFonts w:hint="eastAsia" w:ascii="方正仿宋简体" w:hAnsi="方正仿宋简体" w:eastAsia="方正仿宋简体" w:cs="方正仿宋简体"/>
          <w:bCs/>
          <w:color w:val="000000"/>
          <w:sz w:val="32"/>
          <w:szCs w:val="32"/>
        </w:rPr>
        <w:t>165名高层次和急需紧缺人才，吸引425名“周末工程师”来利州干事创业。</w:t>
      </w:r>
      <w:r>
        <w:rPr>
          <w:rFonts w:hint="eastAsia" w:ascii="方正仿宋简体" w:hAnsi="方正仿宋简体" w:eastAsia="方正仿宋简体"/>
          <w:bCs/>
          <w:sz w:val="32"/>
          <w:szCs w:val="32"/>
        </w:rPr>
        <w:t>评选“利州英才”166人，并推出政务、金融、科研等7类25项便捷优惠服务。</w:t>
      </w:r>
      <w:r>
        <w:rPr>
          <w:rFonts w:hint="eastAsia" w:ascii="仿宋_GB2312" w:hAnsi="仿宋_GB2312" w:eastAsia="仿宋_GB2312" w:cs="仿宋_GB2312"/>
          <w:sz w:val="32"/>
          <w:szCs w:val="32"/>
        </w:rPr>
        <w:t>本项目完成情况良好。</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存在的问题：预算执行进度转慢。</w:t>
      </w:r>
    </w:p>
    <w:p>
      <w:pPr>
        <w:spacing w:line="580" w:lineRule="exact"/>
        <w:ind w:firstLine="800" w:firstLineChars="250"/>
        <w:rPr>
          <w:rFonts w:ascii="仿宋_GB2312" w:eastAsia="仿宋_GB2312"/>
          <w:sz w:val="32"/>
          <w:szCs w:val="32"/>
        </w:rPr>
      </w:pPr>
      <w:r>
        <w:rPr>
          <w:rFonts w:hint="eastAsia" w:ascii="仿宋" w:hAnsi="仿宋" w:eastAsia="仿宋" w:cs="仿宋_GB2312"/>
          <w:sz w:val="32"/>
          <w:szCs w:val="32"/>
        </w:rPr>
        <w:t>下一步改进措施：</w:t>
      </w:r>
      <w:r>
        <w:rPr>
          <w:rFonts w:hint="eastAsia" w:ascii="仿宋_GB2312" w:eastAsia="仿宋_GB2312"/>
          <w:sz w:val="32"/>
          <w:szCs w:val="32"/>
        </w:rPr>
        <w:t>加强项目预算执行动态监控。</w:t>
      </w:r>
    </w:p>
    <w:tbl>
      <w:tblPr>
        <w:tblStyle w:val="15"/>
        <w:tblpPr w:leftFromText="180" w:rightFromText="180" w:vertAnchor="text" w:horzAnchor="page" w:tblpXSpec="center" w:tblpY="423"/>
        <w:tblOverlap w:val="never"/>
        <w:tblW w:w="9513" w:type="dxa"/>
        <w:tblInd w:w="-15" w:type="dxa"/>
        <w:tblLayout w:type="fixed"/>
        <w:tblCellMar>
          <w:top w:w="0" w:type="dxa"/>
          <w:left w:w="0" w:type="dxa"/>
          <w:bottom w:w="0" w:type="dxa"/>
          <w:right w:w="0" w:type="dxa"/>
        </w:tblCellMar>
      </w:tblPr>
      <w:tblGrid>
        <w:gridCol w:w="866"/>
        <w:gridCol w:w="410"/>
        <w:gridCol w:w="157"/>
        <w:gridCol w:w="1134"/>
        <w:gridCol w:w="709"/>
        <w:gridCol w:w="1276"/>
        <w:gridCol w:w="566"/>
        <w:gridCol w:w="993"/>
        <w:gridCol w:w="1358"/>
        <w:gridCol w:w="1193"/>
        <w:gridCol w:w="851"/>
      </w:tblGrid>
      <w:tr>
        <w:tblPrEx>
          <w:tblCellMar>
            <w:top w:w="0" w:type="dxa"/>
            <w:left w:w="0" w:type="dxa"/>
            <w:bottom w:w="0" w:type="dxa"/>
            <w:right w:w="0" w:type="dxa"/>
          </w:tblCellMar>
        </w:tblPrEx>
        <w:trPr>
          <w:trHeight w:val="685" w:hRule="atLeast"/>
        </w:trPr>
        <w:tc>
          <w:tcPr>
            <w:tcW w:w="1276" w:type="dxa"/>
            <w:gridSpan w:val="2"/>
          </w:tcPr>
          <w:p>
            <w:pPr>
              <w:widowControl/>
              <w:textAlignment w:val="center"/>
              <w:rPr>
                <w:rFonts w:ascii="宋体" w:hAnsi="宋体" w:cs="宋体"/>
                <w:b/>
                <w:bCs/>
                <w:color w:val="000000"/>
                <w:kern w:val="0"/>
                <w:sz w:val="32"/>
                <w:szCs w:val="32"/>
                <w:lang w:bidi="ar"/>
              </w:rPr>
            </w:pPr>
          </w:p>
        </w:tc>
        <w:tc>
          <w:tcPr>
            <w:tcW w:w="8237" w:type="dxa"/>
            <w:gridSpan w:val="9"/>
            <w:tcMar>
              <w:top w:w="15" w:type="dxa"/>
              <w:left w:w="15" w:type="dxa"/>
              <w:bottom w:w="0" w:type="dxa"/>
              <w:right w:w="15" w:type="dxa"/>
            </w:tcMar>
            <w:vAlign w:val="center"/>
          </w:tcPr>
          <w:p>
            <w:pPr>
              <w:widowControl/>
              <w:jc w:val="center"/>
              <w:textAlignment w:val="center"/>
              <w:rPr>
                <w:rFonts w:ascii="仿宋_GB2312" w:hAnsi="宋体" w:eastAsia="仿宋_GB2312" w:cs="宋体"/>
                <w:b/>
                <w:color w:val="000000"/>
                <w:sz w:val="32"/>
                <w:szCs w:val="32"/>
              </w:rPr>
            </w:pPr>
            <w:r>
              <w:rPr>
                <w:rFonts w:hint="eastAsia" w:ascii="宋体" w:hAnsi="宋体" w:cs="宋体"/>
                <w:b/>
                <w:bCs/>
                <w:color w:val="000000"/>
                <w:kern w:val="0"/>
                <w:sz w:val="32"/>
                <w:szCs w:val="32"/>
                <w:lang w:bidi="ar"/>
              </w:rPr>
              <w:t>项目支出绩效目标完成情况表</w:t>
            </w:r>
            <w:r>
              <w:rPr>
                <w:rFonts w:hint="eastAsia" w:ascii="仿宋_GB2312" w:hAnsi="宋体" w:eastAsia="仿宋_GB2312" w:cs="宋体"/>
                <w:b/>
                <w:color w:val="000000"/>
                <w:kern w:val="0"/>
                <w:sz w:val="32"/>
                <w:szCs w:val="32"/>
                <w:lang w:bidi="ar"/>
              </w:rPr>
              <w:br w:type="textWrapping"/>
            </w:r>
            <w:r>
              <w:rPr>
                <w:rFonts w:hint="eastAsia" w:ascii="仿宋_GB2312" w:hAnsi="宋体" w:eastAsia="仿宋_GB2312" w:cs="宋体"/>
                <w:b/>
                <w:color w:val="000000"/>
                <w:kern w:val="0"/>
                <w:sz w:val="32"/>
                <w:szCs w:val="32"/>
                <w:lang w:bidi="ar"/>
              </w:rPr>
              <w:t>(2020 年度)</w:t>
            </w:r>
          </w:p>
        </w:tc>
      </w:tr>
      <w:tr>
        <w:tblPrEx>
          <w:tblCellMar>
            <w:top w:w="0" w:type="dxa"/>
            <w:left w:w="0" w:type="dxa"/>
            <w:bottom w:w="0" w:type="dxa"/>
            <w:right w:w="0" w:type="dxa"/>
          </w:tblCellMar>
        </w:tblPrEx>
        <w:trPr>
          <w:trHeight w:val="292" w:hRule="atLeast"/>
        </w:trPr>
        <w:tc>
          <w:tcPr>
            <w:tcW w:w="3276"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项目名称</w:t>
            </w:r>
          </w:p>
        </w:tc>
        <w:tc>
          <w:tcPr>
            <w:tcW w:w="6237" w:type="dxa"/>
            <w:gridSpan w:val="6"/>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kern w:val="0"/>
                <w:szCs w:val="21"/>
              </w:rPr>
            </w:pPr>
            <w:r>
              <w:rPr>
                <w:rFonts w:hint="eastAsia" w:ascii="宋体" w:hAnsi="宋体" w:cs="宋体"/>
                <w:color w:val="000000"/>
                <w:kern w:val="0"/>
                <w:szCs w:val="21"/>
              </w:rPr>
              <w:t>人才工作专项基金</w:t>
            </w:r>
          </w:p>
        </w:tc>
      </w:tr>
      <w:tr>
        <w:tblPrEx>
          <w:tblCellMar>
            <w:top w:w="0" w:type="dxa"/>
            <w:left w:w="0" w:type="dxa"/>
            <w:bottom w:w="0" w:type="dxa"/>
            <w:right w:w="0" w:type="dxa"/>
          </w:tblCellMar>
        </w:tblPrEx>
        <w:trPr>
          <w:trHeight w:val="183" w:hRule="atLeast"/>
        </w:trPr>
        <w:tc>
          <w:tcPr>
            <w:tcW w:w="3276"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预算单位</w:t>
            </w:r>
          </w:p>
        </w:tc>
        <w:tc>
          <w:tcPr>
            <w:tcW w:w="1276"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rPr>
                <w:rFonts w:ascii="宋体" w:hAnsi="宋体" w:cs="宋体"/>
                <w:color w:val="000000"/>
                <w:kern w:val="0"/>
                <w:szCs w:val="21"/>
              </w:rPr>
            </w:pPr>
          </w:p>
        </w:tc>
        <w:tc>
          <w:tcPr>
            <w:tcW w:w="496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中共广元市利州区委组织部</w:t>
            </w:r>
          </w:p>
        </w:tc>
      </w:tr>
      <w:tr>
        <w:tblPrEx>
          <w:tblCellMar>
            <w:top w:w="0" w:type="dxa"/>
            <w:left w:w="0" w:type="dxa"/>
            <w:bottom w:w="0" w:type="dxa"/>
            <w:right w:w="0" w:type="dxa"/>
          </w:tblCellMar>
        </w:tblPrEx>
        <w:trPr>
          <w:trHeight w:val="183"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预算执行情况</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(万元)</w:t>
            </w: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预算数:</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10万元</w:t>
            </w:r>
          </w:p>
        </w:tc>
        <w:tc>
          <w:tcPr>
            <w:tcW w:w="2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执行数:</w:t>
            </w:r>
          </w:p>
        </w:tc>
        <w:tc>
          <w:tcPr>
            <w:tcW w:w="20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5.8万元</w:t>
            </w:r>
          </w:p>
        </w:tc>
      </w:tr>
      <w:tr>
        <w:tblPrEx>
          <w:tblCellMar>
            <w:top w:w="0" w:type="dxa"/>
            <w:left w:w="0" w:type="dxa"/>
            <w:bottom w:w="0" w:type="dxa"/>
            <w:right w:w="0" w:type="dxa"/>
          </w:tblCellMar>
        </w:tblPrEx>
        <w:trPr>
          <w:trHeight w:val="57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10万元</w:t>
            </w:r>
          </w:p>
        </w:tc>
        <w:tc>
          <w:tcPr>
            <w:tcW w:w="2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其中财政拨款:</w:t>
            </w:r>
          </w:p>
        </w:tc>
        <w:tc>
          <w:tcPr>
            <w:tcW w:w="20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5.8万元</w:t>
            </w:r>
          </w:p>
        </w:tc>
      </w:tr>
      <w:tr>
        <w:tblPrEx>
          <w:tblCellMar>
            <w:top w:w="0" w:type="dxa"/>
            <w:left w:w="0" w:type="dxa"/>
            <w:bottom w:w="0" w:type="dxa"/>
            <w:right w:w="0" w:type="dxa"/>
          </w:tblCellMar>
        </w:tblPrEx>
        <w:trPr>
          <w:trHeight w:val="31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241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其它资金:</w:t>
            </w:r>
          </w:p>
        </w:tc>
        <w:tc>
          <w:tcPr>
            <w:tcW w:w="1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0</w:t>
            </w:r>
          </w:p>
        </w:tc>
        <w:tc>
          <w:tcPr>
            <w:tcW w:w="23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其它资金:</w:t>
            </w:r>
          </w:p>
        </w:tc>
        <w:tc>
          <w:tcPr>
            <w:tcW w:w="2044" w:type="dxa"/>
            <w:gridSpan w:val="2"/>
            <w:tcBorders>
              <w:top w:val="single" w:color="000000" w:sz="4" w:space="0"/>
              <w:left w:val="single" w:color="000000" w:sz="4" w:space="0"/>
              <w:bottom w:val="single" w:color="000000" w:sz="4" w:space="0"/>
              <w:right w:val="single" w:color="000000" w:sz="4" w:space="0"/>
            </w:tcBorders>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0" w:type="dxa"/>
            <w:bottom w:w="0" w:type="dxa"/>
            <w:right w:w="0" w:type="dxa"/>
          </w:tblCellMar>
        </w:tblPrEx>
        <w:trPr>
          <w:trHeight w:val="311"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目标</w:t>
            </w:r>
          </w:p>
          <w:p>
            <w:pPr>
              <w:widowControl/>
              <w:spacing w:line="320" w:lineRule="exact"/>
              <w:ind w:firstLine="105" w:firstLineChars="50"/>
              <w:jc w:val="center"/>
              <w:rPr>
                <w:rFonts w:ascii="宋体" w:hAnsi="宋体" w:cs="宋体"/>
                <w:color w:val="000000"/>
                <w:kern w:val="0"/>
                <w:szCs w:val="21"/>
              </w:rPr>
            </w:pPr>
            <w:r>
              <w:rPr>
                <w:rFonts w:hint="eastAsia" w:ascii="宋体" w:hAnsi="宋体" w:cs="宋体"/>
                <w:color w:val="000000"/>
                <w:kern w:val="0"/>
                <w:szCs w:val="21"/>
              </w:rPr>
              <w:t>完成</w:t>
            </w:r>
          </w:p>
          <w:p>
            <w:pPr>
              <w:widowControl/>
              <w:spacing w:line="320" w:lineRule="exact"/>
              <w:ind w:firstLine="105" w:firstLineChars="50"/>
              <w:jc w:val="center"/>
              <w:rPr>
                <w:rFonts w:ascii="宋体" w:hAnsi="宋体" w:cs="宋体"/>
                <w:color w:val="000000"/>
                <w:kern w:val="0"/>
                <w:szCs w:val="21"/>
              </w:rPr>
            </w:pPr>
            <w:r>
              <w:rPr>
                <w:rFonts w:hint="eastAsia" w:ascii="宋体" w:hAnsi="宋体" w:cs="宋体"/>
                <w:color w:val="000000"/>
                <w:kern w:val="0"/>
                <w:szCs w:val="21"/>
              </w:rPr>
              <w:t>情况</w:t>
            </w:r>
          </w:p>
        </w:tc>
        <w:tc>
          <w:tcPr>
            <w:tcW w:w="425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预期目标</w:t>
            </w:r>
          </w:p>
        </w:tc>
        <w:tc>
          <w:tcPr>
            <w:tcW w:w="993" w:type="dxa"/>
            <w:tcBorders>
              <w:top w:val="single" w:color="000000" w:sz="4" w:space="0"/>
              <w:left w:val="single" w:color="000000" w:sz="4" w:space="0"/>
              <w:bottom w:val="single" w:color="000000" w:sz="4" w:space="0"/>
              <w:right w:val="single" w:color="000000" w:sz="4" w:space="0"/>
            </w:tcBorders>
          </w:tcPr>
          <w:p>
            <w:pPr>
              <w:widowControl/>
              <w:spacing w:line="320" w:lineRule="exact"/>
              <w:jc w:val="left"/>
              <w:rPr>
                <w:rFonts w:ascii="宋体" w:hAnsi="宋体" w:cs="宋体"/>
                <w:color w:val="000000"/>
                <w:kern w:val="0"/>
                <w:szCs w:val="21"/>
              </w:rPr>
            </w:pPr>
          </w:p>
        </w:tc>
        <w:tc>
          <w:tcPr>
            <w:tcW w:w="34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30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425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 xml:space="preserve">  做好高层次人才引进工作；保障落实行业名人、科技拔尖人才的津贴发放，抓好人才培养培训、人才工作站（点）建设、人才相关活动等工作。</w:t>
            </w:r>
          </w:p>
        </w:tc>
        <w:tc>
          <w:tcPr>
            <w:tcW w:w="4395"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刚性引进165名高层次和急需紧缺人才，评选“利州英才”166人，建立成都“双创离岸孵化器”</w:t>
            </w:r>
          </w:p>
        </w:tc>
      </w:tr>
      <w:tr>
        <w:tblPrEx>
          <w:tblCellMar>
            <w:top w:w="0" w:type="dxa"/>
            <w:left w:w="0" w:type="dxa"/>
            <w:bottom w:w="0" w:type="dxa"/>
            <w:right w:w="0" w:type="dxa"/>
          </w:tblCellMar>
        </w:tblPrEx>
        <w:trPr>
          <w:trHeight w:val="398"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绩</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效</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指</w:t>
            </w:r>
          </w:p>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标</w:t>
            </w: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一级</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二级指标</w:t>
            </w: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完成情况</w:t>
            </w:r>
          </w:p>
        </w:tc>
      </w:tr>
      <w:tr>
        <w:tblPrEx>
          <w:tblCellMar>
            <w:top w:w="0" w:type="dxa"/>
            <w:left w:w="0" w:type="dxa"/>
            <w:bottom w:w="0" w:type="dxa"/>
            <w:right w:w="0" w:type="dxa"/>
          </w:tblCellMar>
        </w:tblPrEx>
        <w:trPr>
          <w:trHeight w:val="394"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项目完成指标</w:t>
            </w:r>
          </w:p>
          <w:p>
            <w:pPr>
              <w:spacing w:line="320" w:lineRule="exact"/>
              <w:jc w:val="left"/>
              <w:rPr>
                <w:rFonts w:ascii="宋体" w:hAnsi="宋体" w:cs="宋体"/>
                <w:color w:val="000000"/>
                <w:kern w:val="0"/>
                <w:szCs w:val="21"/>
              </w:rPr>
            </w:pPr>
          </w:p>
        </w:tc>
        <w:tc>
          <w:tcPr>
            <w:tcW w:w="1134" w:type="dxa"/>
            <w:vMerge w:val="restart"/>
            <w:tcBorders>
              <w:top w:val="single" w:color="000000" w:sz="4" w:space="0"/>
              <w:left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数量指标</w:t>
            </w: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指标1：外出引才</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前往武汉、成都、重庆、西安、兰州等地引人2次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394"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ascii="宋体" w:hAnsi="宋体" w:cs="宋体"/>
                <w:color w:val="000000"/>
                <w:kern w:val="0"/>
                <w:szCs w:val="21"/>
              </w:rPr>
            </w:pPr>
          </w:p>
        </w:tc>
        <w:tc>
          <w:tcPr>
            <w:tcW w:w="1134"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指标2：人才培训</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全年组织人才培训2次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341"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left"/>
              <w:rPr>
                <w:rFonts w:ascii="宋体" w:hAnsi="宋体" w:cs="宋体"/>
                <w:color w:val="000000"/>
                <w:kern w:val="0"/>
                <w:szCs w:val="21"/>
              </w:rPr>
            </w:pPr>
          </w:p>
        </w:tc>
        <w:tc>
          <w:tcPr>
            <w:tcW w:w="1134" w:type="dxa"/>
            <w:vMerge w:val="restart"/>
            <w:tcBorders>
              <w:top w:val="single" w:color="000000" w:sz="4" w:space="0"/>
              <w:left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质量指标</w:t>
            </w: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指标1：人才引进</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确保人才培训、人才活动、人才工作站（点）建设等工作顺利开展</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390"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p>
        </w:tc>
        <w:tc>
          <w:tcPr>
            <w:tcW w:w="1134"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指标2：人才津贴</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确保科技拔尖人才、行业名人津贴发放到位</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583"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项目效益指标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可持续影响指标</w:t>
            </w: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指标1：人才引进</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扩大利州区人才引进工作影响力，促进利州区敬才爱才社会氛围的形成</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406" w:hRule="atLeast"/>
        </w:trPr>
        <w:tc>
          <w:tcPr>
            <w:tcW w:w="866"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满意度指标</w:t>
            </w:r>
          </w:p>
        </w:tc>
        <w:tc>
          <w:tcPr>
            <w:tcW w:w="1134" w:type="dxa"/>
            <w:vMerge w:val="restart"/>
            <w:tcBorders>
              <w:top w:val="single" w:color="000000" w:sz="4" w:space="0"/>
              <w:left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满意度指标</w:t>
            </w: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指标1：引进人才满意度</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高层次引进人才满意度达95%以上</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r>
        <w:tblPrEx>
          <w:tblCellMar>
            <w:top w:w="0" w:type="dxa"/>
            <w:left w:w="0" w:type="dxa"/>
            <w:bottom w:w="0" w:type="dxa"/>
            <w:right w:w="0" w:type="dxa"/>
          </w:tblCellMar>
        </w:tblPrEx>
        <w:trPr>
          <w:trHeight w:val="937" w:hRule="atLeast"/>
        </w:trPr>
        <w:tc>
          <w:tcPr>
            <w:tcW w:w="866" w:type="dxa"/>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567" w:type="dxa"/>
            <w:gridSpan w:val="2"/>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p>
        </w:tc>
        <w:tc>
          <w:tcPr>
            <w:tcW w:w="1134" w:type="dxa"/>
            <w:vMerge w:val="continue"/>
            <w:tcBorders>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p>
        </w:tc>
        <w:tc>
          <w:tcPr>
            <w:tcW w:w="25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 指标2：社会群众满意度</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社会群众满意度达到80%以上</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完成</w:t>
            </w:r>
          </w:p>
        </w:tc>
      </w:tr>
    </w:tbl>
    <w:p>
      <w:pPr>
        <w:widowControl/>
        <w:spacing w:line="320" w:lineRule="exact"/>
        <w:jc w:val="left"/>
        <w:rPr>
          <w:rFonts w:ascii="宋体" w:hAnsi="宋体" w:cs="宋体"/>
          <w:color w:val="000000"/>
          <w:kern w:val="0"/>
          <w:szCs w:val="21"/>
        </w:rPr>
      </w:pPr>
    </w:p>
    <w:p>
      <w:pPr>
        <w:widowControl/>
        <w:spacing w:line="320" w:lineRule="exact"/>
        <w:jc w:val="left"/>
        <w:rPr>
          <w:rFonts w:ascii="宋体" w:hAnsi="宋体" w:cs="宋体"/>
          <w:color w:val="000000"/>
          <w:kern w:val="0"/>
          <w:szCs w:val="21"/>
        </w:rPr>
      </w:pPr>
      <w:r>
        <w:rPr>
          <w:rFonts w:ascii="宋体" w:hAnsi="宋体" w:cs="宋体"/>
          <w:color w:val="000000"/>
          <w:kern w:val="0"/>
          <w:szCs w:val="21"/>
        </w:rPr>
        <w:br w:type="page"/>
      </w: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“两新”党组织建设项目2020年绩效评价报告</w:t>
      </w:r>
    </w:p>
    <w:p>
      <w:pPr>
        <w:spacing w:line="600" w:lineRule="exact"/>
        <w:jc w:val="center"/>
        <w:rPr>
          <w:rFonts w:ascii="方正小标宋简体" w:hAnsi="宋体" w:eastAsia="方正小标宋简体"/>
          <w:color w:val="000000"/>
          <w:kern w:val="0"/>
          <w:sz w:val="36"/>
          <w:szCs w:val="36"/>
        </w:rPr>
      </w:pPr>
    </w:p>
    <w:p>
      <w:pPr>
        <w:pStyle w:val="27"/>
        <w:numPr>
          <w:ilvl w:val="0"/>
          <w:numId w:val="7"/>
        </w:numPr>
        <w:adjustRightInd w:val="0"/>
        <w:snapToGrid w:val="0"/>
        <w:spacing w:line="600" w:lineRule="exact"/>
        <w:ind w:firstLineChars="0"/>
        <w:rPr>
          <w:rFonts w:ascii="黑体" w:hAnsi="宋体" w:eastAsia="黑体"/>
          <w:sz w:val="32"/>
          <w:szCs w:val="32"/>
          <w:lang w:val="zh-CN"/>
        </w:rPr>
      </w:pPr>
      <w:r>
        <w:rPr>
          <w:rFonts w:hint="eastAsia" w:ascii="黑体" w:hAnsi="宋体" w:eastAsia="黑体"/>
          <w:sz w:val="32"/>
          <w:szCs w:val="32"/>
          <w:lang w:val="zh-CN"/>
        </w:rPr>
        <w:t>项目概况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根据区委组织部2020年重点工作任务立项，以实际开支情况作为资金申报的依据，由区委组织部负责该项目具体实施、过程监管和事后评价。具体绩效目标为：通过足额保障两新组织党组织党建工作经费、财政支持、党费返还、税前列支等工作经费，确保两新组织党组织工作有经费、活动常态化制度化，推动全区两新组织党建工作提质增效。</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绩效自评采用的组织实施步骤及方法：该项目具体由区委组织部组织一股、组织二股、组织三股、组织四股负责申报实施，分管业务股室副部长初审，分管财务副部长审批。项目资金预算申报时实行“两上两下”，使用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二、评价结论及建议</w:t>
      </w:r>
    </w:p>
    <w:p>
      <w:pPr>
        <w:spacing w:line="576" w:lineRule="exact"/>
        <w:ind w:firstLine="800" w:firstLineChars="250"/>
        <w:rPr>
          <w:rFonts w:ascii="仿宋_GB2312" w:hAnsi="仿宋_GB2312" w:eastAsia="仿宋_GB2312" w:cs="仿宋_GB2312"/>
          <w:sz w:val="32"/>
          <w:szCs w:val="32"/>
        </w:rPr>
      </w:pPr>
      <w:r>
        <w:rPr>
          <w:rFonts w:hint="eastAsia" w:ascii="方正仿宋简体" w:hAnsi="方正仿宋简体" w:eastAsia="方正仿宋简体" w:cs="方正仿宋简体"/>
          <w:bCs/>
          <w:sz w:val="32"/>
          <w:szCs w:val="32"/>
        </w:rPr>
        <w:t>项目全年预算数为173万元，执行数为114.35万元，完成预算66.1%。通过项目实施，全年调整乡镇（街道）两新组织综合党委书记5名，召开区委两新组织工委（扩大）会议3次。成立全市首个楼宇综合党委—万达晶座楼宇综合党委。大力实施两新组织“大排查、大培训、大整改、大宣讲”行动，精准建立“五清”工作台账21份，同步更新全省两新组织党建工作平台数据326家，排查出58个问题短板全面完成整改。新建党支部7个，非公企业和社会组织党组织覆盖率分别提升至80.65%、92.52%。</w:t>
      </w:r>
      <w:r>
        <w:rPr>
          <w:rFonts w:hint="eastAsia" w:ascii="仿宋_GB2312" w:hAnsi="仿宋_GB2312" w:eastAsia="仿宋_GB2312" w:cs="仿宋_GB2312"/>
          <w:sz w:val="32"/>
          <w:szCs w:val="32"/>
        </w:rPr>
        <w:t>本项目完成情况良好。</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存在的问题：项目支出绩效目标设置质量指标难以量化，评价难度较大。</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下一步改进措施：进</w:t>
      </w:r>
      <w:r>
        <w:rPr>
          <w:rFonts w:hint="eastAsia" w:ascii="仿宋_GB2312" w:eastAsia="仿宋_GB2312"/>
          <w:sz w:val="32"/>
          <w:szCs w:val="32"/>
        </w:rPr>
        <w:t>一步提高绩效编制的科学性、合理性、严谨性和可控性。</w:t>
      </w:r>
    </w:p>
    <w:tbl>
      <w:tblPr>
        <w:tblStyle w:val="15"/>
        <w:tblpPr w:leftFromText="180" w:rightFromText="180" w:vertAnchor="text" w:horzAnchor="page" w:tblpXSpec="center" w:tblpY="423"/>
        <w:tblOverlap w:val="never"/>
        <w:tblW w:w="9796" w:type="dxa"/>
        <w:tblInd w:w="0" w:type="dxa"/>
        <w:tblLayout w:type="fixed"/>
        <w:tblCellMar>
          <w:top w:w="0" w:type="dxa"/>
          <w:left w:w="0" w:type="dxa"/>
          <w:bottom w:w="0" w:type="dxa"/>
          <w:right w:w="0" w:type="dxa"/>
        </w:tblCellMar>
      </w:tblPr>
      <w:tblGrid>
        <w:gridCol w:w="1315"/>
        <w:gridCol w:w="1394"/>
        <w:gridCol w:w="979"/>
        <w:gridCol w:w="1856"/>
        <w:gridCol w:w="2835"/>
        <w:gridCol w:w="141"/>
        <w:gridCol w:w="1276"/>
      </w:tblGrid>
      <w:tr>
        <w:tblPrEx>
          <w:tblCellMar>
            <w:top w:w="0" w:type="dxa"/>
            <w:left w:w="0" w:type="dxa"/>
            <w:bottom w:w="0" w:type="dxa"/>
            <w:right w:w="0" w:type="dxa"/>
          </w:tblCellMar>
        </w:tblPrEx>
        <w:trPr>
          <w:trHeight w:val="362" w:hRule="atLeast"/>
        </w:trPr>
        <w:tc>
          <w:tcPr>
            <w:tcW w:w="9796" w:type="dxa"/>
            <w:gridSpan w:val="7"/>
            <w:tcBorders>
              <w:bottom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t>项目支出绩效目标完成情况表</w:t>
            </w:r>
          </w:p>
          <w:p>
            <w:pPr>
              <w:widowControl/>
              <w:jc w:val="center"/>
              <w:textAlignment w:val="center"/>
              <w:rPr>
                <w:rFonts w:ascii="仿宋_GB2312" w:hAnsi="宋体" w:eastAsia="仿宋_GB2312" w:cs="宋体"/>
                <w:b/>
                <w:color w:val="000000"/>
                <w:sz w:val="32"/>
                <w:szCs w:val="32"/>
              </w:rPr>
            </w:pPr>
            <w:r>
              <w:rPr>
                <w:rFonts w:hint="eastAsia" w:ascii="仿宋_GB2312" w:hAnsi="宋体" w:eastAsia="仿宋_GB2312" w:cs="宋体"/>
                <w:b/>
                <w:color w:val="000000"/>
                <w:kern w:val="0"/>
                <w:sz w:val="32"/>
                <w:szCs w:val="32"/>
                <w:lang w:bidi="ar"/>
              </w:rPr>
              <w:t>(2020 年度)</w:t>
            </w:r>
          </w:p>
        </w:tc>
      </w:tr>
      <w:tr>
        <w:tblPrEx>
          <w:tblCellMar>
            <w:top w:w="0" w:type="dxa"/>
            <w:left w:w="0" w:type="dxa"/>
            <w:bottom w:w="0" w:type="dxa"/>
            <w:right w:w="0" w:type="dxa"/>
          </w:tblCellMar>
        </w:tblPrEx>
        <w:trPr>
          <w:trHeight w:val="293" w:hRule="atLeast"/>
        </w:trPr>
        <w:tc>
          <w:tcPr>
            <w:tcW w:w="36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项目名称</w:t>
            </w:r>
          </w:p>
        </w:tc>
        <w:tc>
          <w:tcPr>
            <w:tcW w:w="61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两新党组织建设</w:t>
            </w:r>
          </w:p>
        </w:tc>
      </w:tr>
      <w:tr>
        <w:tblPrEx>
          <w:tblCellMar>
            <w:top w:w="0" w:type="dxa"/>
            <w:left w:w="0" w:type="dxa"/>
            <w:bottom w:w="0" w:type="dxa"/>
            <w:right w:w="0" w:type="dxa"/>
          </w:tblCellMar>
        </w:tblPrEx>
        <w:trPr>
          <w:trHeight w:val="97" w:hRule="atLeast"/>
        </w:trPr>
        <w:tc>
          <w:tcPr>
            <w:tcW w:w="36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预算单位</w:t>
            </w:r>
          </w:p>
        </w:tc>
        <w:tc>
          <w:tcPr>
            <w:tcW w:w="61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中共广元市利州区委组织部</w:t>
            </w:r>
          </w:p>
        </w:tc>
      </w:tr>
      <w:tr>
        <w:tblPrEx>
          <w:tblCellMar>
            <w:top w:w="0" w:type="dxa"/>
            <w:left w:w="0" w:type="dxa"/>
            <w:bottom w:w="0" w:type="dxa"/>
            <w:right w:w="0" w:type="dxa"/>
          </w:tblCellMar>
        </w:tblPrEx>
        <w:trPr>
          <w:trHeight w:val="97" w:hRule="atLeast"/>
        </w:trPr>
        <w:tc>
          <w:tcPr>
            <w:tcW w:w="13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(万元)</w:t>
            </w:r>
          </w:p>
        </w:tc>
        <w:tc>
          <w:tcPr>
            <w:tcW w:w="23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预算数:</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173万元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执行数:</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114.35万元</w:t>
            </w:r>
          </w:p>
        </w:tc>
      </w:tr>
      <w:tr>
        <w:tblPrEx>
          <w:tblCellMar>
            <w:top w:w="0" w:type="dxa"/>
            <w:left w:w="0" w:type="dxa"/>
            <w:bottom w:w="0" w:type="dxa"/>
            <w:right w:w="0" w:type="dxa"/>
          </w:tblCellMar>
        </w:tblPrEx>
        <w:trPr>
          <w:trHeight w:val="303" w:hRule="atLeast"/>
        </w:trPr>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23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173万元</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114.35万元</w:t>
            </w:r>
          </w:p>
        </w:tc>
      </w:tr>
      <w:tr>
        <w:tblPrEx>
          <w:tblCellMar>
            <w:top w:w="0" w:type="dxa"/>
            <w:left w:w="0" w:type="dxa"/>
            <w:bottom w:w="0" w:type="dxa"/>
            <w:right w:w="0" w:type="dxa"/>
          </w:tblCellMar>
        </w:tblPrEx>
        <w:trPr>
          <w:trHeight w:val="175" w:hRule="atLeast"/>
        </w:trPr>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23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8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0</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0</w:t>
            </w:r>
          </w:p>
        </w:tc>
      </w:tr>
      <w:tr>
        <w:tblPrEx>
          <w:tblCellMar>
            <w:top w:w="0" w:type="dxa"/>
            <w:left w:w="0" w:type="dxa"/>
            <w:bottom w:w="0" w:type="dxa"/>
            <w:right w:w="0" w:type="dxa"/>
          </w:tblCellMar>
        </w:tblPrEx>
        <w:trPr>
          <w:trHeight w:val="97" w:hRule="atLeast"/>
        </w:trPr>
        <w:tc>
          <w:tcPr>
            <w:tcW w:w="13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目标</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情况</w:t>
            </w:r>
          </w:p>
        </w:tc>
        <w:tc>
          <w:tcPr>
            <w:tcW w:w="42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25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730" w:hRule="atLeast"/>
        </w:trPr>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42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通过足额保障两新组织党组织党建工作经费、财政支持、党费返还、税前列支等工作经费，确保两新组织党组织工作有经费、活动常态化制度化，推动全区两新组织党建工作</w:t>
            </w:r>
            <w:r>
              <w:rPr>
                <w:rFonts w:hint="eastAsia" w:ascii="宋体" w:hAnsi="宋体" w:cs="宋体"/>
                <w:color w:val="000000"/>
                <w:kern w:val="0"/>
                <w:sz w:val="22"/>
                <w:szCs w:val="21"/>
                <w:lang w:eastAsia="zh-CN"/>
              </w:rPr>
              <w:t>提质增效</w:t>
            </w:r>
            <w:r>
              <w:rPr>
                <w:rFonts w:hint="eastAsia" w:ascii="宋体" w:hAnsi="宋体" w:cs="宋体"/>
                <w:color w:val="000000"/>
                <w:kern w:val="0"/>
                <w:sz w:val="22"/>
                <w:szCs w:val="21"/>
              </w:rPr>
              <w:t>。</w:t>
            </w:r>
          </w:p>
        </w:tc>
        <w:tc>
          <w:tcPr>
            <w:tcW w:w="425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足额保障两新组织党组织党建工作经费，确保两新组织党组织工作有经费、活动常态化制度化开展。 </w:t>
            </w:r>
          </w:p>
        </w:tc>
      </w:tr>
      <w:tr>
        <w:tblPrEx>
          <w:tblCellMar>
            <w:top w:w="0" w:type="dxa"/>
            <w:left w:w="0" w:type="dxa"/>
            <w:bottom w:w="0" w:type="dxa"/>
            <w:right w:w="0" w:type="dxa"/>
          </w:tblCellMar>
        </w:tblPrEx>
        <w:trPr>
          <w:trHeight w:val="711" w:hRule="atLeast"/>
        </w:trPr>
        <w:tc>
          <w:tcPr>
            <w:tcW w:w="13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一级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指标</w:t>
            </w:r>
          </w:p>
        </w:tc>
        <w:tc>
          <w:tcPr>
            <w:tcW w:w="1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二级指标</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三级指标</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指标值</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得分</w:t>
            </w:r>
          </w:p>
        </w:tc>
      </w:tr>
      <w:tr>
        <w:tblPrEx>
          <w:tblCellMar>
            <w:top w:w="0" w:type="dxa"/>
            <w:left w:w="0" w:type="dxa"/>
            <w:bottom w:w="0" w:type="dxa"/>
            <w:right w:w="0" w:type="dxa"/>
          </w:tblCellMar>
        </w:tblPrEx>
        <w:trPr>
          <w:trHeight w:val="791" w:hRule="atLeast"/>
        </w:trPr>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绩效</w:t>
            </w:r>
          </w:p>
          <w:p>
            <w:pPr>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w:t>
            </w:r>
          </w:p>
        </w:tc>
        <w:tc>
          <w:tcPr>
            <w:tcW w:w="13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数量指标</w:t>
            </w:r>
          </w:p>
          <w:p>
            <w:pPr>
              <w:widowControl/>
              <w:spacing w:line="320" w:lineRule="exact"/>
              <w:jc w:val="center"/>
              <w:rPr>
                <w:rFonts w:ascii="宋体" w:hAnsi="宋体" w:cs="宋体"/>
                <w:color w:val="000000"/>
                <w:kern w:val="0"/>
                <w:sz w:val="22"/>
                <w:szCs w:val="21"/>
              </w:rPr>
            </w:pP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1"/>
              </w:rPr>
            </w:pPr>
            <w:r>
              <w:rPr>
                <w:rFonts w:hint="eastAsia" w:ascii="宋体" w:hAnsi="宋体" w:cs="宋体"/>
                <w:color w:val="000000"/>
                <w:kern w:val="0"/>
                <w:sz w:val="22"/>
                <w:szCs w:val="21"/>
              </w:rPr>
              <w:t xml:space="preserve"> 指标1：两新组织党支部</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新成立20个两新组织党支部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未完成</w:t>
            </w:r>
          </w:p>
        </w:tc>
      </w:tr>
      <w:tr>
        <w:tblPrEx>
          <w:tblCellMar>
            <w:top w:w="0" w:type="dxa"/>
            <w:left w:w="0" w:type="dxa"/>
            <w:bottom w:w="0" w:type="dxa"/>
            <w:right w:w="0" w:type="dxa"/>
          </w:tblCellMar>
        </w:tblPrEx>
        <w:trPr>
          <w:trHeight w:val="1256" w:hRule="atLeast"/>
        </w:trPr>
        <w:tc>
          <w:tcPr>
            <w:tcW w:w="131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3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center"/>
              <w:rPr>
                <w:rFonts w:ascii="宋体" w:hAnsi="宋体" w:cs="宋体"/>
                <w:color w:val="000000"/>
                <w:kern w:val="0"/>
                <w:sz w:val="22"/>
                <w:szCs w:val="21"/>
              </w:rPr>
            </w:pP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1"/>
              </w:rPr>
            </w:pPr>
            <w:r>
              <w:rPr>
                <w:rFonts w:hint="eastAsia" w:ascii="宋体" w:hAnsi="宋体" w:cs="宋体"/>
                <w:color w:val="000000"/>
                <w:kern w:val="0"/>
                <w:sz w:val="22"/>
                <w:szCs w:val="21"/>
              </w:rPr>
              <w:t xml:space="preserve"> 指标2： 两新组织行业综合党组织</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 xml:space="preserve">10个两新组织综合党委工作经费10*1万元=10万元；2个“两新”组织综合党总支工作经费2*0.5万元=1万元； </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CellMar>
            <w:top w:w="0" w:type="dxa"/>
            <w:left w:w="0" w:type="dxa"/>
            <w:bottom w:w="0" w:type="dxa"/>
            <w:right w:w="0" w:type="dxa"/>
          </w:tblCellMar>
        </w:tblPrEx>
        <w:trPr>
          <w:trHeight w:val="484" w:hRule="atLeast"/>
        </w:trPr>
        <w:tc>
          <w:tcPr>
            <w:tcW w:w="1315"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3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20" w:lineRule="exact"/>
              <w:jc w:val="center"/>
              <w:rPr>
                <w:rFonts w:ascii="宋体" w:hAnsi="宋体" w:cs="宋体"/>
                <w:color w:val="000000"/>
                <w:kern w:val="0"/>
                <w:sz w:val="22"/>
                <w:szCs w:val="21"/>
              </w:rPr>
            </w:pP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1"/>
              </w:rPr>
            </w:pPr>
            <w:r>
              <w:rPr>
                <w:rFonts w:hint="eastAsia" w:ascii="宋体" w:hAnsi="宋体" w:cs="宋体"/>
                <w:color w:val="000000"/>
                <w:kern w:val="0"/>
                <w:sz w:val="22"/>
                <w:szCs w:val="21"/>
              </w:rPr>
              <w:t xml:space="preserve"> 指标3： 两新组织党支部</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350个两新组织党建工作经费350*0.3万元=105万元；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CellMar>
            <w:top w:w="0" w:type="dxa"/>
            <w:left w:w="0" w:type="dxa"/>
            <w:bottom w:w="0" w:type="dxa"/>
            <w:right w:w="0" w:type="dxa"/>
          </w:tblCellMar>
        </w:tblPrEx>
        <w:trPr>
          <w:trHeight w:val="830" w:hRule="atLeast"/>
        </w:trPr>
        <w:tc>
          <w:tcPr>
            <w:tcW w:w="1315"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3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2"/>
                <w:szCs w:val="21"/>
              </w:rPr>
            </w:pPr>
            <w:r>
              <w:rPr>
                <w:rFonts w:hint="eastAsia" w:ascii="宋体" w:hAnsi="宋体" w:cs="宋体"/>
                <w:color w:val="000000"/>
                <w:kern w:val="0"/>
                <w:sz w:val="22"/>
                <w:szCs w:val="21"/>
              </w:rPr>
              <w:t xml:space="preserve"> 指标4： 两新组织党支部书记岗位补贴</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350个两新组织党支部书记岗位补贴350*0.12万元=42万元；</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CellMar>
            <w:top w:w="0" w:type="dxa"/>
            <w:left w:w="0" w:type="dxa"/>
            <w:bottom w:w="0" w:type="dxa"/>
            <w:right w:w="0" w:type="dxa"/>
          </w:tblCellMar>
        </w:tblPrEx>
        <w:trPr>
          <w:trHeight w:val="543" w:hRule="atLeast"/>
        </w:trPr>
        <w:tc>
          <w:tcPr>
            <w:tcW w:w="1315" w:type="dxa"/>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成本指标</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rPr>
              <w:t xml:space="preserve"> 指标1： 两新组织党务宣传培训</w:t>
            </w:r>
          </w:p>
        </w:tc>
        <w:tc>
          <w:tcPr>
            <w:tcW w:w="297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两新组织党务宣传培训经费控制在5万元以内</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bl>
    <w:p/>
    <w:p>
      <w:pPr>
        <w:widowControl/>
        <w:jc w:val="left"/>
      </w:pPr>
      <w:r>
        <w:br w:type="page"/>
      </w:r>
    </w:p>
    <w:p>
      <w:pPr>
        <w:spacing w:line="600" w:lineRule="exact"/>
        <w:jc w:val="center"/>
        <w:rPr>
          <w:rFonts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干部选任项目2020年绩效评价报告</w:t>
      </w:r>
    </w:p>
    <w:p>
      <w:pPr>
        <w:spacing w:line="600" w:lineRule="exact"/>
        <w:rPr>
          <w:rFonts w:ascii="方正小标宋简体" w:hAnsi="宋体" w:eastAsia="方正小标宋简体"/>
          <w:color w:val="000000"/>
          <w:kern w:val="0"/>
          <w:sz w:val="36"/>
          <w:szCs w:val="36"/>
          <w:lang w:val="zh-CN"/>
        </w:rPr>
      </w:pPr>
    </w:p>
    <w:p>
      <w:pPr>
        <w:adjustRightInd w:val="0"/>
        <w:snapToGrid w:val="0"/>
        <w:spacing w:line="600" w:lineRule="exact"/>
        <w:ind w:left="851"/>
        <w:rPr>
          <w:rFonts w:ascii="黑体" w:hAnsi="宋体" w:eastAsia="黑体"/>
          <w:sz w:val="32"/>
          <w:szCs w:val="32"/>
          <w:lang w:val="zh-CN"/>
        </w:rPr>
      </w:pPr>
      <w:r>
        <w:rPr>
          <w:rFonts w:hint="eastAsia" w:ascii="黑体" w:hAnsi="宋体" w:eastAsia="黑体"/>
          <w:sz w:val="32"/>
          <w:szCs w:val="32"/>
          <w:lang w:val="zh-CN"/>
        </w:rPr>
        <w:t>一、项目概况</w:t>
      </w:r>
    </w:p>
    <w:p>
      <w:pPr>
        <w:spacing w:line="576"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该项目根据利州区委组织部2020年重点工作立项，以实际开支情况作为资金申报的依据，由区委组织部负责该项目具体实施、过程监管和事后评价。具体绩效目标为：严格选人用人标准，大力培养忠诚干净担当的高素质干部，打造有定力有激情有担当的执政骨干力量。常态化开展领导班子和领导干部分析研判，做好干部调配工作。坚持分层分类，大力度开展干部教育培训。启动实施专业化干部、年轻干部、女干部、党外干部培养储备计划。</w:t>
      </w:r>
      <w:r>
        <w:rPr>
          <w:rFonts w:ascii="仿宋" w:hAnsi="仿宋" w:eastAsia="仿宋" w:cs="仿宋_GB2312"/>
          <w:sz w:val="32"/>
          <w:szCs w:val="32"/>
        </w:rPr>
        <w:t xml:space="preserve"> </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绩效自评采用的组织实施步骤及方法：该项目具体由区委组织部干部一股、干部二股、公务员股申报实施，分管业务股室副部长初审，分管财务副部长审批。项目资金预算申报时实行“两上两下”，使用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二、评价结论及建议</w:t>
      </w:r>
    </w:p>
    <w:p>
      <w:pPr>
        <w:spacing w:line="576"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为5.4万元，执行数为5.15万元，完成预算95.4%。通过项目实施，全年高质量推进全区干部队伍建设，健全干部考核评价机制，对全区科级领导班子和科级干部开展全覆盖分析研判，全面了解各科级领导班子运行状况和科级干部履职情况，做好“换届年”各项准备工作。进一步完善了干部教育培训体系，高标准强化公务员队伍管理，高质量完成省委巡视整改工作，进一步加强对区属国企领导班子的管理，配齐配强4家区属国有企业12名高管及14中层管理人员。本项目完成情况良好。</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存在的问题：项目支出绩效目标质量指标难以量化，评价难度较大。</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下一步改进措施：</w:t>
      </w:r>
      <w:r>
        <w:rPr>
          <w:rFonts w:hint="eastAsia" w:ascii="仿宋_GB2312" w:eastAsia="仿宋_GB2312"/>
          <w:sz w:val="32"/>
          <w:szCs w:val="32"/>
        </w:rPr>
        <w:t>加强预算编制的前瞻性，进一步细化预算编制,编制范围尽可能全面，不漏项</w:t>
      </w:r>
      <w:r>
        <w:rPr>
          <w:rFonts w:hint="eastAsia" w:ascii="仿宋" w:hAnsi="仿宋" w:eastAsia="仿宋" w:cs="仿宋_GB2312"/>
          <w:sz w:val="32"/>
          <w:szCs w:val="32"/>
        </w:rPr>
        <w:t>。</w:t>
      </w:r>
    </w:p>
    <w:tbl>
      <w:tblPr>
        <w:tblStyle w:val="15"/>
        <w:tblpPr w:leftFromText="180" w:rightFromText="180" w:vertAnchor="text" w:horzAnchor="page" w:tblpXSpec="center" w:tblpY="423"/>
        <w:tblOverlap w:val="never"/>
        <w:tblW w:w="97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315"/>
        <w:gridCol w:w="1110"/>
        <w:gridCol w:w="1263"/>
        <w:gridCol w:w="1856"/>
        <w:gridCol w:w="2835"/>
        <w:gridCol w:w="850"/>
        <w:gridCol w:w="56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9796" w:type="dxa"/>
            <w:gridSpan w:val="7"/>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2"/>
                <w:szCs w:val="32"/>
                <w:lang w:bidi="ar"/>
              </w:rPr>
            </w:pPr>
            <w:r>
              <w:br w:type="page"/>
            </w:r>
            <w:r>
              <w:rPr>
                <w:rFonts w:hint="eastAsia" w:ascii="宋体" w:hAnsi="宋体" w:cs="宋体"/>
                <w:b/>
                <w:bCs/>
                <w:color w:val="000000"/>
                <w:kern w:val="0"/>
                <w:sz w:val="32"/>
                <w:szCs w:val="32"/>
                <w:lang w:bidi="ar"/>
              </w:rPr>
              <w:t>项目支出绩效目标完成情况表</w:t>
            </w:r>
          </w:p>
          <w:p>
            <w:pPr>
              <w:widowControl/>
              <w:jc w:val="center"/>
              <w:textAlignment w:val="center"/>
              <w:rPr>
                <w:rFonts w:ascii="仿宋_GB2312" w:hAnsi="宋体" w:eastAsia="仿宋_GB2312" w:cs="宋体"/>
                <w:b/>
                <w:color w:val="000000"/>
                <w:sz w:val="32"/>
                <w:szCs w:val="32"/>
              </w:rPr>
            </w:pPr>
            <w:r>
              <w:rPr>
                <w:rFonts w:hint="eastAsia" w:ascii="仿宋_GB2312" w:hAnsi="宋体" w:eastAsia="仿宋_GB2312" w:cs="宋体"/>
                <w:b/>
                <w:color w:val="000000"/>
                <w:kern w:val="0"/>
                <w:sz w:val="32"/>
                <w:szCs w:val="32"/>
                <w:lang w:bidi="ar"/>
              </w:rPr>
              <w:t>(2020 年度)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3688" w:type="dxa"/>
            <w:gridSpan w:val="3"/>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项目名称</w:t>
            </w:r>
          </w:p>
        </w:tc>
        <w:tc>
          <w:tcPr>
            <w:tcW w:w="6108" w:type="dxa"/>
            <w:gridSpan w:val="4"/>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干部选任</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3688" w:type="dxa"/>
            <w:gridSpan w:val="3"/>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预算单位</w:t>
            </w:r>
          </w:p>
        </w:tc>
        <w:tc>
          <w:tcPr>
            <w:tcW w:w="6108" w:type="dxa"/>
            <w:gridSpan w:val="4"/>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中共广元市利州区委组织部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1315" w:type="dxa"/>
            <w:vMerge w:val="restart"/>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(万元)</w:t>
            </w: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预算数:</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5.4万元</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执行数:</w:t>
            </w:r>
          </w:p>
        </w:tc>
        <w:tc>
          <w:tcPr>
            <w:tcW w:w="1417"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5.15万元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315" w:type="dxa"/>
            <w:vMerge w:val="continue"/>
            <w:vAlign w:val="center"/>
          </w:tcPr>
          <w:p>
            <w:pPr>
              <w:widowControl/>
              <w:jc w:val="center"/>
              <w:rPr>
                <w:rFonts w:ascii="宋体" w:hAnsi="宋体" w:cs="宋体"/>
                <w:color w:val="000000"/>
                <w:sz w:val="24"/>
              </w:rPr>
            </w:pP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5.4万元</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417"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5.15万元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75" w:hRule="atLeast"/>
        </w:trPr>
        <w:tc>
          <w:tcPr>
            <w:tcW w:w="1315" w:type="dxa"/>
            <w:vMerge w:val="continue"/>
            <w:vAlign w:val="center"/>
          </w:tcPr>
          <w:p>
            <w:pPr>
              <w:widowControl/>
              <w:jc w:val="center"/>
              <w:rPr>
                <w:rFonts w:ascii="宋体" w:hAnsi="宋体" w:cs="宋体"/>
                <w:color w:val="000000"/>
                <w:sz w:val="24"/>
              </w:rPr>
            </w:pP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0</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417" w:type="dxa"/>
            <w:gridSpan w:val="2"/>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1315" w:type="dxa"/>
            <w:vMerge w:val="restart"/>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目标</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情况</w:t>
            </w:r>
          </w:p>
        </w:tc>
        <w:tc>
          <w:tcPr>
            <w:tcW w:w="4229" w:type="dxa"/>
            <w:gridSpan w:val="3"/>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252" w:type="dxa"/>
            <w:gridSpan w:val="3"/>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13" w:hRule="atLeast"/>
        </w:trPr>
        <w:tc>
          <w:tcPr>
            <w:tcW w:w="1315" w:type="dxa"/>
            <w:vMerge w:val="continue"/>
            <w:vAlign w:val="center"/>
          </w:tcPr>
          <w:p>
            <w:pPr>
              <w:widowControl/>
              <w:jc w:val="center"/>
              <w:rPr>
                <w:rFonts w:ascii="宋体" w:hAnsi="宋体" w:cs="宋体"/>
                <w:color w:val="000000"/>
                <w:sz w:val="24"/>
              </w:rPr>
            </w:pPr>
          </w:p>
        </w:tc>
        <w:tc>
          <w:tcPr>
            <w:tcW w:w="4229"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 xml:space="preserve">  严格选人用人标准，大力培养忠诚干净担当的高素质干部，打造有定力有激情有担当的执政骨干力量。常态化开展领导班子和领导干部分析研判，做好干部调配工作。坚持分层分类，大力度开展干部教育培训。启动实施专业化干部、年轻干部、女干部、党外干部培养储备计划。</w:t>
            </w:r>
          </w:p>
        </w:tc>
        <w:tc>
          <w:tcPr>
            <w:tcW w:w="4252" w:type="dxa"/>
            <w:gridSpan w:val="3"/>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w:t>
            </w:r>
            <w:r>
              <w:rPr>
                <w:rFonts w:hint="eastAsia" w:ascii="方正楷体简体" w:hAnsi="方正楷体简体" w:eastAsia="方正楷体简体" w:cs="方正楷体简体"/>
              </w:rPr>
              <w:t>健全干部考核评价机制，切实加强区属国企领导班子管理，</w:t>
            </w:r>
            <w:r>
              <w:rPr>
                <w:rFonts w:hint="eastAsia" w:ascii="宋体" w:hAnsi="宋体" w:cs="宋体"/>
                <w:color w:val="000000"/>
                <w:kern w:val="0"/>
                <w:sz w:val="22"/>
                <w:szCs w:val="21"/>
              </w:rPr>
              <w:t xml:space="preserve"> </w:t>
            </w:r>
            <w:r>
              <w:rPr>
                <w:rFonts w:hint="eastAsia" w:ascii="方正楷体简体" w:hAnsi="方正楷体简体" w:eastAsia="方正楷体简体" w:cs="方正楷体简体"/>
              </w:rPr>
              <w:t>高质量推进全区干部队伍建设，</w:t>
            </w:r>
            <w:r>
              <w:rPr>
                <w:rFonts w:hint="eastAsia" w:ascii="宋体" w:hAnsi="宋体" w:cs="宋体"/>
                <w:color w:val="000000"/>
                <w:kern w:val="0"/>
                <w:sz w:val="22"/>
                <w:szCs w:val="21"/>
              </w:rPr>
              <w:t>做好“换届年”各项准备工作。</w:t>
            </w:r>
            <w:r>
              <w:rPr>
                <w:rFonts w:hint="eastAsia" w:ascii="方正楷体简体" w:hAnsi="方正楷体简体" w:eastAsia="方正楷体简体" w:cs="方正楷体简体"/>
              </w:rPr>
              <w:t>进一步完善干部教育培训体系，高标准强化公务员队伍管理，高质量完成省委巡视整改工作。</w:t>
            </w:r>
            <w:r>
              <w:rPr>
                <w:rFonts w:ascii="宋体" w:hAnsi="宋体" w:cs="宋体"/>
                <w:color w:val="000000"/>
                <w:kern w:val="0"/>
                <w:sz w:val="22"/>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315"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一级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指标</w:t>
            </w:r>
          </w:p>
        </w:tc>
        <w:tc>
          <w:tcPr>
            <w:tcW w:w="1110" w:type="dxa"/>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二级指标</w:t>
            </w:r>
          </w:p>
        </w:tc>
        <w:tc>
          <w:tcPr>
            <w:tcW w:w="3119" w:type="dxa"/>
            <w:gridSpan w:val="2"/>
            <w:vAlign w:val="center"/>
          </w:tcPr>
          <w:p>
            <w:pPr>
              <w:widowControl/>
              <w:spacing w:line="320" w:lineRule="exact"/>
              <w:jc w:val="center"/>
              <w:rPr>
                <w:rFonts w:ascii="宋体" w:hAnsi="宋体" w:cs="宋体"/>
                <w:color w:val="000000"/>
                <w:kern w:val="0"/>
                <w:sz w:val="20"/>
                <w:szCs w:val="21"/>
              </w:rPr>
            </w:pPr>
            <w:r>
              <w:rPr>
                <w:rFonts w:hint="eastAsia" w:ascii="宋体" w:hAnsi="宋体" w:cs="宋体"/>
                <w:color w:val="000000"/>
                <w:kern w:val="0"/>
                <w:sz w:val="20"/>
                <w:szCs w:val="21"/>
              </w:rPr>
              <w:t>三级指标</w:t>
            </w:r>
          </w:p>
        </w:tc>
        <w:tc>
          <w:tcPr>
            <w:tcW w:w="3685" w:type="dxa"/>
            <w:gridSpan w:val="2"/>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指标值</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315" w:type="dxa"/>
            <w:vMerge w:val="restart"/>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绩效</w:t>
            </w:r>
          </w:p>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指标</w:t>
            </w:r>
          </w:p>
        </w:tc>
        <w:tc>
          <w:tcPr>
            <w:tcW w:w="1110"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质量指标</w:t>
            </w:r>
          </w:p>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Cs w:val="22"/>
              </w:rPr>
            </w:pPr>
            <w:r>
              <w:rPr>
                <w:rFonts w:hint="eastAsia"/>
                <w:szCs w:val="22"/>
              </w:rPr>
              <w:t xml:space="preserve"> 指标1：精准考察识别干部</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通过分析研判、日常考核和重点工作、重大项目推进等工作发现和识别干部，提拔重用一批政治过硬、品行端正、担当有为、群众公认的干部。</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Cs w:val="22"/>
              </w:rPr>
            </w:pPr>
            <w:r>
              <w:rPr>
                <w:rFonts w:hint="eastAsia"/>
                <w:szCs w:val="22"/>
              </w:rPr>
              <w:t xml:space="preserve"> 指标2：实行干部选任全程纪实</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严格执行干部选拔任用全程纪实制度，规范填写《干部选拔任用工作纪实表》，确保干部选任工作全过程有据可查。</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Cs w:val="22"/>
              </w:rPr>
            </w:pPr>
            <w:r>
              <w:rPr>
                <w:rFonts w:hint="eastAsia"/>
                <w:szCs w:val="22"/>
              </w:rPr>
              <w:t>指标3：开展干部选任业务培训</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建立健全干部考察责任追究制度，定期开展干部选任程序、谈心谈话技巧、考察考核纪律等业务培训，提升干部考察、考核质量。</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Cs w:val="22"/>
              </w:rPr>
            </w:pPr>
            <w:r>
              <w:rPr>
                <w:rFonts w:hint="eastAsia"/>
                <w:szCs w:val="22"/>
              </w:rPr>
              <w:t>指标4：常态化开展分析研判</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常态化开展领导班子和领导干部分析研判，动态掌握领导班子运行态势，明确调整优化方向，精准评价干部实绩表现，为配强班子、用好干部提供重要依据。</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 w:val="22"/>
              </w:rPr>
            </w:pPr>
            <w:r>
              <w:rPr>
                <w:rFonts w:hint="eastAsia"/>
                <w:sz w:val="20"/>
              </w:rPr>
              <w:t>指标5：完善科学考核评价机制</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修订完善领导班子和领导干部政绩考核办法，进一步健全完善平时考核和考核结果运用等制度。</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Cs w:val="22"/>
              </w:rPr>
            </w:pPr>
            <w:r>
              <w:rPr>
                <w:rFonts w:hint="eastAsia"/>
                <w:szCs w:val="22"/>
              </w:rPr>
              <w:t>指标6：完成质量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按年度目标完成，依据年初预算，专款专用，不挤占不挪用。</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3119" w:type="dxa"/>
            <w:gridSpan w:val="2"/>
            <w:vAlign w:val="center"/>
          </w:tcPr>
          <w:p>
            <w:pPr>
              <w:rPr>
                <w:rFonts w:ascii="宋体" w:hAnsi="宋体" w:cs="宋体"/>
                <w:szCs w:val="22"/>
              </w:rPr>
            </w:pPr>
            <w:r>
              <w:rPr>
                <w:rFonts w:hint="eastAsia"/>
                <w:szCs w:val="22"/>
              </w:rPr>
              <w:t xml:space="preserve"> 指标1：形成良好风气</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树立正确导向，营造风清气正的选人用人环境。</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p>
        </w:tc>
        <w:tc>
          <w:tcPr>
            <w:tcW w:w="3119" w:type="dxa"/>
            <w:gridSpan w:val="2"/>
            <w:vAlign w:val="center"/>
          </w:tcPr>
          <w:p>
            <w:pPr>
              <w:rPr>
                <w:rFonts w:ascii="宋体" w:hAnsi="宋体" w:cs="宋体"/>
                <w:sz w:val="22"/>
              </w:rPr>
            </w:pPr>
            <w:r>
              <w:rPr>
                <w:rFonts w:hint="eastAsia"/>
                <w:sz w:val="20"/>
              </w:rPr>
              <w:t xml:space="preserve"> 指标2：激发干部干事创业活力</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通过切实关心关爱干部，干部干事创业活力得到进一步激发。</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Cs w:val="21"/>
              </w:rPr>
            </w:pPr>
          </w:p>
        </w:tc>
        <w:tc>
          <w:tcPr>
            <w:tcW w:w="1110" w:type="dxa"/>
            <w:tcMar>
              <w:top w:w="15" w:type="dxa"/>
              <w:left w:w="15" w:type="dxa"/>
              <w:bottom w:w="0" w:type="dxa"/>
              <w:right w:w="15" w:type="dxa"/>
            </w:tcMar>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满意度</w:t>
            </w:r>
          </w:p>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指标</w:t>
            </w:r>
          </w:p>
        </w:tc>
        <w:tc>
          <w:tcPr>
            <w:tcW w:w="3119" w:type="dxa"/>
            <w:gridSpan w:val="2"/>
            <w:vAlign w:val="center"/>
          </w:tcPr>
          <w:p>
            <w:pPr>
              <w:rPr>
                <w:rFonts w:ascii="宋体" w:hAnsi="宋体" w:cs="宋体"/>
                <w:szCs w:val="22"/>
              </w:rPr>
            </w:pPr>
            <w:r>
              <w:rPr>
                <w:rFonts w:hint="eastAsia"/>
                <w:szCs w:val="22"/>
              </w:rPr>
              <w:t xml:space="preserve"> 指标1：服务对象满意度</w:t>
            </w:r>
          </w:p>
        </w:tc>
        <w:tc>
          <w:tcPr>
            <w:tcW w:w="3685" w:type="dxa"/>
            <w:gridSpan w:val="2"/>
            <w:tcMar>
              <w:top w:w="15" w:type="dxa"/>
              <w:left w:w="15" w:type="dxa"/>
              <w:bottom w:w="0" w:type="dxa"/>
              <w:right w:w="15" w:type="dxa"/>
            </w:tcMar>
            <w:vAlign w:val="center"/>
          </w:tcPr>
          <w:p>
            <w:pPr>
              <w:jc w:val="center"/>
              <w:rPr>
                <w:rFonts w:ascii="宋体" w:hAnsi="宋体" w:cs="宋体"/>
                <w:sz w:val="22"/>
              </w:rPr>
            </w:pPr>
            <w:r>
              <w:rPr>
                <w:rFonts w:hint="eastAsia"/>
                <w:sz w:val="20"/>
              </w:rPr>
              <w:t>选人用人满意度达到90%以上。</w:t>
            </w:r>
          </w:p>
        </w:tc>
        <w:tc>
          <w:tcPr>
            <w:tcW w:w="567" w:type="dxa"/>
            <w:vAlign w:val="center"/>
          </w:tcPr>
          <w:p>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完成</w:t>
            </w:r>
          </w:p>
        </w:tc>
      </w:tr>
    </w:tbl>
    <w:p>
      <w:pPr>
        <w:adjustRightInd w:val="0"/>
        <w:snapToGrid w:val="0"/>
        <w:spacing w:line="600" w:lineRule="exact"/>
        <w:ind w:firstLine="720"/>
        <w:rPr>
          <w:rFonts w:ascii="仿宋" w:hAnsi="仿宋" w:eastAsia="仿宋" w:cs="仿宋_GB2312"/>
          <w:sz w:val="28"/>
          <w:szCs w:val="32"/>
        </w:rPr>
      </w:pPr>
    </w:p>
    <w:p>
      <w:pPr>
        <w:widowControl/>
        <w:jc w:val="left"/>
        <w:rPr>
          <w:rFonts w:ascii="仿宋" w:hAnsi="仿宋" w:eastAsia="仿宋" w:cs="仿宋_GB2312"/>
          <w:sz w:val="28"/>
          <w:szCs w:val="32"/>
        </w:rPr>
      </w:pPr>
      <w:r>
        <w:rPr>
          <w:rFonts w:ascii="仿宋" w:hAnsi="仿宋" w:eastAsia="仿宋" w:cs="仿宋_GB2312"/>
          <w:sz w:val="28"/>
          <w:szCs w:val="32"/>
        </w:rPr>
        <w:br w:type="page"/>
      </w:r>
    </w:p>
    <w:p>
      <w:pPr>
        <w:adjustRightInd w:val="0"/>
        <w:snapToGrid w:val="0"/>
        <w:spacing w:line="600" w:lineRule="exact"/>
        <w:ind w:firstLine="72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36"/>
          <w:szCs w:val="36"/>
          <w:lang w:val="zh-CN"/>
        </w:rPr>
      </w:pPr>
      <w:r>
        <w:rPr>
          <w:rFonts w:hint="eastAsia" w:ascii="方正小标宋简体" w:hAnsi="宋体" w:eastAsia="方正小标宋简体"/>
          <w:color w:val="000000"/>
          <w:kern w:val="0"/>
          <w:sz w:val="36"/>
          <w:szCs w:val="36"/>
        </w:rPr>
        <w:t>组织系统网络宣传项目2020年绩</w:t>
      </w:r>
      <w:r>
        <w:rPr>
          <w:rFonts w:hint="eastAsia" w:ascii="方正小标宋简体" w:hAnsi="宋体" w:eastAsia="方正小标宋简体"/>
          <w:color w:val="000000"/>
          <w:kern w:val="0"/>
          <w:sz w:val="36"/>
          <w:szCs w:val="36"/>
          <w:lang w:val="zh-CN"/>
        </w:rPr>
        <w:t>效评价报告</w:t>
      </w:r>
    </w:p>
    <w:p>
      <w:pPr>
        <w:spacing w:line="600" w:lineRule="exact"/>
        <w:jc w:val="center"/>
        <w:rPr>
          <w:rFonts w:ascii="方正小标宋简体" w:hAnsi="宋体" w:eastAsia="方正小标宋简体"/>
          <w:color w:val="000000"/>
          <w:kern w:val="0"/>
          <w:sz w:val="36"/>
          <w:szCs w:val="36"/>
          <w:lang w:val="zh-CN"/>
        </w:rPr>
      </w:pPr>
    </w:p>
    <w:p>
      <w:pPr>
        <w:adjustRightInd w:val="0"/>
        <w:snapToGrid w:val="0"/>
        <w:spacing w:line="600" w:lineRule="exact"/>
        <w:ind w:firstLine="640" w:firstLineChars="20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600" w:lineRule="exact"/>
        <w:ind w:firstLine="640" w:firstLineChars="200"/>
        <w:rPr>
          <w:rFonts w:ascii="黑体" w:hAnsi="宋体" w:eastAsia="黑体"/>
          <w:sz w:val="32"/>
          <w:szCs w:val="32"/>
          <w:lang w:val="zh-CN"/>
        </w:rPr>
      </w:pPr>
      <w:r>
        <w:rPr>
          <w:rFonts w:hint="eastAsia" w:ascii="仿宋" w:hAnsi="仿宋" w:eastAsia="仿宋" w:cs="仿宋_GB2312"/>
          <w:sz w:val="32"/>
          <w:szCs w:val="32"/>
        </w:rPr>
        <w:t>该项目根据利州区委组织部重点工作立项，以实际开支情况作为资金申报的依据，由区委组织部负责该项目具体实施、过程监管和事后评价。具体绩效目标为：进一步提升全区组织系统网宣队伍业务能力和网络宣传工作水平，全面发挥网络宣传思想引领、正面引导、凝心聚力、助推党建、兴风正气的作用，为组织工作顺利开展提供有力的舆论支持。</w:t>
      </w:r>
      <w:r>
        <w:rPr>
          <w:rFonts w:hint="eastAsia" w:ascii="黑体" w:hAnsi="宋体" w:eastAsia="黑体"/>
          <w:sz w:val="32"/>
          <w:szCs w:val="32"/>
          <w:lang w:val="zh-CN"/>
        </w:rPr>
        <w:t xml:space="preserve"> </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绩效自评采用的组织实施步骤及方法：该项目具体由宣传和信息化办公室负责申报实施，分管业务股室副部长初审，分管财务副部长审批。项目资金预算申报时实行“两上两下”，使用实行一事一审，分事前、事中、事后控制，达到项目预期目的。</w:t>
      </w:r>
    </w:p>
    <w:p>
      <w:pPr>
        <w:adjustRightInd w:val="0"/>
        <w:snapToGrid w:val="0"/>
        <w:spacing w:line="600" w:lineRule="exact"/>
        <w:ind w:firstLine="880" w:firstLineChars="275"/>
        <w:rPr>
          <w:rFonts w:ascii="黑体" w:hAnsi="宋体" w:eastAsia="黑体"/>
          <w:sz w:val="32"/>
          <w:szCs w:val="32"/>
        </w:rPr>
      </w:pPr>
      <w:r>
        <w:rPr>
          <w:rFonts w:hint="eastAsia" w:ascii="黑体" w:hAnsi="宋体" w:eastAsia="黑体"/>
          <w:sz w:val="32"/>
          <w:szCs w:val="32"/>
        </w:rPr>
        <w:t>二、评价结论及建议</w:t>
      </w:r>
    </w:p>
    <w:p>
      <w:pPr>
        <w:spacing w:line="576"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5万元，执行数为1.1万元，完成预算的22%。通过项目实施，荣获“2019年度全市组织系统网络宣传先进单位”，《利州基层党建“随手拍”—第一书记“治村记”系列》获评2019年度全国组织系统“网络正能量项目”， “利州组工”新媒体宣传矩阵获评2019年度全省组织部门“网络正能量精品项目”，有效发挥了信息宣传在服务领导决策、引领改革创新、推动工作落实中的积极作用，营造了良好的工作氛围和舆论氛围。本项目完成情况良好。</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存在的问题：项目支出绩效目标质量指标难以量化，评价难度较大。</w:t>
      </w:r>
    </w:p>
    <w:p>
      <w:pPr>
        <w:ind w:firstLine="640" w:firstLineChars="200"/>
        <w:rPr>
          <w:rFonts w:ascii="仿宋_GB2312" w:hAnsi="仿宋" w:eastAsia="仿宋_GB2312"/>
          <w:color w:val="000000"/>
          <w:sz w:val="32"/>
          <w:szCs w:val="32"/>
        </w:rPr>
      </w:pPr>
      <w:r>
        <w:rPr>
          <w:rFonts w:hint="eastAsia" w:ascii="仿宋" w:hAnsi="仿宋" w:eastAsia="仿宋" w:cs="仿宋_GB2312"/>
          <w:sz w:val="32"/>
          <w:szCs w:val="32"/>
        </w:rPr>
        <w:t>下一步改进措施：</w:t>
      </w:r>
      <w:r>
        <w:rPr>
          <w:rFonts w:hint="eastAsia" w:ascii="仿宋_GB2312" w:hAnsi="仿宋" w:eastAsia="仿宋_GB2312"/>
          <w:color w:val="000000"/>
          <w:sz w:val="32"/>
          <w:szCs w:val="32"/>
        </w:rPr>
        <w:t>加快项目实施进度，合理安排预算执行，强化预算执行动态监控。</w:t>
      </w:r>
    </w:p>
    <w:tbl>
      <w:tblPr>
        <w:tblStyle w:val="15"/>
        <w:tblpPr w:leftFromText="180" w:rightFromText="180" w:vertAnchor="text" w:horzAnchor="page" w:tblpXSpec="center" w:tblpY="423"/>
        <w:tblOverlap w:val="never"/>
        <w:tblW w:w="97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315"/>
        <w:gridCol w:w="1384"/>
        <w:gridCol w:w="989"/>
        <w:gridCol w:w="1856"/>
        <w:gridCol w:w="2835"/>
        <w:gridCol w:w="850"/>
        <w:gridCol w:w="56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9796" w:type="dxa"/>
            <w:gridSpan w:val="7"/>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2"/>
                <w:szCs w:val="32"/>
                <w:lang w:bidi="ar"/>
              </w:rPr>
            </w:pPr>
            <w:r>
              <w:br w:type="page"/>
            </w:r>
            <w:r>
              <w:rPr>
                <w:rFonts w:hint="eastAsia" w:ascii="宋体" w:hAnsi="宋体" w:cs="宋体"/>
                <w:b/>
                <w:bCs/>
                <w:color w:val="000000"/>
                <w:kern w:val="0"/>
                <w:sz w:val="32"/>
                <w:szCs w:val="32"/>
                <w:lang w:bidi="ar"/>
              </w:rPr>
              <w:t>项目支出绩效目标完成情况表</w:t>
            </w:r>
          </w:p>
          <w:p>
            <w:pPr>
              <w:widowControl/>
              <w:jc w:val="center"/>
              <w:textAlignment w:val="center"/>
              <w:rPr>
                <w:rFonts w:ascii="仿宋_GB2312" w:hAnsi="宋体" w:eastAsia="仿宋_GB2312" w:cs="宋体"/>
                <w:b/>
                <w:color w:val="000000"/>
                <w:sz w:val="32"/>
                <w:szCs w:val="32"/>
              </w:rPr>
            </w:pPr>
            <w:r>
              <w:rPr>
                <w:rFonts w:hint="eastAsia" w:ascii="仿宋_GB2312" w:hAnsi="宋体" w:eastAsia="仿宋_GB2312" w:cs="宋体"/>
                <w:b/>
                <w:color w:val="000000"/>
                <w:kern w:val="0"/>
                <w:sz w:val="32"/>
                <w:szCs w:val="32"/>
                <w:lang w:bidi="ar"/>
              </w:rPr>
              <w:t>(2020年度)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3688" w:type="dxa"/>
            <w:gridSpan w:val="3"/>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项目名称</w:t>
            </w:r>
          </w:p>
        </w:tc>
        <w:tc>
          <w:tcPr>
            <w:tcW w:w="6108" w:type="dxa"/>
            <w:gridSpan w:val="4"/>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组织系统网络宣传</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3688" w:type="dxa"/>
            <w:gridSpan w:val="3"/>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预算单位</w:t>
            </w:r>
          </w:p>
        </w:tc>
        <w:tc>
          <w:tcPr>
            <w:tcW w:w="6108" w:type="dxa"/>
            <w:gridSpan w:val="4"/>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中共广元市利州区委组织部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1315" w:type="dxa"/>
            <w:vMerge w:val="restart"/>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(万元)</w:t>
            </w: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预算数:</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5万元</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执行数:</w:t>
            </w:r>
          </w:p>
        </w:tc>
        <w:tc>
          <w:tcPr>
            <w:tcW w:w="1417"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315" w:type="dxa"/>
            <w:vMerge w:val="continue"/>
            <w:vAlign w:val="center"/>
          </w:tcPr>
          <w:p>
            <w:pPr>
              <w:widowControl/>
              <w:jc w:val="center"/>
              <w:rPr>
                <w:rFonts w:ascii="宋体" w:hAnsi="宋体" w:cs="宋体"/>
                <w:color w:val="000000"/>
                <w:sz w:val="24"/>
              </w:rPr>
            </w:pP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1.1万元</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417"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1.1万元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75" w:hRule="atLeast"/>
        </w:trPr>
        <w:tc>
          <w:tcPr>
            <w:tcW w:w="1315" w:type="dxa"/>
            <w:vMerge w:val="continue"/>
            <w:vAlign w:val="center"/>
          </w:tcPr>
          <w:p>
            <w:pPr>
              <w:widowControl/>
              <w:jc w:val="center"/>
              <w:rPr>
                <w:rFonts w:ascii="宋体" w:hAnsi="宋体" w:cs="宋体"/>
                <w:color w:val="000000"/>
                <w:sz w:val="24"/>
              </w:rPr>
            </w:pPr>
          </w:p>
        </w:tc>
        <w:tc>
          <w:tcPr>
            <w:tcW w:w="2373" w:type="dxa"/>
            <w:gridSpan w:val="2"/>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856"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0</w:t>
            </w:r>
          </w:p>
        </w:tc>
        <w:tc>
          <w:tcPr>
            <w:tcW w:w="2835" w:type="dxa"/>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417" w:type="dxa"/>
            <w:gridSpan w:val="2"/>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1315" w:type="dxa"/>
            <w:vMerge w:val="restart"/>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目标</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情况</w:t>
            </w:r>
          </w:p>
        </w:tc>
        <w:tc>
          <w:tcPr>
            <w:tcW w:w="4229" w:type="dxa"/>
            <w:gridSpan w:val="3"/>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252" w:type="dxa"/>
            <w:gridSpan w:val="3"/>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394" w:hRule="atLeast"/>
        </w:trPr>
        <w:tc>
          <w:tcPr>
            <w:tcW w:w="1315" w:type="dxa"/>
            <w:vMerge w:val="continue"/>
            <w:vAlign w:val="center"/>
          </w:tcPr>
          <w:p>
            <w:pPr>
              <w:widowControl/>
              <w:jc w:val="center"/>
              <w:rPr>
                <w:rFonts w:ascii="宋体" w:hAnsi="宋体" w:cs="宋体"/>
                <w:color w:val="000000"/>
                <w:sz w:val="24"/>
              </w:rPr>
            </w:pPr>
          </w:p>
        </w:tc>
        <w:tc>
          <w:tcPr>
            <w:tcW w:w="4229" w:type="dxa"/>
            <w:gridSpan w:val="3"/>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w:t>
            </w:r>
            <w:r>
              <w:rPr>
                <w:rFonts w:hint="eastAsia" w:ascii="宋体" w:hAnsi="宋体" w:cs="宋体"/>
                <w:color w:val="000000"/>
                <w:kern w:val="0"/>
                <w:sz w:val="20"/>
                <w:szCs w:val="21"/>
              </w:rPr>
              <w:t xml:space="preserve"> 进一步提升全区组织系统网宣队伍业务能力和网络宣传工作水平，全面发挥网络宣传思想引领、正面引导、凝心聚力、助推党建、兴风正气的作用，为组织工作顺利开展提供有力的舆论支持。</w:t>
            </w:r>
          </w:p>
        </w:tc>
        <w:tc>
          <w:tcPr>
            <w:tcW w:w="4252" w:type="dxa"/>
            <w:gridSpan w:val="3"/>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w:t>
            </w:r>
            <w:r>
              <w:rPr>
                <w:rFonts w:hint="eastAsia" w:ascii="宋体" w:hAnsi="宋体" w:cs="宋体"/>
                <w:color w:val="000000"/>
                <w:kern w:val="0"/>
                <w:sz w:val="20"/>
                <w:szCs w:val="21"/>
              </w:rPr>
              <w:t xml:space="preserve"> 全年紧紧围绕全区组织工作中心任务，坚决守住网上舆论阵地、及时提炼经验问题、快速传递主流声音，有效发挥了信息宣传在服务领导决策、引领改革创新、推动工作落实中的积极作用，营造了良好的工作氛围和舆论氛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315"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一级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指标</w:t>
            </w:r>
          </w:p>
        </w:tc>
        <w:tc>
          <w:tcPr>
            <w:tcW w:w="1384" w:type="dxa"/>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二级指标</w:t>
            </w:r>
          </w:p>
        </w:tc>
        <w:tc>
          <w:tcPr>
            <w:tcW w:w="2845" w:type="dxa"/>
            <w:gridSpan w:val="2"/>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三级指标</w:t>
            </w:r>
          </w:p>
        </w:tc>
        <w:tc>
          <w:tcPr>
            <w:tcW w:w="3685" w:type="dxa"/>
            <w:gridSpan w:val="2"/>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指标值</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315" w:type="dxa"/>
            <w:vMerge w:val="restart"/>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绩效</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w:t>
            </w:r>
          </w:p>
        </w:tc>
        <w:tc>
          <w:tcPr>
            <w:tcW w:w="1384"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数量指标</w:t>
            </w:r>
          </w:p>
        </w:tc>
        <w:tc>
          <w:tcPr>
            <w:tcW w:w="2845" w:type="dxa"/>
            <w:gridSpan w:val="2"/>
            <w:vAlign w:val="center"/>
          </w:tcPr>
          <w:p>
            <w:pPr>
              <w:rPr>
                <w:rFonts w:ascii="宋体" w:hAnsi="宋体" w:cs="宋体"/>
                <w:sz w:val="24"/>
              </w:rPr>
            </w:pPr>
            <w:r>
              <w:rPr>
                <w:rFonts w:hint="eastAsia"/>
              </w:rPr>
              <w:t xml:space="preserve"> </w:t>
            </w:r>
            <w:r>
              <w:rPr>
                <w:rFonts w:hint="eastAsia" w:ascii="宋体" w:hAnsi="宋体" w:cs="宋体"/>
                <w:color w:val="000000"/>
                <w:kern w:val="0"/>
                <w:sz w:val="20"/>
                <w:szCs w:val="21"/>
              </w:rPr>
              <w:t>指标1：在市级以上网络媒体发表新闻稿件数量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计划在中央级媒体发稿20篇，市级以上媒体发稿40篇</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指标2：发表优秀网评数量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全年发表有影响力文章600篇</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指标3：开展网络宣传业务培训次数及人次</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全年开展业务培训1次以上，培训150人次</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未完成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质量指标</w:t>
            </w:r>
          </w:p>
          <w:p>
            <w:pPr>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指标1：完成质量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利州区各项组织工作影响力、覆盖率明显提升</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指标2：完成质量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完成年度目标任务，网评文章数量质量全面提升，被上级组织部门推优文章数量显著增长</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指标3：完成质量</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全区组织系统网宣队伍业务能力水平不断提升</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成本指标</w:t>
            </w:r>
          </w:p>
        </w:tc>
        <w:tc>
          <w:tcPr>
            <w:tcW w:w="2845" w:type="dxa"/>
            <w:gridSpan w:val="2"/>
            <w:vAlign w:val="center"/>
          </w:tcPr>
          <w:p>
            <w:pPr>
              <w:rPr>
                <w:rFonts w:ascii="宋体" w:hAnsi="宋体" w:cs="宋体"/>
                <w:sz w:val="24"/>
              </w:rPr>
            </w:pPr>
            <w:r>
              <w:rPr>
                <w:rFonts w:hint="eastAsia"/>
              </w:rPr>
              <w:t xml:space="preserve"> 指标1：签约费用</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与各类新闻媒体签约费用30000元</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未签约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指标2：优秀网评稿酬</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全年发放优秀网评稿酬10000元</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指标3：网宣工作培训费用</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培训资料印刷、会务等10000元</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restart"/>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社会效益指标</w:t>
            </w:r>
          </w:p>
        </w:tc>
        <w:tc>
          <w:tcPr>
            <w:tcW w:w="2845" w:type="dxa"/>
            <w:gridSpan w:val="2"/>
            <w:vAlign w:val="center"/>
          </w:tcPr>
          <w:p>
            <w:pPr>
              <w:rPr>
                <w:rFonts w:ascii="宋体" w:hAnsi="宋体" w:cs="宋体"/>
                <w:sz w:val="24"/>
              </w:rPr>
            </w:pPr>
            <w:r>
              <w:rPr>
                <w:rFonts w:hint="eastAsia"/>
              </w:rPr>
              <w:t xml:space="preserve"> 指标1：正面宣传引导力度</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组织工作和党员干部人才正面宣传引导力度进一步加大，群众对组织工作知晓度进一步提升</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315" w:type="dxa"/>
            <w:vMerge w:val="continue"/>
            <w:vAlign w:val="center"/>
          </w:tcPr>
          <w:p>
            <w:pPr>
              <w:widowControl/>
              <w:spacing w:line="320" w:lineRule="exact"/>
              <w:jc w:val="center"/>
              <w:rPr>
                <w:rFonts w:ascii="宋体" w:hAnsi="宋体" w:cs="宋体"/>
                <w:color w:val="000000"/>
                <w:kern w:val="0"/>
                <w:sz w:val="22"/>
                <w:szCs w:val="21"/>
              </w:rPr>
            </w:pPr>
          </w:p>
        </w:tc>
        <w:tc>
          <w:tcPr>
            <w:tcW w:w="1384" w:type="dxa"/>
            <w:vMerge w:val="continue"/>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2845" w:type="dxa"/>
            <w:gridSpan w:val="2"/>
            <w:vAlign w:val="center"/>
          </w:tcPr>
          <w:p>
            <w:pPr>
              <w:rPr>
                <w:rFonts w:ascii="宋体" w:hAnsi="宋体" w:cs="宋体"/>
                <w:sz w:val="24"/>
              </w:rPr>
            </w:pPr>
            <w:r>
              <w:rPr>
                <w:rFonts w:hint="eastAsia"/>
              </w:rPr>
              <w:t xml:space="preserve"> 指标2：涉组涉干网络舆情处置</w:t>
            </w:r>
          </w:p>
        </w:tc>
        <w:tc>
          <w:tcPr>
            <w:tcW w:w="3685" w:type="dxa"/>
            <w:gridSpan w:val="2"/>
            <w:tcMar>
              <w:top w:w="15" w:type="dxa"/>
              <w:left w:w="15" w:type="dxa"/>
              <w:bottom w:w="0" w:type="dxa"/>
              <w:right w:w="15" w:type="dxa"/>
            </w:tcMar>
            <w:vAlign w:val="center"/>
          </w:tcPr>
          <w:p>
            <w:pPr>
              <w:widowControl/>
              <w:spacing w:line="320" w:lineRule="exact"/>
              <w:jc w:val="left"/>
              <w:rPr>
                <w:rFonts w:ascii="宋体" w:hAnsi="宋体" w:cs="宋体"/>
                <w:color w:val="000000"/>
                <w:kern w:val="0"/>
                <w:sz w:val="20"/>
                <w:szCs w:val="21"/>
              </w:rPr>
            </w:pPr>
            <w:r>
              <w:rPr>
                <w:rFonts w:hint="eastAsia" w:ascii="宋体" w:hAnsi="宋体" w:cs="宋体"/>
                <w:color w:val="000000"/>
                <w:kern w:val="0"/>
                <w:sz w:val="20"/>
                <w:szCs w:val="21"/>
              </w:rPr>
              <w:t>网络舆情得到及时处置，全年无重大涉组涉干舆情事件发生</w:t>
            </w:r>
          </w:p>
        </w:tc>
        <w:tc>
          <w:tcPr>
            <w:tcW w:w="56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完成</w:t>
            </w:r>
          </w:p>
        </w:tc>
      </w:tr>
    </w:tbl>
    <w:p/>
    <w:p>
      <w:pPr>
        <w:widowControl/>
        <w:jc w:val="center"/>
        <w:textAlignment w:val="center"/>
        <w:rPr>
          <w:rFonts w:ascii="宋体" w:hAnsi="宋体" w:cs="宋体"/>
          <w:color w:val="000000"/>
          <w:kern w:val="0"/>
          <w:sz w:val="24"/>
          <w:szCs w:val="32"/>
          <w:lang w:bidi="ar"/>
        </w:rPr>
      </w:pPr>
    </w:p>
    <w:p>
      <w:pPr>
        <w:widowControl/>
        <w:jc w:val="left"/>
        <w:rPr>
          <w:rFonts w:ascii="黑体" w:hAnsi="黑体" w:eastAsia="黑体"/>
          <w:color w:val="000000"/>
          <w:sz w:val="32"/>
          <w:szCs w:val="32"/>
        </w:rPr>
      </w:pPr>
      <w:r>
        <w:rPr>
          <w:rFonts w:ascii="黑体" w:hAnsi="黑体" w:eastAsia="黑体"/>
          <w:color w:val="000000"/>
          <w:sz w:val="32"/>
          <w:szCs w:val="32"/>
        </w:rPr>
        <w:br w:type="page"/>
      </w:r>
    </w:p>
    <w:p>
      <w:pPr>
        <w:spacing w:line="600" w:lineRule="exact"/>
        <w:jc w:val="center"/>
        <w:outlineLvl w:val="0"/>
        <w:rPr>
          <w:rStyle w:val="28"/>
          <w:rFonts w:ascii="黑体" w:hAnsi="黑体" w:eastAsia="黑体"/>
          <w:b w:val="0"/>
          <w:sz w:val="32"/>
          <w:szCs w:val="32"/>
        </w:rPr>
      </w:pPr>
      <w:r>
        <w:rPr>
          <w:rFonts w:hint="eastAsia" w:ascii="黑体" w:hAnsi="黑体" w:eastAsia="黑体"/>
          <w:color w:val="000000"/>
          <w:sz w:val="32"/>
          <w:szCs w:val="32"/>
        </w:rPr>
        <w:t>第</w:t>
      </w:r>
      <w:r>
        <w:rPr>
          <w:rStyle w:val="28"/>
          <w:rFonts w:hint="eastAsia" w:ascii="黑体" w:hAnsi="黑体" w:eastAsia="黑体"/>
          <w:b w:val="0"/>
          <w:sz w:val="32"/>
          <w:szCs w:val="32"/>
        </w:rPr>
        <w:t xml:space="preserve">五部分 </w:t>
      </w:r>
      <w:bookmarkEnd w:id="55"/>
      <w:bookmarkEnd w:id="58"/>
      <w:r>
        <w:rPr>
          <w:rStyle w:val="28"/>
          <w:rFonts w:hint="eastAsia" w:ascii="黑体" w:hAnsi="黑体" w:eastAsia="黑体"/>
          <w:b w:val="0"/>
          <w:sz w:val="32"/>
          <w:szCs w:val="32"/>
        </w:rPr>
        <w:t>附表</w:t>
      </w:r>
    </w:p>
    <w:p>
      <w:pPr>
        <w:spacing w:line="600" w:lineRule="exact"/>
        <w:jc w:val="center"/>
        <w:outlineLvl w:val="0"/>
        <w:rPr>
          <w:rStyle w:val="28"/>
          <w:rFonts w:ascii="黑体" w:hAnsi="黑体" w:eastAsia="黑体"/>
          <w:b w:val="0"/>
          <w:sz w:val="32"/>
          <w:szCs w:val="32"/>
        </w:rPr>
      </w:pPr>
    </w:p>
    <w:p>
      <w:pPr>
        <w:pStyle w:val="27"/>
        <w:numPr>
          <w:ilvl w:val="0"/>
          <w:numId w:val="8"/>
        </w:numPr>
        <w:spacing w:line="600" w:lineRule="exact"/>
        <w:ind w:firstLineChars="0"/>
        <w:jc w:val="left"/>
        <w:outlineLvl w:val="0"/>
        <w:rPr>
          <w:rStyle w:val="28"/>
          <w:rFonts w:ascii="仿宋_GB2312" w:eastAsia="仿宋_GB2312" w:hAnsiTheme="minorEastAsia"/>
          <w:b w:val="0"/>
          <w:sz w:val="32"/>
          <w:szCs w:val="32"/>
        </w:rPr>
      </w:pPr>
      <w:r>
        <w:rPr>
          <w:rStyle w:val="28"/>
          <w:rFonts w:hint="eastAsia" w:ascii="仿宋_GB2312" w:eastAsia="仿宋_GB2312" w:hAnsiTheme="minorEastAsia"/>
          <w:b w:val="0"/>
          <w:sz w:val="32"/>
          <w:szCs w:val="32"/>
        </w:rPr>
        <w:t>收入支出决算总表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收入决算表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财政拨款收入支出决算总表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财政拨款支出决算明细表（政府经济分类科目）</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一般公共预算财政拨款支出决算明细表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一般公共预算财政拨款基本支出决算表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一般公共预算财政拨款项目支出决算表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一般公共预算财政拨款“三公”经费支出决算表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政府性基金预算财政拨款收入支出决算表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政府性基金财政拨款“三公”经费支出决算表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国有资本经营预算财政拨款收入支出决算表</w:t>
      </w:r>
    </w:p>
    <w:p>
      <w:pPr>
        <w:pStyle w:val="27"/>
        <w:numPr>
          <w:ilvl w:val="0"/>
          <w:numId w:val="8"/>
        </w:numPr>
        <w:spacing w:line="600" w:lineRule="exact"/>
        <w:ind w:left="1320"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国有资本经营预算财政拨款支出决算表</w:t>
      </w:r>
    </w:p>
    <w:p>
      <w:pPr>
        <w:pStyle w:val="27"/>
        <w:spacing w:line="600" w:lineRule="exact"/>
        <w:ind w:left="1320" w:firstLine="0" w:firstLineChars="0"/>
        <w:jc w:val="left"/>
        <w:outlineLvl w:val="0"/>
        <w:rPr>
          <w:rFonts w:ascii="仿宋_GB2312" w:eastAsia="仿宋_GB2312" w:hAnsiTheme="minorEastAsia"/>
          <w:bCs/>
          <w:kern w:val="44"/>
          <w:sz w:val="32"/>
          <w:szCs w:val="32"/>
        </w:rPr>
      </w:pPr>
    </w:p>
    <w:sectPr>
      <w:headerReference r:id="rId3" w:type="default"/>
      <w:footerReference r:id="rId4" w:type="default"/>
      <w:pgSz w:w="11906" w:h="16838"/>
      <w:pgMar w:top="1985" w:right="1474" w:bottom="1701" w:left="1588" w:header="851" w:footer="992" w:gutter="0"/>
      <w:pgNumType w:start="1"/>
      <w:cols w:space="425" w:num="1"/>
      <w:titlePg/>
      <w:docGrid w:type="lines" w:linePitch="5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44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EA04715"/>
    <w:multiLevelType w:val="multilevel"/>
    <w:tmpl w:val="0EA04715"/>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F426B7"/>
    <w:multiLevelType w:val="multilevel"/>
    <w:tmpl w:val="17F426B7"/>
    <w:lvl w:ilvl="0" w:tentative="0">
      <w:start w:val="10"/>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5D63373"/>
    <w:multiLevelType w:val="multilevel"/>
    <w:tmpl w:val="25D6337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0E3198"/>
    <w:multiLevelType w:val="multilevel"/>
    <w:tmpl w:val="290E3198"/>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E46894"/>
    <w:multiLevelType w:val="multilevel"/>
    <w:tmpl w:val="2FE46894"/>
    <w:lvl w:ilvl="0" w:tentative="0">
      <w:start w:val="2"/>
      <w:numFmt w:val="japaneseCounting"/>
      <w:lvlText w:val="%1、"/>
      <w:lvlJc w:val="left"/>
      <w:pPr>
        <w:ind w:left="1360" w:hanging="720"/>
      </w:pPr>
      <w:rPr>
        <w:rFonts w:hint="default"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5D131EF"/>
    <w:multiLevelType w:val="multilevel"/>
    <w:tmpl w:val="45D131EF"/>
    <w:lvl w:ilvl="0" w:tentative="0">
      <w:start w:val="1"/>
      <w:numFmt w:val="none"/>
      <w:lvlText w:val="一、"/>
      <w:lvlJc w:val="left"/>
      <w:pPr>
        <w:ind w:left="1511"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2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1F4"/>
    <w:rsid w:val="000222C6"/>
    <w:rsid w:val="0002549F"/>
    <w:rsid w:val="00025753"/>
    <w:rsid w:val="00062FAA"/>
    <w:rsid w:val="000638D2"/>
    <w:rsid w:val="0006487A"/>
    <w:rsid w:val="00065F8F"/>
    <w:rsid w:val="00067A77"/>
    <w:rsid w:val="00075722"/>
    <w:rsid w:val="00075914"/>
    <w:rsid w:val="000768F2"/>
    <w:rsid w:val="00082679"/>
    <w:rsid w:val="0009184B"/>
    <w:rsid w:val="0009593C"/>
    <w:rsid w:val="000A7C92"/>
    <w:rsid w:val="000A7CE4"/>
    <w:rsid w:val="000B047F"/>
    <w:rsid w:val="000B3682"/>
    <w:rsid w:val="000B5923"/>
    <w:rsid w:val="000B5A48"/>
    <w:rsid w:val="000B6FF3"/>
    <w:rsid w:val="000C1D7B"/>
    <w:rsid w:val="000C3467"/>
    <w:rsid w:val="000C3CA6"/>
    <w:rsid w:val="000D1267"/>
    <w:rsid w:val="000D1D50"/>
    <w:rsid w:val="000D44A1"/>
    <w:rsid w:val="000D5782"/>
    <w:rsid w:val="000E386E"/>
    <w:rsid w:val="000E6613"/>
    <w:rsid w:val="000E7119"/>
    <w:rsid w:val="000F153F"/>
    <w:rsid w:val="000F3DE5"/>
    <w:rsid w:val="00100B19"/>
    <w:rsid w:val="00111A10"/>
    <w:rsid w:val="00114E9B"/>
    <w:rsid w:val="00135AA6"/>
    <w:rsid w:val="00137BE3"/>
    <w:rsid w:val="00143037"/>
    <w:rsid w:val="001452AC"/>
    <w:rsid w:val="0014729F"/>
    <w:rsid w:val="001508AF"/>
    <w:rsid w:val="0015450C"/>
    <w:rsid w:val="00154C7A"/>
    <w:rsid w:val="001559A4"/>
    <w:rsid w:val="00157BAB"/>
    <w:rsid w:val="001631F8"/>
    <w:rsid w:val="001654D1"/>
    <w:rsid w:val="00167EBF"/>
    <w:rsid w:val="00173052"/>
    <w:rsid w:val="0018106D"/>
    <w:rsid w:val="001877A7"/>
    <w:rsid w:val="00191536"/>
    <w:rsid w:val="001958F4"/>
    <w:rsid w:val="00196687"/>
    <w:rsid w:val="001A1D71"/>
    <w:rsid w:val="001A5EF0"/>
    <w:rsid w:val="001A5F31"/>
    <w:rsid w:val="001C0962"/>
    <w:rsid w:val="001C20B7"/>
    <w:rsid w:val="001C463F"/>
    <w:rsid w:val="001C74D0"/>
    <w:rsid w:val="001D7531"/>
    <w:rsid w:val="001E737D"/>
    <w:rsid w:val="001F0592"/>
    <w:rsid w:val="001F4E1D"/>
    <w:rsid w:val="001F7506"/>
    <w:rsid w:val="002006CD"/>
    <w:rsid w:val="00202B36"/>
    <w:rsid w:val="0020368A"/>
    <w:rsid w:val="00204B7A"/>
    <w:rsid w:val="002065F6"/>
    <w:rsid w:val="00207225"/>
    <w:rsid w:val="0021101A"/>
    <w:rsid w:val="00212396"/>
    <w:rsid w:val="002125DE"/>
    <w:rsid w:val="00215872"/>
    <w:rsid w:val="002169B3"/>
    <w:rsid w:val="00220536"/>
    <w:rsid w:val="00231864"/>
    <w:rsid w:val="00232886"/>
    <w:rsid w:val="00235629"/>
    <w:rsid w:val="00250D82"/>
    <w:rsid w:val="002511E6"/>
    <w:rsid w:val="00257E4D"/>
    <w:rsid w:val="00257F2A"/>
    <w:rsid w:val="00260C38"/>
    <w:rsid w:val="002616C0"/>
    <w:rsid w:val="002662AA"/>
    <w:rsid w:val="0027181F"/>
    <w:rsid w:val="00276384"/>
    <w:rsid w:val="0027694C"/>
    <w:rsid w:val="00280496"/>
    <w:rsid w:val="002814DB"/>
    <w:rsid w:val="00286DBE"/>
    <w:rsid w:val="00294784"/>
    <w:rsid w:val="00295495"/>
    <w:rsid w:val="002B2613"/>
    <w:rsid w:val="002C3DA2"/>
    <w:rsid w:val="002C517F"/>
    <w:rsid w:val="002D2B42"/>
    <w:rsid w:val="002E33FE"/>
    <w:rsid w:val="002E66CA"/>
    <w:rsid w:val="002E768D"/>
    <w:rsid w:val="002F1818"/>
    <w:rsid w:val="002F2FF2"/>
    <w:rsid w:val="002F567B"/>
    <w:rsid w:val="003051F9"/>
    <w:rsid w:val="0031195C"/>
    <w:rsid w:val="00317C05"/>
    <w:rsid w:val="003216A9"/>
    <w:rsid w:val="003311CA"/>
    <w:rsid w:val="00344EFA"/>
    <w:rsid w:val="0035319C"/>
    <w:rsid w:val="003534EF"/>
    <w:rsid w:val="0035741C"/>
    <w:rsid w:val="0037013F"/>
    <w:rsid w:val="00377902"/>
    <w:rsid w:val="00380C92"/>
    <w:rsid w:val="00381536"/>
    <w:rsid w:val="00381E49"/>
    <w:rsid w:val="003958F1"/>
    <w:rsid w:val="003A484F"/>
    <w:rsid w:val="003B0BE0"/>
    <w:rsid w:val="003B0C1B"/>
    <w:rsid w:val="003B3647"/>
    <w:rsid w:val="003B688C"/>
    <w:rsid w:val="003B79AB"/>
    <w:rsid w:val="003C0291"/>
    <w:rsid w:val="003C39AE"/>
    <w:rsid w:val="003C6DD1"/>
    <w:rsid w:val="003C7B60"/>
    <w:rsid w:val="003D1FB2"/>
    <w:rsid w:val="003D66DA"/>
    <w:rsid w:val="003E0DCE"/>
    <w:rsid w:val="003E1310"/>
    <w:rsid w:val="003E5689"/>
    <w:rsid w:val="003E6F55"/>
    <w:rsid w:val="00406254"/>
    <w:rsid w:val="0040677A"/>
    <w:rsid w:val="00412166"/>
    <w:rsid w:val="0042123C"/>
    <w:rsid w:val="0042157F"/>
    <w:rsid w:val="004223DE"/>
    <w:rsid w:val="00426AF9"/>
    <w:rsid w:val="004307B3"/>
    <w:rsid w:val="00434489"/>
    <w:rsid w:val="00437085"/>
    <w:rsid w:val="00437FEF"/>
    <w:rsid w:val="00443880"/>
    <w:rsid w:val="004464F4"/>
    <w:rsid w:val="0044762B"/>
    <w:rsid w:val="0046118B"/>
    <w:rsid w:val="00471401"/>
    <w:rsid w:val="00472AA3"/>
    <w:rsid w:val="00473F31"/>
    <w:rsid w:val="004778C0"/>
    <w:rsid w:val="00481F0F"/>
    <w:rsid w:val="0048263A"/>
    <w:rsid w:val="00487E5D"/>
    <w:rsid w:val="004A2087"/>
    <w:rsid w:val="004A711F"/>
    <w:rsid w:val="004B199D"/>
    <w:rsid w:val="004B4690"/>
    <w:rsid w:val="004D040B"/>
    <w:rsid w:val="004E0A2D"/>
    <w:rsid w:val="004E206B"/>
    <w:rsid w:val="004E697B"/>
    <w:rsid w:val="004E6DF7"/>
    <w:rsid w:val="004F0FBD"/>
    <w:rsid w:val="004F2EE3"/>
    <w:rsid w:val="004F3727"/>
    <w:rsid w:val="005030CD"/>
    <w:rsid w:val="00505A47"/>
    <w:rsid w:val="00512C61"/>
    <w:rsid w:val="00512FDA"/>
    <w:rsid w:val="00520DA0"/>
    <w:rsid w:val="00524C25"/>
    <w:rsid w:val="00532FBA"/>
    <w:rsid w:val="00537877"/>
    <w:rsid w:val="005664BB"/>
    <w:rsid w:val="0057481D"/>
    <w:rsid w:val="0058486E"/>
    <w:rsid w:val="00595E4C"/>
    <w:rsid w:val="005A0EC3"/>
    <w:rsid w:val="005B1985"/>
    <w:rsid w:val="005B5AFD"/>
    <w:rsid w:val="005D1C8B"/>
    <w:rsid w:val="005D5CED"/>
    <w:rsid w:val="005D761B"/>
    <w:rsid w:val="005E0410"/>
    <w:rsid w:val="005F1A4C"/>
    <w:rsid w:val="00602643"/>
    <w:rsid w:val="00605688"/>
    <w:rsid w:val="006070AF"/>
    <w:rsid w:val="00607E6C"/>
    <w:rsid w:val="006101B1"/>
    <w:rsid w:val="00611FD2"/>
    <w:rsid w:val="00614E44"/>
    <w:rsid w:val="00622830"/>
    <w:rsid w:val="00627675"/>
    <w:rsid w:val="00630AEF"/>
    <w:rsid w:val="006325F8"/>
    <w:rsid w:val="00633EF8"/>
    <w:rsid w:val="00634C9A"/>
    <w:rsid w:val="006440E4"/>
    <w:rsid w:val="00645899"/>
    <w:rsid w:val="0066343B"/>
    <w:rsid w:val="00664777"/>
    <w:rsid w:val="006748A4"/>
    <w:rsid w:val="00683E73"/>
    <w:rsid w:val="0069062D"/>
    <w:rsid w:val="006A08B5"/>
    <w:rsid w:val="006A3141"/>
    <w:rsid w:val="006A3F44"/>
    <w:rsid w:val="006A4214"/>
    <w:rsid w:val="006A5E34"/>
    <w:rsid w:val="006B2422"/>
    <w:rsid w:val="006B2B9A"/>
    <w:rsid w:val="006B5C4E"/>
    <w:rsid w:val="006C1937"/>
    <w:rsid w:val="006C48F7"/>
    <w:rsid w:val="006C78BA"/>
    <w:rsid w:val="006D0011"/>
    <w:rsid w:val="006E043A"/>
    <w:rsid w:val="006E5C22"/>
    <w:rsid w:val="006F020C"/>
    <w:rsid w:val="006F4C4F"/>
    <w:rsid w:val="00712578"/>
    <w:rsid w:val="007127B7"/>
    <w:rsid w:val="0071347D"/>
    <w:rsid w:val="00720FAE"/>
    <w:rsid w:val="0072211D"/>
    <w:rsid w:val="007226CC"/>
    <w:rsid w:val="00724260"/>
    <w:rsid w:val="0072465B"/>
    <w:rsid w:val="00724B05"/>
    <w:rsid w:val="00732745"/>
    <w:rsid w:val="007416B6"/>
    <w:rsid w:val="007431E1"/>
    <w:rsid w:val="007460CF"/>
    <w:rsid w:val="00746F48"/>
    <w:rsid w:val="0075404D"/>
    <w:rsid w:val="007565DB"/>
    <w:rsid w:val="0076182A"/>
    <w:rsid w:val="00767B7E"/>
    <w:rsid w:val="007717B8"/>
    <w:rsid w:val="00774A68"/>
    <w:rsid w:val="007770C3"/>
    <w:rsid w:val="00780351"/>
    <w:rsid w:val="00784D24"/>
    <w:rsid w:val="00785FBA"/>
    <w:rsid w:val="00786E4A"/>
    <w:rsid w:val="007875EB"/>
    <w:rsid w:val="0079426B"/>
    <w:rsid w:val="00794C0C"/>
    <w:rsid w:val="00795AD6"/>
    <w:rsid w:val="007A214F"/>
    <w:rsid w:val="007A6937"/>
    <w:rsid w:val="007B11AD"/>
    <w:rsid w:val="007B4BA2"/>
    <w:rsid w:val="007C5623"/>
    <w:rsid w:val="007D312A"/>
    <w:rsid w:val="007D3F19"/>
    <w:rsid w:val="007D5BDB"/>
    <w:rsid w:val="007D74AD"/>
    <w:rsid w:val="007E23B0"/>
    <w:rsid w:val="007E7315"/>
    <w:rsid w:val="007E7609"/>
    <w:rsid w:val="007F1991"/>
    <w:rsid w:val="007F2C2F"/>
    <w:rsid w:val="007F55FC"/>
    <w:rsid w:val="007F5665"/>
    <w:rsid w:val="00800112"/>
    <w:rsid w:val="0080482D"/>
    <w:rsid w:val="00811929"/>
    <w:rsid w:val="008253BB"/>
    <w:rsid w:val="008331DD"/>
    <w:rsid w:val="00834398"/>
    <w:rsid w:val="0083706E"/>
    <w:rsid w:val="008423A5"/>
    <w:rsid w:val="00846A72"/>
    <w:rsid w:val="008471EC"/>
    <w:rsid w:val="00850625"/>
    <w:rsid w:val="00850E1E"/>
    <w:rsid w:val="00853718"/>
    <w:rsid w:val="00855221"/>
    <w:rsid w:val="00856B7B"/>
    <w:rsid w:val="008577C8"/>
    <w:rsid w:val="00860645"/>
    <w:rsid w:val="00865604"/>
    <w:rsid w:val="00871F71"/>
    <w:rsid w:val="00880D88"/>
    <w:rsid w:val="00885AF4"/>
    <w:rsid w:val="008939CD"/>
    <w:rsid w:val="0089726C"/>
    <w:rsid w:val="008A5542"/>
    <w:rsid w:val="008B768C"/>
    <w:rsid w:val="008C2D99"/>
    <w:rsid w:val="008C4DB1"/>
    <w:rsid w:val="008C4EAF"/>
    <w:rsid w:val="008C5176"/>
    <w:rsid w:val="008C7FD0"/>
    <w:rsid w:val="008D32B4"/>
    <w:rsid w:val="008D5B8D"/>
    <w:rsid w:val="008E1DE7"/>
    <w:rsid w:val="008E707C"/>
    <w:rsid w:val="008F3227"/>
    <w:rsid w:val="00900B08"/>
    <w:rsid w:val="00900FBB"/>
    <w:rsid w:val="00902155"/>
    <w:rsid w:val="00902FA3"/>
    <w:rsid w:val="009060E3"/>
    <w:rsid w:val="00923564"/>
    <w:rsid w:val="0092392E"/>
    <w:rsid w:val="00927CF6"/>
    <w:rsid w:val="009315F9"/>
    <w:rsid w:val="00937295"/>
    <w:rsid w:val="00946945"/>
    <w:rsid w:val="0095080D"/>
    <w:rsid w:val="00951248"/>
    <w:rsid w:val="0095152F"/>
    <w:rsid w:val="00954C49"/>
    <w:rsid w:val="00957ADA"/>
    <w:rsid w:val="00960667"/>
    <w:rsid w:val="009701D0"/>
    <w:rsid w:val="0097099F"/>
    <w:rsid w:val="00971997"/>
    <w:rsid w:val="00971FFC"/>
    <w:rsid w:val="0098660A"/>
    <w:rsid w:val="00987C1E"/>
    <w:rsid w:val="009931C3"/>
    <w:rsid w:val="009A4168"/>
    <w:rsid w:val="009B2443"/>
    <w:rsid w:val="009B2C27"/>
    <w:rsid w:val="009B2C43"/>
    <w:rsid w:val="009B4EAE"/>
    <w:rsid w:val="009B7573"/>
    <w:rsid w:val="009C22F4"/>
    <w:rsid w:val="009C2E98"/>
    <w:rsid w:val="009C7C1D"/>
    <w:rsid w:val="009D3447"/>
    <w:rsid w:val="009D4711"/>
    <w:rsid w:val="009F1185"/>
    <w:rsid w:val="009F18CD"/>
    <w:rsid w:val="009F2A13"/>
    <w:rsid w:val="00A00219"/>
    <w:rsid w:val="00A04EB0"/>
    <w:rsid w:val="00A06CA5"/>
    <w:rsid w:val="00A11D2C"/>
    <w:rsid w:val="00A13CC1"/>
    <w:rsid w:val="00A16847"/>
    <w:rsid w:val="00A211C6"/>
    <w:rsid w:val="00A22FAA"/>
    <w:rsid w:val="00A237D8"/>
    <w:rsid w:val="00A23B34"/>
    <w:rsid w:val="00A24028"/>
    <w:rsid w:val="00A268C4"/>
    <w:rsid w:val="00A307CD"/>
    <w:rsid w:val="00A40A00"/>
    <w:rsid w:val="00A4142F"/>
    <w:rsid w:val="00A56DF2"/>
    <w:rsid w:val="00A62B8B"/>
    <w:rsid w:val="00A67AB5"/>
    <w:rsid w:val="00A67CE0"/>
    <w:rsid w:val="00A74F7A"/>
    <w:rsid w:val="00A87C2D"/>
    <w:rsid w:val="00A91760"/>
    <w:rsid w:val="00A93B00"/>
    <w:rsid w:val="00A93C21"/>
    <w:rsid w:val="00A96CF9"/>
    <w:rsid w:val="00AA59FA"/>
    <w:rsid w:val="00AB10C2"/>
    <w:rsid w:val="00AB69FA"/>
    <w:rsid w:val="00AB6C82"/>
    <w:rsid w:val="00AC3C6A"/>
    <w:rsid w:val="00AC3F3A"/>
    <w:rsid w:val="00AD189A"/>
    <w:rsid w:val="00AD5620"/>
    <w:rsid w:val="00AD7C1B"/>
    <w:rsid w:val="00AE16BA"/>
    <w:rsid w:val="00AE1EBE"/>
    <w:rsid w:val="00B00B13"/>
    <w:rsid w:val="00B03C9D"/>
    <w:rsid w:val="00B04DDF"/>
    <w:rsid w:val="00B04EDA"/>
    <w:rsid w:val="00B060AE"/>
    <w:rsid w:val="00B10517"/>
    <w:rsid w:val="00B14E76"/>
    <w:rsid w:val="00B160F4"/>
    <w:rsid w:val="00B161B8"/>
    <w:rsid w:val="00B2048C"/>
    <w:rsid w:val="00B24FE5"/>
    <w:rsid w:val="00B269DA"/>
    <w:rsid w:val="00B310B9"/>
    <w:rsid w:val="00B357B5"/>
    <w:rsid w:val="00B35F3F"/>
    <w:rsid w:val="00B36CBB"/>
    <w:rsid w:val="00B37588"/>
    <w:rsid w:val="00B40C87"/>
    <w:rsid w:val="00B425E0"/>
    <w:rsid w:val="00B440AA"/>
    <w:rsid w:val="00B44B70"/>
    <w:rsid w:val="00B44FA4"/>
    <w:rsid w:val="00B53C56"/>
    <w:rsid w:val="00B7574A"/>
    <w:rsid w:val="00B76770"/>
    <w:rsid w:val="00B77EA6"/>
    <w:rsid w:val="00B81598"/>
    <w:rsid w:val="00B818DF"/>
    <w:rsid w:val="00B8397B"/>
    <w:rsid w:val="00B841F1"/>
    <w:rsid w:val="00B9159C"/>
    <w:rsid w:val="00B944D6"/>
    <w:rsid w:val="00B96979"/>
    <w:rsid w:val="00BA1896"/>
    <w:rsid w:val="00BA4C0D"/>
    <w:rsid w:val="00BB41A1"/>
    <w:rsid w:val="00BB4DF0"/>
    <w:rsid w:val="00BB55CC"/>
    <w:rsid w:val="00BC289F"/>
    <w:rsid w:val="00BC5361"/>
    <w:rsid w:val="00BC5460"/>
    <w:rsid w:val="00BC678F"/>
    <w:rsid w:val="00BC6B50"/>
    <w:rsid w:val="00BD0E25"/>
    <w:rsid w:val="00BD1F1E"/>
    <w:rsid w:val="00BD46E7"/>
    <w:rsid w:val="00BE2DFF"/>
    <w:rsid w:val="00BE5A2E"/>
    <w:rsid w:val="00BF5BD6"/>
    <w:rsid w:val="00C03E31"/>
    <w:rsid w:val="00C05CC1"/>
    <w:rsid w:val="00C11C9D"/>
    <w:rsid w:val="00C11D29"/>
    <w:rsid w:val="00C12877"/>
    <w:rsid w:val="00C147F6"/>
    <w:rsid w:val="00C2711F"/>
    <w:rsid w:val="00C27611"/>
    <w:rsid w:val="00C3122E"/>
    <w:rsid w:val="00C33E72"/>
    <w:rsid w:val="00C354B2"/>
    <w:rsid w:val="00C35554"/>
    <w:rsid w:val="00C36257"/>
    <w:rsid w:val="00C41631"/>
    <w:rsid w:val="00C42709"/>
    <w:rsid w:val="00C533CC"/>
    <w:rsid w:val="00C5751C"/>
    <w:rsid w:val="00C610E0"/>
    <w:rsid w:val="00C61BFC"/>
    <w:rsid w:val="00C62B85"/>
    <w:rsid w:val="00C64F2A"/>
    <w:rsid w:val="00C65169"/>
    <w:rsid w:val="00C65438"/>
    <w:rsid w:val="00C67EBF"/>
    <w:rsid w:val="00C70196"/>
    <w:rsid w:val="00C7078B"/>
    <w:rsid w:val="00C71223"/>
    <w:rsid w:val="00C91CBB"/>
    <w:rsid w:val="00CA1F27"/>
    <w:rsid w:val="00CC09B6"/>
    <w:rsid w:val="00CC3044"/>
    <w:rsid w:val="00CC666F"/>
    <w:rsid w:val="00CD026E"/>
    <w:rsid w:val="00CD1E3F"/>
    <w:rsid w:val="00CE44F6"/>
    <w:rsid w:val="00CE49DA"/>
    <w:rsid w:val="00CE7B61"/>
    <w:rsid w:val="00CF1B92"/>
    <w:rsid w:val="00D00095"/>
    <w:rsid w:val="00D01F84"/>
    <w:rsid w:val="00D02375"/>
    <w:rsid w:val="00D16F81"/>
    <w:rsid w:val="00D20620"/>
    <w:rsid w:val="00D22246"/>
    <w:rsid w:val="00D26091"/>
    <w:rsid w:val="00D34E7C"/>
    <w:rsid w:val="00D35489"/>
    <w:rsid w:val="00D440E8"/>
    <w:rsid w:val="00D47708"/>
    <w:rsid w:val="00D51276"/>
    <w:rsid w:val="00D51BBA"/>
    <w:rsid w:val="00D5232E"/>
    <w:rsid w:val="00D7035F"/>
    <w:rsid w:val="00D70FA6"/>
    <w:rsid w:val="00D71FDD"/>
    <w:rsid w:val="00D94FCD"/>
    <w:rsid w:val="00D957CA"/>
    <w:rsid w:val="00D96E8E"/>
    <w:rsid w:val="00DA21F1"/>
    <w:rsid w:val="00DA23E7"/>
    <w:rsid w:val="00DA393A"/>
    <w:rsid w:val="00DA65AC"/>
    <w:rsid w:val="00DB1913"/>
    <w:rsid w:val="00DB6F45"/>
    <w:rsid w:val="00DC410D"/>
    <w:rsid w:val="00DC68CA"/>
    <w:rsid w:val="00DC7CBA"/>
    <w:rsid w:val="00DD73B7"/>
    <w:rsid w:val="00DD7683"/>
    <w:rsid w:val="00DD7983"/>
    <w:rsid w:val="00DE37F9"/>
    <w:rsid w:val="00DF28BC"/>
    <w:rsid w:val="00DF34B9"/>
    <w:rsid w:val="00E01053"/>
    <w:rsid w:val="00E07ACF"/>
    <w:rsid w:val="00E24B96"/>
    <w:rsid w:val="00E331A1"/>
    <w:rsid w:val="00E33202"/>
    <w:rsid w:val="00E336A9"/>
    <w:rsid w:val="00E3417A"/>
    <w:rsid w:val="00E368EB"/>
    <w:rsid w:val="00E45E37"/>
    <w:rsid w:val="00E50624"/>
    <w:rsid w:val="00E52BF6"/>
    <w:rsid w:val="00E55D26"/>
    <w:rsid w:val="00E568DF"/>
    <w:rsid w:val="00E64269"/>
    <w:rsid w:val="00E712B4"/>
    <w:rsid w:val="00E7168B"/>
    <w:rsid w:val="00E71C67"/>
    <w:rsid w:val="00E82267"/>
    <w:rsid w:val="00E826FF"/>
    <w:rsid w:val="00E832EC"/>
    <w:rsid w:val="00E86A74"/>
    <w:rsid w:val="00E916D0"/>
    <w:rsid w:val="00E91996"/>
    <w:rsid w:val="00E953A2"/>
    <w:rsid w:val="00EA010F"/>
    <w:rsid w:val="00EA7EF2"/>
    <w:rsid w:val="00EB1AFE"/>
    <w:rsid w:val="00EB7951"/>
    <w:rsid w:val="00ED1B63"/>
    <w:rsid w:val="00ED276D"/>
    <w:rsid w:val="00ED3C1F"/>
    <w:rsid w:val="00ED4085"/>
    <w:rsid w:val="00ED420E"/>
    <w:rsid w:val="00EE206C"/>
    <w:rsid w:val="00EE2F57"/>
    <w:rsid w:val="00EE4177"/>
    <w:rsid w:val="00EF4C34"/>
    <w:rsid w:val="00EF67E6"/>
    <w:rsid w:val="00EF77C6"/>
    <w:rsid w:val="00F02F35"/>
    <w:rsid w:val="00F03744"/>
    <w:rsid w:val="00F05438"/>
    <w:rsid w:val="00F1361C"/>
    <w:rsid w:val="00F160C7"/>
    <w:rsid w:val="00F20D7E"/>
    <w:rsid w:val="00F20D99"/>
    <w:rsid w:val="00F21E3C"/>
    <w:rsid w:val="00F36D8F"/>
    <w:rsid w:val="00F417B1"/>
    <w:rsid w:val="00F4484C"/>
    <w:rsid w:val="00F60163"/>
    <w:rsid w:val="00F602DF"/>
    <w:rsid w:val="00F651DF"/>
    <w:rsid w:val="00F71C6E"/>
    <w:rsid w:val="00F81FD9"/>
    <w:rsid w:val="00F841AA"/>
    <w:rsid w:val="00FA0F47"/>
    <w:rsid w:val="00FA217D"/>
    <w:rsid w:val="00FA23E8"/>
    <w:rsid w:val="00FB43FD"/>
    <w:rsid w:val="00FC65E1"/>
    <w:rsid w:val="00FD3CC1"/>
    <w:rsid w:val="00FE28A2"/>
    <w:rsid w:val="00FE6730"/>
    <w:rsid w:val="00FF0991"/>
    <w:rsid w:val="00FF1E02"/>
    <w:rsid w:val="00FF2C92"/>
    <w:rsid w:val="00FF30B4"/>
    <w:rsid w:val="00FF7A6A"/>
    <w:rsid w:val="10C055FF"/>
    <w:rsid w:val="16BB723D"/>
    <w:rsid w:val="240371BF"/>
    <w:rsid w:val="29FD04D3"/>
    <w:rsid w:val="319F7F4E"/>
    <w:rsid w:val="4B256019"/>
    <w:rsid w:val="7DFF8B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link w:val="35"/>
    <w:unhideWhenUsed/>
    <w:qFormat/>
    <w:uiPriority w:val="99"/>
    <w:pPr>
      <w:ind w:firstLine="420" w:firstLineChars="200"/>
    </w:pPr>
  </w:style>
  <w:style w:type="table" w:styleId="16">
    <w:name w:val="Table Grid"/>
    <w:basedOn w:val="15"/>
    <w:qFormat/>
    <w:uiPriority w:val="59"/>
    <w:pPr>
      <w:widowControl w:val="0"/>
      <w:jc w:val="both"/>
    </w:pPr>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2"/>
    <w:qFormat/>
    <w:uiPriority w:val="9"/>
    <w:rPr>
      <w:rFonts w:ascii="Times New Roman" w:hAnsi="Times New Roman"/>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4"/>
    <w:qFormat/>
    <w:uiPriority w:val="9"/>
    <w:rPr>
      <w:rFonts w:ascii="Times New Roman" w:hAnsi="Times New Roman"/>
      <w:b/>
      <w:bCs/>
      <w:kern w:val="2"/>
      <w:sz w:val="32"/>
      <w:szCs w:val="32"/>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正文文本缩进 Char"/>
    <w:basedOn w:val="17"/>
    <w:link w:val="6"/>
    <w:semiHidden/>
    <w:qFormat/>
    <w:uiPriority w:val="99"/>
    <w:rPr>
      <w:rFonts w:ascii="Times New Roman" w:hAnsi="Times New Roman"/>
      <w:kern w:val="2"/>
      <w:sz w:val="21"/>
      <w:szCs w:val="24"/>
    </w:rPr>
  </w:style>
  <w:style w:type="character" w:customStyle="1" w:styleId="35">
    <w:name w:val="正文首行缩进 2 Char"/>
    <w:basedOn w:val="34"/>
    <w:link w:val="14"/>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680.68</c:v>
                </c:pt>
                <c:pt idx="1">
                  <c:v>680.68</c:v>
                </c:pt>
              </c:numCache>
            </c:numRef>
          </c:val>
        </c:ser>
        <c:ser>
          <c:idx val="1"/>
          <c:order val="1"/>
          <c:tx>
            <c:strRef>
              <c:f>Sheet1!$C$1</c:f>
              <c:strCache>
                <c:ptCount val="1"/>
                <c:pt idx="0">
                  <c:v>2020</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1272.56</c:v>
                </c:pt>
                <c:pt idx="1">
                  <c:v>1272.56</c:v>
                </c:pt>
              </c:numCache>
            </c:numRef>
          </c:val>
        </c:ser>
        <c:dLbls>
          <c:showLegendKey val="false"/>
          <c:showVal val="false"/>
          <c:showCatName val="false"/>
          <c:showSerName val="false"/>
          <c:showPercent val="false"/>
          <c:showBubbleSize val="false"/>
        </c:dLbls>
        <c:gapWidth val="150"/>
        <c:axId val="191543936"/>
        <c:axId val="191545728"/>
      </c:barChart>
      <c:catAx>
        <c:axId val="191543936"/>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1545728"/>
        <c:crosses val="autoZero"/>
        <c:auto val="true"/>
        <c:lblAlgn val="ctr"/>
        <c:lblOffset val="100"/>
        <c:noMultiLvlLbl val="false"/>
      </c:catAx>
      <c:valAx>
        <c:axId val="1915457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15439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2020</a:t>
            </a:r>
            <a:r>
              <a:rPr lang="zh-CN" altLang="en-US"/>
              <a:t>年收入</a:t>
            </a:r>
            <a:endParaRPr lang="zh-CN" altLang="en-US"/>
          </a:p>
        </c:rich>
      </c:tx>
      <c:layout/>
      <c:overlay val="false"/>
    </c:title>
    <c:autoTitleDeleted val="false"/>
    <c:plotArea>
      <c:layout>
        <c:manualLayout>
          <c:layoutTarget val="inner"/>
          <c:xMode val="edge"/>
          <c:yMode val="edge"/>
          <c:x val="0.0700639642266939"/>
          <c:y val="0.266035154696572"/>
          <c:w val="0.511762224166424"/>
          <c:h val="0.67156605424322"/>
        </c:manualLayout>
      </c:layout>
      <c:pieChart>
        <c:varyColors val="true"/>
        <c:ser>
          <c:idx val="0"/>
          <c:order val="0"/>
          <c:tx>
            <c:strRef>
              <c:f>Sheet1!$B$1</c:f>
              <c:strCache>
                <c:ptCount val="1"/>
                <c:pt idx="0">
                  <c:v>2020年收入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Pt>
            <c:idx val="9"/>
            <c:bubble3D val="false"/>
          </c:dPt>
          <c:dPt>
            <c:idx val="10"/>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dLbl>
              <c:idx val="2"/>
              <c:delete val="true"/>
            </c:dLbl>
            <c:dLbl>
              <c:idx val="3"/>
              <c:delete val="true"/>
            </c:dLbl>
            <c:dLbl>
              <c:idx val="4"/>
              <c:delete val="true"/>
            </c:dLbl>
            <c:dLbl>
              <c:idx val="5"/>
              <c:delete val="true"/>
            </c:dLbl>
            <c:dLbl>
              <c:idx val="6"/>
              <c:delete val="true"/>
            </c:dLbl>
            <c:dLbl>
              <c:idx val="7"/>
              <c:delete val="true"/>
            </c:dLbl>
            <c:dLbl>
              <c:idx val="8"/>
              <c:delete val="true"/>
            </c:dLbl>
            <c:dLbl>
              <c:idx val="9"/>
              <c:delete val="true"/>
            </c:dLbl>
            <c:dLbl>
              <c:idx val="1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1020.74</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7"/>
        <c:delete val="true"/>
      </c:legendEntry>
      <c:legendEntry>
        <c:idx val="8"/>
        <c:delete val="true"/>
      </c:legendEntry>
      <c:legendEntry>
        <c:idx val="9"/>
        <c:delete val="true"/>
      </c:legendEntry>
      <c:legendEntry>
        <c:idx val="10"/>
        <c:delete val="true"/>
      </c:legendEntry>
      <c:layout>
        <c:manualLayout>
          <c:xMode val="edge"/>
          <c:yMode val="edge"/>
          <c:x val="0.646951881014873"/>
          <c:y val="0.199808160343593"/>
          <c:w val="0.335764168367843"/>
          <c:h val="0.79997963890877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731950970487141"/>
          <c:y val="0.395054333161626"/>
          <c:w val="0.546795174024835"/>
          <c:h val="0.561293202835627"/>
        </c:manualLayout>
      </c:layout>
      <c:pieChart>
        <c:varyColors val="true"/>
        <c:ser>
          <c:idx val="0"/>
          <c:order val="0"/>
          <c:tx>
            <c:strRef>
              <c:f>Sheet1!$B$1</c:f>
              <c:strCache>
                <c:ptCount val="1"/>
                <c:pt idx="0">
                  <c:v>2020年支出</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572.4</c:v>
                </c:pt>
                <c:pt idx="1">
                  <c:v>216.65</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680.82</c:v>
                </c:pt>
                <c:pt idx="1">
                  <c:v>680.82</c:v>
                </c:pt>
              </c:numCache>
            </c:numRef>
          </c:val>
        </c:ser>
        <c:ser>
          <c:idx val="1"/>
          <c:order val="1"/>
          <c:tx>
            <c:strRef>
              <c:f>Sheet1!$C$1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1272.56</c:v>
                </c:pt>
                <c:pt idx="1">
                  <c:v>1272.56</c:v>
                </c:pt>
              </c:numCache>
            </c:numRef>
          </c:val>
        </c:ser>
        <c:dLbls>
          <c:showLegendKey val="false"/>
          <c:showVal val="false"/>
          <c:showCatName val="false"/>
          <c:showSerName val="false"/>
          <c:showPercent val="false"/>
          <c:showBubbleSize val="false"/>
        </c:dLbls>
        <c:gapWidth val="150"/>
        <c:axId val="223265152"/>
        <c:axId val="223266688"/>
      </c:barChart>
      <c:catAx>
        <c:axId val="22326515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23266688"/>
        <c:crosses val="autoZero"/>
        <c:auto val="true"/>
        <c:lblAlgn val="ctr"/>
        <c:lblOffset val="100"/>
        <c:noMultiLvlLbl val="false"/>
      </c:catAx>
      <c:valAx>
        <c:axId val="22326668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2326515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17264508603091"/>
          <c:y val="0.0440576177977753"/>
          <c:w val="0.677661307961505"/>
          <c:h val="0.754170103737033"/>
        </c:manualLayout>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629.01</c:v>
                </c:pt>
              </c:numCache>
            </c:numRef>
          </c:val>
        </c:ser>
        <c:ser>
          <c:idx val="1"/>
          <c:order val="1"/>
          <c:tx>
            <c:strRef>
              <c:f>Sheet1!$C$1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789.05</c:v>
                </c:pt>
              </c:numCache>
            </c:numRef>
          </c:val>
        </c:ser>
        <c:dLbls>
          <c:showLegendKey val="false"/>
          <c:showVal val="false"/>
          <c:showCatName val="false"/>
          <c:showSerName val="false"/>
          <c:showPercent val="false"/>
          <c:showBubbleSize val="false"/>
        </c:dLbls>
        <c:gapWidth val="150"/>
        <c:axId val="191499264"/>
        <c:axId val="191513344"/>
      </c:barChart>
      <c:catAx>
        <c:axId val="1914992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1513344"/>
        <c:crosses val="autoZero"/>
        <c:auto val="true"/>
        <c:lblAlgn val="ctr"/>
        <c:lblOffset val="100"/>
        <c:noMultiLvlLbl val="false"/>
      </c:catAx>
      <c:valAx>
        <c:axId val="19151334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14992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642125984251968"/>
          <c:y val="0.274985523716752"/>
          <c:w val="0.530817369843695"/>
          <c:h val="0.644301575705099"/>
        </c:manualLayout>
      </c:layout>
      <c:pieChart>
        <c:varyColors val="true"/>
        <c:ser>
          <c:idx val="0"/>
          <c:order val="0"/>
          <c:tx>
            <c:strRef>
              <c:f>Sheet1!$B$1</c:f>
              <c:strCache>
                <c:ptCount val="1"/>
                <c:pt idx="0">
                  <c:v>一般公共预算财政拨款支出</c:v>
                </c:pt>
              </c:strCache>
            </c:strRef>
          </c:tx>
          <c:explosion val="0"/>
          <c:dPt>
            <c:idx val="0"/>
            <c:bubble3D val="false"/>
            <c:explosion val="9"/>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687.73</c:v>
                </c:pt>
                <c:pt idx="1">
                  <c:v>49.59</c:v>
                </c:pt>
                <c:pt idx="2">
                  <c:v>18.05</c:v>
                </c:pt>
                <c:pt idx="3">
                  <c:v>5.2</c:v>
                </c:pt>
                <c:pt idx="4">
                  <c:v>28.48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1.38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3212</Words>
  <Characters>18310</Characters>
  <Lines>152</Lines>
  <Paragraphs>42</Paragraphs>
  <TotalTime>786</TotalTime>
  <ScaleCrop>false</ScaleCrop>
  <LinksUpToDate>false</LinksUpToDate>
  <CharactersWithSpaces>21480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2021-09-17T09:48:00Z</dcterms:created>
  <dc:creator>张彬茜</dc:creator>
  <cp:lastModifiedBy>user</cp:lastModifiedBy>
  <cp:lastPrinted>2021-09-26T09:59:00Z</cp:lastPrinted>
  <dcterms:modified xsi:type="dcterms:W3CDTF">2023-07-13T17:26:22Z</dcterms:modified>
  <dc:title>四川省***</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