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bookmarkStart w:id="74" w:name="_GoBack"/>
      <w:bookmarkEnd w:id="74"/>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52"/>
          <w:szCs w:val="52"/>
        </w:rPr>
      </w:pPr>
      <w:bookmarkStart w:id="1" w:name="_Toc15378441"/>
      <w:bookmarkStart w:id="2" w:name="_Toc15396597"/>
      <w:bookmarkStart w:id="3" w:name="_Toc15377425"/>
      <w:bookmarkStart w:id="4" w:name="_Toc15377193"/>
      <w:bookmarkStart w:id="5" w:name="_Toc15396475"/>
      <w:r>
        <w:rPr>
          <w:rFonts w:ascii="黑体" w:hAnsi="黑体" w:eastAsia="黑体"/>
          <w:color w:val="000000"/>
          <w:sz w:val="52"/>
          <w:szCs w:val="52"/>
        </w:rPr>
        <w:t>201</w:t>
      </w:r>
      <w:r>
        <w:rPr>
          <w:rFonts w:hint="eastAsia" w:ascii="黑体" w:hAnsi="黑体" w:eastAsia="黑体"/>
          <w:color w:val="000000"/>
          <w:sz w:val="52"/>
          <w:szCs w:val="52"/>
        </w:rPr>
        <w:t>8</w:t>
      </w:r>
      <w:r>
        <w:rPr>
          <w:rFonts w:hint="eastAsia" w:ascii="方正小标宋简体" w:hAnsi="宋体" w:eastAsia="方正小标宋简体"/>
          <w:color w:val="000000"/>
          <w:sz w:val="52"/>
          <w:szCs w:val="52"/>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color w:val="000000"/>
          <w:sz w:val="52"/>
          <w:szCs w:val="52"/>
        </w:rPr>
      </w:pPr>
      <w:bookmarkStart w:id="6" w:name="_Toc15396476"/>
      <w:bookmarkStart w:id="7" w:name="_Toc15377194"/>
      <w:bookmarkStart w:id="8" w:name="_Toc15377426"/>
      <w:bookmarkStart w:id="9" w:name="_Toc15396598"/>
      <w:bookmarkStart w:id="10" w:name="_Toc15306268"/>
      <w:bookmarkStart w:id="11" w:name="_Toc15378442"/>
      <w:r>
        <w:rPr>
          <w:rFonts w:hint="eastAsia" w:ascii="方正小标宋简体" w:hAnsi="宋体" w:eastAsia="方正小标宋简体"/>
          <w:color w:val="000000"/>
          <w:sz w:val="52"/>
          <w:szCs w:val="52"/>
        </w:rPr>
        <w:t>四川省广元市利州区委宣传部</w:t>
      </w:r>
    </w:p>
    <w:p>
      <w:pPr>
        <w:adjustRightInd w:val="0"/>
        <w:snapToGrid w:val="0"/>
        <w:spacing w:line="360" w:lineRule="auto"/>
        <w:jc w:val="center"/>
        <w:outlineLvl w:val="0"/>
        <w:rPr>
          <w:rFonts w:ascii="方正小标宋简体" w:hAnsi="宋体" w:eastAsia="方正小标宋简体"/>
          <w:color w:val="000000"/>
          <w:sz w:val="52"/>
          <w:szCs w:val="52"/>
        </w:rPr>
      </w:pPr>
      <w:r>
        <w:rPr>
          <w:rFonts w:hint="eastAsia" w:ascii="方正小标宋简体" w:hAnsi="宋体" w:eastAsia="方正小标宋简体"/>
          <w:color w:val="000000"/>
          <w:sz w:val="52"/>
          <w:szCs w:val="5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公开时间：2019年9月1</w:t>
      </w:r>
      <w:r>
        <w:rPr>
          <w:rFonts w:hint="eastAsia"/>
          <w:lang w:val="en-US" w:eastAsia="zh-CN"/>
        </w:rPr>
        <w:t>2</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9</w:t>
      </w:r>
      <w:r>
        <w:rPr>
          <w:rFonts w:ascii="仿宋" w:hAnsi="仿宋" w:eastAsia="仿宋"/>
          <w:sz w:val="28"/>
          <w:szCs w:val="28"/>
        </w:rPr>
        <w:fldChar w:fldCharType="end"/>
      </w:r>
    </w:p>
    <w:p>
      <w:pPr>
        <w:pStyle w:val="10"/>
        <w:rPr>
          <w:rFonts w:hint="eastAsia" w:eastAsia="仿宋"/>
          <w:lang w:val="en-US" w:eastAsia="zh-CN"/>
        </w:rPr>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rPr>
          <w:rFonts w:hint="eastAsia"/>
          <w:lang w:val="en-US" w:eastAsia="zh-CN"/>
        </w:rPr>
        <w:t>1</w:t>
      </w:r>
      <w:r>
        <w:fldChar w:fldCharType="end"/>
      </w:r>
      <w:r>
        <w:rPr>
          <w:rFonts w:hint="eastAsia"/>
          <w:lang w:val="en-US" w:eastAsia="zh-CN"/>
        </w:rPr>
        <w:t>0</w:t>
      </w:r>
    </w:p>
    <w:p>
      <w:pPr>
        <w:pStyle w:val="11"/>
        <w:rPr>
          <w:rFonts w:hint="eastAsia" w:ascii="仿宋" w:hAnsi="仿宋" w:eastAsia="仿宋" w:cstheme="minorBidi"/>
          <w:sz w:val="28"/>
          <w:szCs w:val="28"/>
          <w:lang w:val="en-US" w:eastAsia="zh-CN"/>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val="en-US" w:eastAsia="zh-CN"/>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cstheme="minorBidi"/>
          <w:sz w:val="28"/>
          <w:szCs w:val="28"/>
          <w:lang w:val="en-US" w:eastAsia="zh-CN"/>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cstheme="minorBidi"/>
          <w:sz w:val="28"/>
          <w:szCs w:val="28"/>
          <w:lang w:val="en-US" w:eastAsia="zh-CN"/>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cstheme="minorBidi"/>
          <w:sz w:val="28"/>
          <w:szCs w:val="28"/>
          <w:lang w:val="en-US" w:eastAsia="zh-CN"/>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0"/>
        <w:rPr>
          <w:rFonts w:hint="eastAsia" w:eastAsia="仿宋" w:cstheme="minorBidi"/>
          <w:lang w:val="en-US" w:eastAsia="zh-CN"/>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lang w:val="en-US" w:eastAsia="zh-CN"/>
        </w:rPr>
        <w:t>2</w:t>
      </w:r>
      <w:r>
        <w:fldChar w:fldCharType="end"/>
      </w:r>
      <w:r>
        <w:rPr>
          <w:rFonts w:hint="eastAsia"/>
          <w:lang w:val="en-US" w:eastAsia="zh-CN"/>
        </w:rPr>
        <w:t>7</w:t>
      </w:r>
    </w:p>
    <w:p>
      <w:pPr>
        <w:pStyle w:val="10"/>
        <w:rPr>
          <w:rFonts w:hint="eastAsia" w:eastAsia="仿宋" w:cstheme="minorBidi"/>
          <w:lang w:val="en-US" w:eastAsia="zh-CN"/>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rPr>
          <w:rFonts w:hint="eastAsia"/>
          <w:lang w:val="en-US" w:eastAsia="zh-CN"/>
        </w:rPr>
        <w:t>3</w:t>
      </w:r>
      <w:r>
        <w:fldChar w:fldCharType="end"/>
      </w:r>
      <w:r>
        <w:rPr>
          <w:rFonts w:hint="eastAsia"/>
          <w:lang w:val="en-US" w:eastAsia="zh-CN"/>
        </w:rPr>
        <w:t>0</w:t>
      </w:r>
    </w:p>
    <w:p>
      <w:pPr>
        <w:pStyle w:val="11"/>
        <w:rPr>
          <w:rFonts w:hint="eastAsia" w:ascii="仿宋" w:hAnsi="仿宋" w:eastAsia="仿宋" w:cstheme="minorBidi"/>
          <w:sz w:val="28"/>
          <w:szCs w:val="28"/>
          <w:lang w:val="en-US" w:eastAsia="zh-CN"/>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val="en-US" w:eastAsia="zh-CN"/>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0"/>
        <w:rPr>
          <w:rFonts w:hint="eastAsia" w:eastAsia="仿宋" w:cstheme="minorBidi"/>
          <w:lang w:val="en-US" w:eastAsia="zh-CN"/>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rPr>
          <w:rFonts w:hint="eastAsia"/>
          <w:lang w:val="en-US" w:eastAsia="zh-CN"/>
        </w:rPr>
        <w:t>4</w:t>
      </w:r>
      <w:r>
        <w:fldChar w:fldCharType="end"/>
      </w:r>
      <w:r>
        <w:rPr>
          <w:rFonts w:hint="eastAsia"/>
          <w:lang w:val="en-US" w:eastAsia="zh-CN"/>
        </w:rPr>
        <w:t>9</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r>
        <w:rPr>
          <w:rFonts w:hint="eastAsia" w:ascii="仿宋" w:hAnsi="仿宋" w:eastAsia="仿宋"/>
          <w:sz w:val="28"/>
          <w:szCs w:val="28"/>
          <w:lang w:val="en-US" w:eastAsia="zh-CN"/>
        </w:rPr>
        <w:t>4</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hint="eastAsia" w:ascii="仿宋" w:hAnsi="仿宋" w:eastAsia="仿宋" w:cstheme="minorBidi"/>
          <w:sz w:val="24"/>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r>
        <w:rPr>
          <w:rFonts w:hint="eastAsia" w:ascii="仿宋" w:hAnsi="仿宋" w:eastAsia="仿宋"/>
          <w:sz w:val="28"/>
          <w:szCs w:val="28"/>
          <w:lang w:val="en-US" w:eastAsia="zh-CN"/>
        </w:rPr>
        <w:t>4</w:t>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numPr>
          <w:ilvl w:val="0"/>
          <w:numId w:val="1"/>
        </w:numPr>
        <w:rPr>
          <w:rStyle w:val="25"/>
          <w:rFonts w:ascii="黑体" w:hAnsi="黑体" w:eastAsia="黑体" w:cs="黑体"/>
          <w:b w:val="0"/>
          <w:bCs w:val="0"/>
        </w:rPr>
      </w:pPr>
      <w:bookmarkStart w:id="14" w:name="_Toc15377197"/>
      <w:bookmarkStart w:id="15" w:name="_Toc15396600"/>
      <w:r>
        <w:rPr>
          <w:rStyle w:val="25"/>
          <w:rFonts w:hint="eastAsia" w:ascii="黑体" w:hAnsi="黑体" w:eastAsia="黑体" w:cs="黑体"/>
          <w:b w:val="0"/>
          <w:bCs w:val="0"/>
        </w:rPr>
        <w:t>基本职能及主要工作</w:t>
      </w:r>
      <w:bookmarkEnd w:id="14"/>
      <w:bookmarkEnd w:id="15"/>
    </w:p>
    <w:p>
      <w:pPr>
        <w:ind w:firstLine="640" w:firstLineChars="200"/>
        <w:rPr>
          <w:rFonts w:ascii="仿宋" w:hAnsi="仿宋" w:eastAsia="黑体" w:cs="仿宋"/>
          <w:sz w:val="30"/>
          <w:szCs w:val="30"/>
        </w:rPr>
      </w:pPr>
      <w:r>
        <w:rPr>
          <w:rStyle w:val="25"/>
          <w:rFonts w:hint="eastAsia" w:ascii="黑体" w:hAnsi="黑体" w:eastAsia="黑体"/>
          <w:b w:val="0"/>
          <w:bCs w:val="0"/>
        </w:rPr>
        <w:t>（一）</w:t>
      </w:r>
      <w:r>
        <w:rPr>
          <w:rFonts w:hint="eastAsia" w:ascii="仿宋" w:hAnsi="仿宋" w:eastAsia="仿宋" w:cs="仿宋"/>
          <w:sz w:val="30"/>
          <w:szCs w:val="30"/>
        </w:rPr>
        <w:t>主要职能</w:t>
      </w:r>
    </w:p>
    <w:p>
      <w:pPr>
        <w:ind w:firstLine="1200" w:firstLineChars="400"/>
        <w:rPr>
          <w:rFonts w:ascii="仿宋" w:hAnsi="仿宋" w:eastAsia="仿宋" w:cs="仿宋"/>
          <w:color w:val="000000"/>
          <w:sz w:val="30"/>
          <w:szCs w:val="30"/>
        </w:rPr>
      </w:pPr>
      <w:r>
        <w:rPr>
          <w:rFonts w:hint="eastAsia" w:ascii="仿宋" w:hAnsi="仿宋" w:eastAsia="仿宋" w:cs="仿宋"/>
          <w:sz w:val="30"/>
          <w:szCs w:val="30"/>
        </w:rPr>
        <w:t>中共广元市利州区委宣传部总编制38名，其中行政编制14名(含工勤人员1名），事业编制24名。在职人员总数37人，其中公务员15，事业人员21人，工勤人员1人。主要职能是</w:t>
      </w:r>
      <w:r>
        <w:rPr>
          <w:rFonts w:hint="eastAsia" w:ascii="仿宋" w:hAnsi="仿宋" w:eastAsia="仿宋" w:cs="仿宋"/>
          <w:color w:val="000000"/>
          <w:sz w:val="30"/>
          <w:szCs w:val="30"/>
        </w:rPr>
        <w:t>负责规划、部署全区宣传思想政治工作；理论教育、研究、宣传、队伍建设的日常工作；区委中心组学习的有关服务；指导管理科技党委中心组学习、全区性重大宣传活动；全区新闻舆论导向和新闻队伍建设，指导新闻战线的业务工作和组织重大新闻的报道；负责归口单位干部的考察、推荐、管理、党建工作；负责制定社会主义建设规划、创建活动；新闻报道等工作。</w:t>
      </w:r>
    </w:p>
    <w:p>
      <w:pPr>
        <w:spacing w:line="576" w:lineRule="exact"/>
        <w:ind w:firstLine="640" w:firstLineChars="200"/>
        <w:rPr>
          <w:rFonts w:ascii="方正黑体简体" w:eastAsia="方正黑体简体"/>
          <w:sz w:val="32"/>
          <w:szCs w:val="32"/>
        </w:rPr>
      </w:pPr>
      <w:bookmarkStart w:id="16" w:name="_Toc15378446"/>
      <w:bookmarkStart w:id="17"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6"/>
      <w:bookmarkEnd w:id="17"/>
    </w:p>
    <w:p>
      <w:pPr>
        <w:spacing w:line="576" w:lineRule="exact"/>
        <w:ind w:firstLine="642" w:firstLineChars="200"/>
        <w:rPr>
          <w:rFonts w:ascii="方正仿宋简体" w:eastAsia="方正仿宋简体"/>
          <w:sz w:val="32"/>
          <w:szCs w:val="32"/>
        </w:rPr>
      </w:pPr>
      <w:r>
        <w:rPr>
          <w:rFonts w:hint="eastAsia" w:ascii="方正楷体简体" w:eastAsia="方正楷体简体"/>
          <w:b/>
          <w:sz w:val="32"/>
          <w:szCs w:val="32"/>
        </w:rPr>
        <w:t>1、基层理论武装聚焦新思想。</w:t>
      </w:r>
      <w:r>
        <w:rPr>
          <w:rFonts w:hint="eastAsia" w:ascii="方正仿宋简体" w:eastAsia="方正仿宋简体"/>
          <w:sz w:val="32"/>
          <w:szCs w:val="32"/>
        </w:rPr>
        <w:t>以学习宣传贯彻习近平新时代中国特色社会主义思想和党的十九大精神为首要政治任务，牵头开展全区“大学习”活动，统筹安排各级中心组12个方面的学习重点，组织区委理论学习中心组集中学习18天19次。邀请省委党校副校长邓颖等知名专家作专题辅导，开办全区宣传干部培训班，推动理论学习入脑入心。承接省委市委宣讲分队、组织各级宣讲团（队）累计宣讲1178场次，覆盖11.1万余人次。管好用活农村“知客”宣讲，打通基层政策宣传</w:t>
      </w:r>
      <w:r>
        <w:rPr>
          <w:rFonts w:hint="eastAsia" w:ascii="方正仿宋简体" w:eastAsia="方正仿宋简体"/>
          <w:sz w:val="32"/>
          <w:szCs w:val="32"/>
          <w:lang w:eastAsia="zh-CN"/>
        </w:rPr>
        <w:t>“最后一公里”</w:t>
      </w:r>
      <w:r>
        <w:rPr>
          <w:rFonts w:hint="eastAsia" w:ascii="方正仿宋简体" w:eastAsia="方正仿宋简体"/>
          <w:sz w:val="32"/>
          <w:szCs w:val="32"/>
        </w:rPr>
        <w:t>。留守儿童社科普及基地获全省优秀等级。组织全区干部群众收听收看庆祝改革开放40周年大会实况，开展系列主题宣传教育活动。发放《习近平谈治国理政》第二卷、《习近平新时代中国特色社会主义思想三十讲》等学习读本12500余册。</w:t>
      </w:r>
    </w:p>
    <w:p>
      <w:pPr>
        <w:spacing w:line="576" w:lineRule="exact"/>
        <w:ind w:firstLine="642" w:firstLineChars="200"/>
        <w:rPr>
          <w:rFonts w:ascii="方正仿宋简体" w:eastAsia="方正仿宋简体"/>
          <w:sz w:val="32"/>
          <w:szCs w:val="32"/>
        </w:rPr>
      </w:pPr>
      <w:r>
        <w:rPr>
          <w:rFonts w:hint="eastAsia" w:ascii="方正楷体简体" w:eastAsia="方正楷体简体"/>
          <w:b/>
          <w:sz w:val="32"/>
          <w:szCs w:val="32"/>
        </w:rPr>
        <w:t>2、意识形态工作迈上新台阶。</w:t>
      </w:r>
      <w:r>
        <w:rPr>
          <w:rFonts w:hint="eastAsia" w:ascii="方正仿宋简体" w:eastAsia="方正仿宋简体"/>
          <w:sz w:val="32"/>
          <w:szCs w:val="32"/>
        </w:rPr>
        <w:t>推动区委常委会围绕学习贯彻习近平总书记来川视察重要指示精神</w:t>
      </w:r>
      <w:r>
        <w:rPr>
          <w:rFonts w:hint="eastAsia" w:ascii="方正仿宋简体" w:hAnsi="方正仿宋简体" w:eastAsia="方正仿宋简体" w:cs="方正仿宋简体"/>
          <w:sz w:val="32"/>
        </w:rPr>
        <w:t>等20个专题研究部</w:t>
      </w:r>
      <w:r>
        <w:rPr>
          <w:rFonts w:hint="eastAsia" w:ascii="方正仿宋简体" w:hAnsi="方正仿宋简体" w:eastAsia="方正仿宋简体" w:cs="方正仿宋简体"/>
          <w:color w:val="000000"/>
          <w:sz w:val="32"/>
        </w:rPr>
        <w:t>署意识形</w:t>
      </w:r>
      <w:r>
        <w:rPr>
          <w:rFonts w:hint="eastAsia" w:ascii="方正仿宋简体" w:hAnsi="方正仿宋简体" w:eastAsia="方正仿宋简体" w:cs="方正仿宋简体"/>
          <w:sz w:val="32"/>
        </w:rPr>
        <w:t>态工作。</w:t>
      </w:r>
      <w:r>
        <w:rPr>
          <w:rFonts w:hint="eastAsia" w:ascii="方正仿宋简体" w:eastAsia="方正仿宋简体"/>
          <w:sz w:val="32"/>
          <w:szCs w:val="32"/>
        </w:rPr>
        <w:t>印发《关于意识形态工作提示预警机制建设的实施意见》，构建提示预警“1+2”制度体系。强化每日舆情应对处置，每季度召开一次意识形态领域分析研判会，及时通报意识形态领域情况，分析研判当前形势，推动意识形态领域态势向稳向好。强化基层意识形态工作创新引领，新建文明乡风培育、农村核心价值观建设、道德积分激励机制、城市社区意识形态工作等6个示范点，激活基层意识形态工作创新引领。印发并落实《广元市利州区政务新媒体管理办法》，加强政务新媒体管理。严格落实《广元市党政宣传标语设置管理办法（试行）》，督导各地各部门将各类社宣阵地录入“广元市党政宣传标语管理系统”动态监管。各类意识形态阵地可管可控。坚持意识形态工作专项督查和日常检查相结合，督促整改问题30余个。</w:t>
      </w:r>
    </w:p>
    <w:p>
      <w:pPr>
        <w:spacing w:line="576" w:lineRule="exact"/>
        <w:ind w:firstLine="642" w:firstLineChars="200"/>
        <w:rPr>
          <w:rFonts w:ascii="方正仿宋简体" w:eastAsia="方正仿宋简体"/>
          <w:sz w:val="32"/>
          <w:szCs w:val="32"/>
        </w:rPr>
      </w:pPr>
      <w:r>
        <w:rPr>
          <w:rFonts w:hint="eastAsia" w:ascii="方正楷体简体" w:eastAsia="方正楷体简体"/>
          <w:b/>
          <w:sz w:val="32"/>
          <w:szCs w:val="32"/>
        </w:rPr>
        <w:t>3、正面主流宣传聚力新发展。</w:t>
      </w:r>
      <w:r>
        <w:rPr>
          <w:rFonts w:hint="eastAsia" w:ascii="方正仿宋简体" w:eastAsia="方正仿宋简体"/>
          <w:sz w:val="32"/>
          <w:szCs w:val="32"/>
        </w:rPr>
        <w:t>聚焦区委区政府中心工作，统筹宣传报道，精心编制宣传方案、要点50余个，策划开展“2018行走中国</w:t>
      </w:r>
      <w:r>
        <w:rPr>
          <w:rFonts w:hint="eastAsia" w:ascii="宋体" w:hAnsi="宋体" w:cs="宋体"/>
          <w:sz w:val="32"/>
          <w:szCs w:val="32"/>
        </w:rPr>
        <w:t>•</w:t>
      </w:r>
      <w:r>
        <w:rPr>
          <w:rFonts w:hint="eastAsia" w:ascii="方正仿宋简体" w:hAnsi="方正仿宋简体" w:eastAsia="方正仿宋简体" w:cs="方正仿宋简体"/>
          <w:sz w:val="32"/>
          <w:szCs w:val="32"/>
        </w:rPr>
        <w:t>海外华文媒体美丽四川广元利州行</w:t>
      </w:r>
      <w:r>
        <w:rPr>
          <w:rFonts w:hint="eastAsia" w:ascii="方正仿宋简体" w:eastAsia="方正仿宋简体"/>
          <w:sz w:val="32"/>
          <w:szCs w:val="32"/>
        </w:rPr>
        <w:t>”等重大外宣活动10次。印发《关于进一步规范新闻发布会管理工作的实施办法（暂行）》《关于加强新闻发言人队伍建设管理的通知》，健全新闻发言人制度。举办“解读区委八届六次全会精神”“利州山珍节”等涉区重大新闻发布会</w:t>
      </w:r>
      <w:r>
        <w:rPr>
          <w:rFonts w:hint="eastAsia" w:ascii="方正仿宋简体" w:hAnsi="方正仿宋简体" w:eastAsia="方正仿宋简体" w:cs="方正仿宋简体"/>
          <w:sz w:val="32"/>
          <w:szCs w:val="32"/>
        </w:rPr>
        <w:t>8场。中央省级权威主流媒体系列宣传报道点赞利州经济社会发展，全年外宣发稿4182篇（条），省及以上主流媒体发稿2530篇（条），其中中央报刊广电媒体</w:t>
      </w:r>
      <w:r>
        <w:rPr>
          <w:rFonts w:hint="eastAsia" w:ascii="方正仿宋简体" w:eastAsia="方正仿宋简体"/>
          <w:sz w:val="32"/>
          <w:szCs w:val="32"/>
        </w:rPr>
        <w:t>79篇（条），新华内参4篇、人民日报10篇、光明日报4篇、央视7条（新闻联播1条）；省级报刊广电媒体465篇（条），川报36篇（头版4篇）、川农报80篇、川台66条（新闻联播头条3条）；中央省级网络媒体发稿2065篇。挖掘宣讲报道张贵平先进事迹，助推获省市区“优秀共产党员”，对接省委宣传部将其纳入全省重点宣传典型。结合全国文明城市创建，倾力营造“绿色省运 康养广元”宣传氛围，累计悬挂张贴大型宣传标语、宣传画、倡议书、宣传海报23600余幅，设置彩旗700余面、省运会吉祥物7处，LED屏滚动刊播宣传标语50余万条次，“当好东道主、共享省运会、聚力新发展”深入人心。</w:t>
      </w:r>
    </w:p>
    <w:p>
      <w:pPr>
        <w:spacing w:line="576" w:lineRule="exact"/>
        <w:ind w:firstLine="642" w:firstLineChars="200"/>
        <w:rPr>
          <w:rFonts w:ascii="方正仿宋简体" w:eastAsia="方正仿宋简体"/>
          <w:sz w:val="32"/>
          <w:szCs w:val="32"/>
        </w:rPr>
      </w:pPr>
      <w:r>
        <w:rPr>
          <w:rFonts w:hint="eastAsia" w:ascii="方正楷体简体" w:eastAsia="方正楷体简体"/>
          <w:b/>
          <w:sz w:val="32"/>
          <w:szCs w:val="32"/>
        </w:rPr>
        <w:t>4、舆论生态构建取得新突破。</w:t>
      </w:r>
      <w:r>
        <w:rPr>
          <w:rFonts w:hint="eastAsia" w:ascii="方正仿宋简体" w:eastAsia="方正仿宋简体"/>
          <w:sz w:val="32"/>
          <w:szCs w:val="32"/>
        </w:rPr>
        <w:t>印发《党委（党组）网络安全工作责任制实施办法的通知》等文件，健全完善网络安全工作机制。持续推进“清朗”“净网”等专项行动，发现并清理有害信息263条，约谈账号持有人6人，关停网站9家。</w:t>
      </w:r>
      <w:r>
        <w:rPr>
          <w:rFonts w:hint="eastAsia" w:ascii="方正仿宋简体" w:hAnsi="方正仿宋简体" w:eastAsia="方正仿宋简体" w:cs="方正仿宋简体"/>
          <w:sz w:val="32"/>
          <w:szCs w:val="32"/>
        </w:rPr>
        <w:t>强化舆论引导，</w:t>
      </w:r>
      <w:r>
        <w:rPr>
          <w:rFonts w:hint="eastAsia" w:ascii="方正仿宋简体" w:eastAsia="方正仿宋简体"/>
          <w:sz w:val="32"/>
          <w:szCs w:val="32"/>
        </w:rPr>
        <w:t>成功处置涉区网络舆情846件，处</w:t>
      </w:r>
      <w:r>
        <w:rPr>
          <w:rFonts w:hint="eastAsia" w:ascii="方正仿宋简体" w:hAnsi="方正仿宋简体" w:eastAsia="方正仿宋简体" w:cs="方正仿宋简体"/>
          <w:sz w:val="32"/>
          <w:szCs w:val="32"/>
        </w:rPr>
        <w:t>置回复完成率100%。</w:t>
      </w:r>
      <w:r>
        <w:rPr>
          <w:rFonts w:hint="eastAsia" w:ascii="方正仿宋简体" w:eastAsia="方正仿宋简体"/>
          <w:sz w:val="32"/>
          <w:szCs w:val="32"/>
        </w:rPr>
        <w:t>印发《每日舆情快报》217期、专报4期、手机报182期，报送社会舆情信息952条，舆论引导3000余次，成功提供突发事件、群体性事件预警30余次。狠抓网络宣传，</w:t>
      </w:r>
      <w:r>
        <w:rPr>
          <w:rFonts w:hint="eastAsia" w:ascii="方正仿宋简体" w:hAnsi="方正仿宋简体" w:eastAsia="方正仿宋简体" w:cs="方正仿宋简体"/>
          <w:sz w:val="32"/>
          <w:szCs w:val="32"/>
        </w:rPr>
        <w:t>累计发布各类网宣信息7万余条，省级</w:t>
      </w:r>
      <w:r>
        <w:rPr>
          <w:rFonts w:hint="eastAsia" w:ascii="方正仿宋简体" w:eastAsia="方正仿宋简体"/>
          <w:sz w:val="32"/>
          <w:szCs w:val="32"/>
        </w:rPr>
        <w:t>以上网络评论文章489篇、贴文2000余篇。创新推出政务微博微信“红黑榜”，全区政务微博微信运维水平大幅提升，@利州发布被省新闻办、省信息公开办评为“微政四川2018年度十佳县区政务新媒体”。</w:t>
      </w:r>
    </w:p>
    <w:p>
      <w:pPr>
        <w:spacing w:line="576" w:lineRule="exact"/>
        <w:ind w:firstLine="642" w:firstLineChars="200"/>
        <w:rPr>
          <w:rFonts w:ascii="方正仿宋简体" w:eastAsia="方正仿宋简体"/>
          <w:sz w:val="32"/>
          <w:szCs w:val="32"/>
        </w:rPr>
      </w:pPr>
      <w:r>
        <w:rPr>
          <w:rFonts w:hint="eastAsia" w:ascii="方正楷体简体" w:eastAsia="方正楷体简体"/>
          <w:b/>
          <w:sz w:val="32"/>
          <w:szCs w:val="32"/>
        </w:rPr>
        <w:t>5、精神文明建设倡树新风尚。</w:t>
      </w:r>
      <w:r>
        <w:rPr>
          <w:rFonts w:hint="eastAsia" w:ascii="方正仿宋简体" w:eastAsia="方正仿宋简体"/>
          <w:sz w:val="32"/>
          <w:szCs w:val="32"/>
        </w:rPr>
        <w:t>助力广元拿到参评全国文明城市“入场券”，牢牢扛起主阵地、主战场、主力军政治责任和光荣使命，深入推进全国文明城市创建，累计印发《关于创建第六届全国文明城市的意见》等12个文件，精心策划开展社会宣传10万余次，“三千党员志愿服务”“万人签名与文明同行”“全民参与创文知识竞赛”“创建文明城</w:t>
      </w:r>
      <w:r>
        <w:rPr>
          <w:rFonts w:hint="eastAsia" w:ascii="宋体" w:hAnsi="宋体" w:cs="宋体"/>
          <w:sz w:val="32"/>
          <w:szCs w:val="32"/>
        </w:rPr>
        <w:t>•</w:t>
      </w:r>
      <w:r>
        <w:rPr>
          <w:rFonts w:hint="eastAsia" w:ascii="方正仿宋简体" w:hAnsi="方正仿宋简体" w:eastAsia="方正仿宋简体" w:cs="方正仿宋简体"/>
          <w:sz w:val="32"/>
          <w:szCs w:val="32"/>
        </w:rPr>
        <w:t>翰墨绘利州”</w:t>
      </w:r>
      <w:r>
        <w:rPr>
          <w:rFonts w:hint="eastAsia" w:ascii="方正仿宋简体" w:eastAsia="方正仿宋简体"/>
          <w:sz w:val="32"/>
          <w:szCs w:val="32"/>
        </w:rPr>
        <w:t>“创建文明城</w:t>
      </w:r>
      <w:r>
        <w:rPr>
          <w:rFonts w:hint="eastAsia" w:ascii="宋体" w:hAnsi="宋体" w:cs="宋体"/>
          <w:sz w:val="32"/>
          <w:szCs w:val="32"/>
        </w:rPr>
        <w:t>•</w:t>
      </w:r>
      <w:r>
        <w:rPr>
          <w:rFonts w:hint="eastAsia" w:ascii="方正仿宋简体" w:hAnsi="方正仿宋简体" w:eastAsia="方正仿宋简体" w:cs="方正仿宋简体"/>
          <w:sz w:val="32"/>
          <w:szCs w:val="32"/>
        </w:rPr>
        <w:t>迎接省运会</w:t>
      </w:r>
      <w:r>
        <w:rPr>
          <w:rFonts w:hint="eastAsia" w:ascii="方正仿宋简体" w:eastAsia="方正仿宋简体"/>
          <w:sz w:val="32"/>
          <w:szCs w:val="32"/>
        </w:rPr>
        <w:t>”等各类创建活动宣传40余场次，物品宣传17类8万余件，</w:t>
      </w:r>
      <w:r>
        <w:rPr>
          <w:rFonts w:hint="eastAsia" w:ascii="方正仿宋简体" w:hAnsi="方正仿宋简体" w:eastAsia="方正仿宋简体" w:cs="方正仿宋简体"/>
          <w:sz w:val="32"/>
          <w:szCs w:val="32"/>
        </w:rPr>
        <w:t>全面提高市民知晓率参与度，全省暗访测评排位第三名。</w:t>
      </w:r>
      <w:r>
        <w:rPr>
          <w:rFonts w:hint="eastAsia" w:ascii="方正仿宋简体" w:eastAsia="方正仿宋简体"/>
          <w:sz w:val="32"/>
          <w:szCs w:val="32"/>
        </w:rPr>
        <w:t>大力开展“培育和践行社会主义核心价值观”“讲文明树新风”等公益广告宣传。规划创建新一轮全国、省级、市级和区级文明单位（村镇）99个，申报市级以上文明校园24所，区级以上文明家庭20户，评选“四川好人”“孝敬父母、关爱子女”等市级以上典型20名。开展各类志愿服务活动600余场次，推出省级百名优秀志愿者2名、十佳志愿服务社区1个。成功入选广元首届“蜀道好家规”3条。“两扶一树”主题活动经验文章入选省政研会《政工论坛》、市委《决策与实践》。</w:t>
      </w:r>
    </w:p>
    <w:p>
      <w:pPr>
        <w:spacing w:line="576" w:lineRule="exact"/>
        <w:ind w:firstLine="642" w:firstLineChars="200"/>
        <w:rPr>
          <w:rFonts w:ascii="方正仿宋简体" w:hAnsi="方正仿宋简体" w:eastAsia="方正仿宋简体" w:cs="方正仿宋简体"/>
          <w:sz w:val="32"/>
          <w:szCs w:val="32"/>
        </w:rPr>
      </w:pPr>
      <w:r>
        <w:rPr>
          <w:rFonts w:hint="eastAsia" w:ascii="方正楷体简体" w:eastAsia="方正楷体简体"/>
          <w:b/>
          <w:sz w:val="32"/>
          <w:szCs w:val="32"/>
        </w:rPr>
        <w:t>6、文化改革发展彰显新成效。</w:t>
      </w:r>
      <w:r>
        <w:rPr>
          <w:rFonts w:hint="eastAsia" w:ascii="方正仿宋简体" w:eastAsia="方正仿宋简体"/>
          <w:sz w:val="32"/>
          <w:szCs w:val="32"/>
        </w:rPr>
        <w:t>完成区、乡、村三级群众性公共文化设施建设，公共文化服务网络实现全面覆盖。59个贫困村（含开发区）文化阵地全面建成达标，区文化馆、区图书馆升级改造为国家“三级馆”，利州电视台在全市县区中率先建成高清频道，全面达到国家三级电视台标准。成功举办“书香利州</w:t>
      </w:r>
      <w:r>
        <w:rPr>
          <w:rFonts w:hint="eastAsia" w:ascii="方正仿宋简体" w:hAnsi="宋体" w:cs="宋体"/>
          <w:sz w:val="32"/>
          <w:szCs w:val="32"/>
        </w:rPr>
        <w:t>•</w:t>
      </w:r>
      <w:r>
        <w:rPr>
          <w:rFonts w:hint="eastAsia" w:ascii="方正仿宋简体" w:hAnsi="方正仿宋简体" w:eastAsia="方正仿宋简体" w:cs="方正仿宋简体"/>
          <w:sz w:val="32"/>
          <w:szCs w:val="32"/>
        </w:rPr>
        <w:t>全民阅读”“踏歌狂欢夜”“女皇故里、康养月坝”“一乡一品”文旅活动周等文化惠民活动，累计开展送文化下乡活动101场。利州成功创建为2018-2020年度“四川省民间文化艺术之乡”。加强文艺精品创作，</w:t>
      </w:r>
      <w:r>
        <w:rPr>
          <w:rFonts w:hint="eastAsia" w:ascii="方正仿宋简体" w:eastAsia="方正仿宋简体"/>
          <w:sz w:val="32"/>
          <w:szCs w:val="32"/>
        </w:rPr>
        <w:t>推出51件文艺精品。</w:t>
      </w:r>
      <w:r>
        <w:rPr>
          <w:rFonts w:hint="eastAsia" w:ascii="方正仿宋简体" w:hAnsi="方正仿宋简体" w:eastAsia="方正仿宋简体" w:cs="方正仿宋简体"/>
          <w:sz w:val="32"/>
          <w:szCs w:val="32"/>
        </w:rPr>
        <w:t>舞蹈《夕阳花开》荣获香港“紫荆花”杯国际舞蹈服饰艺术节大赛一等奖，方言小品《扶贫村的除夕夜》荣获省第十六届戏剧小品小戏比赛三等奖，并在中央三台播出，纪录片《蜀道听风》获中办机要局“难忘的机要岁月”主题征文活动二等奖。有序推进川陕苏区红军文化园和文化创意产业孵化园项目建设工作。新引进文化企业4家，总投资1.3亿余元，成功申报广元市第二批文化产业示范基地2家。</w:t>
      </w:r>
    </w:p>
    <w:p>
      <w:pPr>
        <w:snapToGrid w:val="0"/>
        <w:spacing w:line="576" w:lineRule="exact"/>
        <w:ind w:firstLine="642" w:firstLineChars="200"/>
        <w:rPr>
          <w:rFonts w:ascii="方正仿宋简体" w:eastAsia="方正仿宋简体"/>
          <w:color w:val="FF0000"/>
          <w:sz w:val="32"/>
          <w:szCs w:val="32"/>
        </w:rPr>
      </w:pPr>
      <w:r>
        <w:rPr>
          <w:rFonts w:hint="eastAsia" w:ascii="方正楷体简体" w:eastAsia="方正楷体简体"/>
          <w:b/>
          <w:sz w:val="32"/>
          <w:szCs w:val="32"/>
        </w:rPr>
        <w:t>7、基层工作创新实现新跨越。</w:t>
      </w:r>
      <w:r>
        <w:rPr>
          <w:rFonts w:hint="eastAsia" w:ascii="方正仿宋简体" w:hAnsi="方正仿宋简体" w:eastAsia="方正仿宋简体" w:cs="方正仿宋简体"/>
          <w:sz w:val="32"/>
          <w:szCs w:val="32"/>
        </w:rPr>
        <w:t>理论研究取得新突破，5篇理论经验文章获省委宣传部《每日要情》推介、7篇获市委《广元要情》推介，《农村集体产权制度改革探索实践报告》入选广元首本蓝皮书</w:t>
      </w:r>
      <w:r>
        <w:rPr>
          <w:rFonts w:hint="eastAsia" w:ascii="方正仿宋简体" w:eastAsia="方正仿宋简体"/>
          <w:sz w:val="32"/>
          <w:szCs w:val="32"/>
        </w:rPr>
        <w:t>。</w:t>
      </w:r>
      <w:r>
        <w:rPr>
          <w:rFonts w:hint="eastAsia" w:ascii="方正仿宋简体" w:hAnsi="方正仿宋简体" w:eastAsia="方正仿宋简体" w:cs="方正仿宋简体"/>
          <w:sz w:val="32"/>
          <w:szCs w:val="32"/>
        </w:rPr>
        <w:t>“推进乡村文化振兴有效实</w:t>
      </w:r>
      <w:r>
        <w:rPr>
          <w:rFonts w:hint="eastAsia" w:ascii="方正仿宋简体" w:eastAsia="方正仿宋简体"/>
          <w:sz w:val="32"/>
          <w:szCs w:val="32"/>
        </w:rPr>
        <w:t>践”获王菲书记肯定性签批。对外宣传实现新跨越，3篇重头稿件入选新华智库《四川领导专供》，1篇入选新华通讯社《国内动态清样》</w:t>
      </w:r>
      <w:r>
        <w:rPr>
          <w:rFonts w:hint="eastAsia" w:ascii="方正仿宋简体" w:hAnsi="方正仿宋简体" w:eastAsia="方正仿宋简体" w:cs="方正仿宋简体"/>
          <w:sz w:val="32"/>
          <w:szCs w:val="32"/>
        </w:rPr>
        <w:t>，</w:t>
      </w:r>
      <w:r>
        <w:rPr>
          <w:rFonts w:hint="eastAsia" w:ascii="方正仿宋简体" w:eastAsia="方正仿宋简体"/>
          <w:sz w:val="32"/>
          <w:szCs w:val="32"/>
        </w:rPr>
        <w:t>申报“万步有约”健走大赛并夺得四川赛区主办权获邹自景市长肯定性签批。打造春馨苑小区为全国首个网络安全示范社区，被省公安厅确定为全省首个网络安全“进社区、进小区”示范点。评选全国最美家庭2户，全国“最美志愿服务社区”1个，获中宣部、中央文明办等表彰。全省文明校园创建工作推进会、全省舆情信息工作现场会选点利州。主创脱贫攻坚主题微电影《云绣月坝》，荣获中国广播电影电视社会组织联合会、中国农业电影电视协会等主办的“中国梦</w:t>
      </w:r>
      <w:r>
        <w:rPr>
          <w:rFonts w:hint="eastAsia" w:ascii="宋体" w:hAnsi="宋体" w:cs="宋体"/>
          <w:sz w:val="32"/>
          <w:szCs w:val="32"/>
        </w:rPr>
        <w:t>•</w:t>
      </w:r>
      <w:r>
        <w:rPr>
          <w:rFonts w:hint="eastAsia" w:ascii="方正仿宋简体" w:eastAsia="方正仿宋简体"/>
          <w:sz w:val="32"/>
          <w:szCs w:val="32"/>
        </w:rPr>
        <w:t>扶贫攻坚影像盛典大赛”剧情类一等奖、“2018美丽乡村国际微电影艺术节（京津冀赛区）”最佳导演奖和第三届美丽乡村国际微电影艺术节“最佳故事片奖”。</w:t>
      </w:r>
    </w:p>
    <w:p>
      <w:pPr>
        <w:pStyle w:val="3"/>
        <w:rPr>
          <w:rStyle w:val="25"/>
          <w:b w:val="0"/>
          <w:bCs w:val="0"/>
        </w:rPr>
      </w:pPr>
      <w:bookmarkStart w:id="18" w:name="_Toc15396601"/>
      <w:bookmarkStart w:id="19"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18"/>
      <w:bookmarkEnd w:id="19"/>
    </w:p>
    <w:p>
      <w:pPr>
        <w:ind w:firstLine="800" w:firstLineChars="250"/>
        <w:rPr>
          <w:rFonts w:ascii="仿宋" w:hAnsi="仿宋" w:eastAsia="仿宋"/>
          <w:sz w:val="32"/>
          <w:szCs w:val="32"/>
        </w:rPr>
      </w:pPr>
      <w:r>
        <w:rPr>
          <w:rFonts w:hint="eastAsia" w:ascii="仿宋" w:hAnsi="仿宋" w:eastAsia="仿宋"/>
          <w:sz w:val="32"/>
          <w:szCs w:val="32"/>
        </w:rPr>
        <w:t>广元市利州区委宣传部下属二级单位0个，其中行政单位0个，参照公务员法管理的事业单位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纳入广元市利州区委宣传部2018年度部门决算编制范围的二级预算单位：无。</w:t>
      </w:r>
    </w:p>
    <w:p>
      <w:pPr>
        <w:widowControl/>
        <w:jc w:val="left"/>
        <w:rPr>
          <w:rFonts w:hint="eastAsia" w:ascii="黑体" w:hAnsi="黑体" w:eastAsia="黑体" w:cs="黑体"/>
          <w:b/>
          <w:bCs/>
          <w:color w:val="000000"/>
          <w:sz w:val="44"/>
          <w:szCs w:val="44"/>
        </w:rPr>
      </w:pPr>
      <w:bookmarkStart w:id="20" w:name="_Toc15377204"/>
      <w:bookmarkStart w:id="21" w:name="_Toc15396602"/>
    </w:p>
    <w:p>
      <w:pPr>
        <w:widowControl/>
        <w:jc w:val="left"/>
        <w:rPr>
          <w:rFonts w:hint="eastAsia" w:ascii="黑体" w:hAnsi="黑体" w:eastAsia="黑体" w:cs="黑体"/>
          <w:b/>
          <w:bCs/>
          <w:color w:val="000000"/>
          <w:sz w:val="44"/>
          <w:szCs w:val="44"/>
        </w:rPr>
      </w:pPr>
    </w:p>
    <w:p>
      <w:pPr>
        <w:widowControl/>
        <w:jc w:val="left"/>
        <w:rPr>
          <w:rFonts w:hint="eastAsia" w:ascii="黑体" w:hAnsi="黑体" w:eastAsia="黑体" w:cs="黑体"/>
          <w:b/>
          <w:bCs/>
          <w:color w:val="000000"/>
          <w:sz w:val="44"/>
          <w:szCs w:val="44"/>
        </w:rPr>
      </w:pPr>
    </w:p>
    <w:p>
      <w:pPr>
        <w:widowControl/>
        <w:jc w:val="left"/>
        <w:rPr>
          <w:rFonts w:hint="eastAsia" w:ascii="黑体" w:hAnsi="黑体" w:eastAsia="黑体" w:cs="黑体"/>
          <w:b/>
          <w:bCs/>
          <w:color w:val="000000"/>
          <w:sz w:val="44"/>
          <w:szCs w:val="44"/>
        </w:rPr>
      </w:pPr>
    </w:p>
    <w:p>
      <w:pPr>
        <w:widowControl/>
        <w:jc w:val="left"/>
        <w:rPr>
          <w:rFonts w:hint="eastAsia" w:ascii="黑体" w:hAnsi="黑体" w:eastAsia="黑体" w:cs="黑体"/>
          <w:b/>
          <w:bCs/>
          <w:color w:val="000000"/>
          <w:sz w:val="44"/>
          <w:szCs w:val="44"/>
        </w:rPr>
      </w:pPr>
    </w:p>
    <w:p>
      <w:pPr>
        <w:widowControl/>
        <w:jc w:val="left"/>
        <w:rPr>
          <w:rFonts w:hint="eastAsia" w:ascii="黑体" w:hAnsi="黑体" w:eastAsia="黑体" w:cs="黑体"/>
          <w:b/>
          <w:bCs/>
          <w:color w:val="000000"/>
          <w:sz w:val="44"/>
          <w:szCs w:val="44"/>
        </w:rPr>
      </w:pPr>
    </w:p>
    <w:p>
      <w:pPr>
        <w:widowControl/>
        <w:jc w:val="left"/>
        <w:rPr>
          <w:rFonts w:hint="eastAsia" w:ascii="黑体" w:hAnsi="黑体" w:eastAsia="黑体" w:cs="黑体"/>
          <w:b/>
          <w:bCs/>
          <w:color w:val="000000"/>
          <w:sz w:val="44"/>
          <w:szCs w:val="44"/>
        </w:rPr>
      </w:pPr>
    </w:p>
    <w:p>
      <w:pPr>
        <w:widowControl/>
        <w:jc w:val="left"/>
        <w:rPr>
          <w:rStyle w:val="24"/>
          <w:rFonts w:ascii="黑体" w:hAnsi="黑体" w:eastAsia="黑体" w:cs="黑体"/>
        </w:rPr>
      </w:pPr>
      <w:r>
        <w:rPr>
          <w:rFonts w:hint="eastAsia" w:ascii="黑体" w:hAnsi="黑体" w:eastAsia="黑体" w:cs="黑体"/>
          <w:b/>
          <w:bCs/>
          <w:color w:val="000000"/>
          <w:sz w:val="44"/>
          <w:szCs w:val="44"/>
        </w:rPr>
        <w:t xml:space="preserve">第二部分 </w:t>
      </w:r>
      <w:r>
        <w:rPr>
          <w:rStyle w:val="24"/>
          <w:rFonts w:hint="eastAsia" w:ascii="黑体" w:hAnsi="黑体" w:eastAsia="黑体" w:cs="黑体"/>
        </w:rPr>
        <w:t>2018年度部门决算情况说明</w:t>
      </w:r>
      <w:bookmarkEnd w:id="20"/>
      <w:bookmarkEnd w:id="21"/>
    </w:p>
    <w:p>
      <w:pPr>
        <w:rPr>
          <w:rFonts w:ascii="黑体" w:hAnsi="黑体" w:eastAsia="黑体" w:cs="黑体"/>
          <w:b/>
          <w:bCs/>
        </w:rPr>
      </w:pPr>
    </w:p>
    <w:p>
      <w:pPr>
        <w:spacing w:line="600" w:lineRule="exact"/>
        <w:ind w:firstLine="640"/>
        <w:rPr>
          <w:rFonts w:ascii="仿宋_GB2312" w:eastAsia="仿宋_GB2312"/>
          <w:color w:val="000000"/>
          <w:sz w:val="32"/>
          <w:szCs w:val="32"/>
        </w:rPr>
      </w:pPr>
      <w:bookmarkStart w:id="22" w:name="_Toc15396603"/>
      <w:bookmarkStart w:id="23" w:name="_Toc15377205"/>
      <w:r>
        <w:rPr>
          <w:rFonts w:hint="eastAsia" w:ascii="黑体" w:hAnsi="黑体" w:eastAsia="黑体"/>
          <w:color w:val="000000"/>
          <w:sz w:val="32"/>
          <w:szCs w:val="32"/>
        </w:rPr>
        <w:t>一、收</w:t>
      </w:r>
      <w:r>
        <w:rPr>
          <w:rStyle w:val="25"/>
          <w:rFonts w:hint="eastAsia" w:ascii="黑体" w:hAnsi="黑体" w:eastAsia="黑体"/>
          <w:b w:val="0"/>
        </w:rPr>
        <w:t>入支出决算总体情况说明</w:t>
      </w:r>
      <w:bookmarkEnd w:id="22"/>
      <w:bookmarkEnd w:id="23"/>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本年收入569.86万元，本年支出590.34万元。与2017年相比，本年收入增加26万元，增加率4.78%；本年支出增加67.22万元、增加率12.85%。主要变动原因是增加财政供养人员及目标奖励金增加标准及基本工资调整标准等。</w:t>
      </w:r>
    </w:p>
    <w:p>
      <w:pPr>
        <w:spacing w:line="600" w:lineRule="exact"/>
        <w:ind w:firstLine="640" w:firstLineChars="200"/>
        <w:jc w:val="left"/>
        <w:rPr>
          <w:rStyle w:val="25"/>
          <w:rFonts w:ascii="黑体" w:hAnsi="黑体" w:eastAsia="黑体"/>
          <w:b w:val="0"/>
        </w:rPr>
      </w:pPr>
      <w:r>
        <w:rPr>
          <w:rFonts w:hint="eastAsia" w:ascii="仿宋_GB2312" w:eastAsia="仿宋_GB2312"/>
          <w:color w:val="000000"/>
          <w:sz w:val="32"/>
          <w:szCs w:val="32"/>
        </w:rPr>
        <w:drawing>
          <wp:anchor distT="0" distB="0" distL="114300" distR="114300" simplePos="0" relativeHeight="251659264" behindDoc="0" locked="1" layoutInCell="1" allowOverlap="1">
            <wp:simplePos x="0" y="0"/>
            <wp:positionH relativeFrom="column">
              <wp:posOffset>137160</wp:posOffset>
            </wp:positionH>
            <wp:positionV relativeFrom="paragraph">
              <wp:posOffset>203200</wp:posOffset>
            </wp:positionV>
            <wp:extent cx="5076190" cy="3810000"/>
            <wp:effectExtent l="19050" t="0" r="10160" b="0"/>
            <wp:wrapTopAndBottom/>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bookmarkStart w:id="24" w:name="_Toc15396604"/>
      <w:bookmarkStart w:id="25" w:name="_Toc15377206"/>
      <w:r>
        <w:rPr>
          <w:rFonts w:hint="eastAsia" w:ascii="黑体" w:hAnsi="黑体" w:eastAsia="黑体"/>
          <w:color w:val="000000"/>
          <w:sz w:val="32"/>
          <w:szCs w:val="32"/>
        </w:rPr>
        <w:t>二、收</w:t>
      </w:r>
      <w:r>
        <w:rPr>
          <w:rStyle w:val="25"/>
          <w:rFonts w:hint="eastAsia" w:ascii="黑体" w:hAnsi="黑体" w:eastAsia="黑体"/>
          <w:b w:val="0"/>
        </w:rPr>
        <w:t>入决算情况说明</w:t>
      </w:r>
      <w:bookmarkEnd w:id="24"/>
      <w:bookmarkEnd w:id="25"/>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8年本年收入合计569.86万元，其中：一般公共预算财政拨款收入569.86万元，占100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5"/>
          <w:rFonts w:ascii="黑体" w:hAnsi="黑体" w:eastAsia="黑体"/>
          <w:b w:val="0"/>
        </w:rPr>
      </w:pPr>
      <w:r>
        <w:rPr>
          <w:rFonts w:ascii="仿宋" w:hAnsi="仿宋" w:eastAsia="仿宋"/>
          <w:color w:val="000000"/>
          <w:sz w:val="32"/>
          <w:szCs w:val="32"/>
        </w:rPr>
        <w:drawing>
          <wp:anchor distT="0" distB="0" distL="114300" distR="114300" simplePos="0" relativeHeight="251661312" behindDoc="0" locked="1" layoutInCell="1" allowOverlap="0">
            <wp:simplePos x="0" y="0"/>
            <wp:positionH relativeFrom="column">
              <wp:posOffset>577850</wp:posOffset>
            </wp:positionH>
            <wp:positionV relativeFrom="paragraph">
              <wp:posOffset>33655</wp:posOffset>
            </wp:positionV>
            <wp:extent cx="4236720" cy="2895600"/>
            <wp:effectExtent l="19050" t="0" r="11430" b="0"/>
            <wp:wrapTopAndBottom/>
            <wp:docPr id="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bookmarkStart w:id="26" w:name="_Toc15396605"/>
      <w:bookmarkStart w:id="27" w:name="_Toc15377207"/>
      <w:r>
        <w:rPr>
          <w:rFonts w:hint="eastAsia" w:ascii="黑体" w:hAnsi="黑体" w:eastAsia="黑体"/>
          <w:color w:val="000000"/>
          <w:sz w:val="32"/>
          <w:szCs w:val="32"/>
        </w:rPr>
        <w:t>三、支</w:t>
      </w:r>
      <w:r>
        <w:rPr>
          <w:rStyle w:val="25"/>
          <w:rFonts w:hint="eastAsia" w:ascii="黑体" w:hAnsi="黑体" w:eastAsia="黑体"/>
          <w:b w:val="0"/>
        </w:rPr>
        <w:t>出决算情况说明</w:t>
      </w:r>
      <w:bookmarkEnd w:id="26"/>
      <w:bookmarkEnd w:id="27"/>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8年本年支出合计590.34万元，其中：基本支出499.14万元，占84.55</w:t>
      </w:r>
      <w:r>
        <w:rPr>
          <w:rFonts w:ascii="仿宋" w:hAnsi="仿宋" w:eastAsia="仿宋"/>
          <w:color w:val="000000"/>
          <w:sz w:val="32"/>
          <w:szCs w:val="32"/>
        </w:rPr>
        <w:t>%</w:t>
      </w:r>
      <w:r>
        <w:rPr>
          <w:rFonts w:hint="eastAsia" w:ascii="仿宋" w:hAnsi="仿宋" w:eastAsia="仿宋"/>
          <w:color w:val="000000"/>
          <w:sz w:val="32"/>
          <w:szCs w:val="32"/>
        </w:rPr>
        <w:t>；项目支出91.2万元，占15.45</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drawing>
          <wp:anchor distT="0" distB="0" distL="114300" distR="114300" simplePos="0" relativeHeight="251663360" behindDoc="0" locked="1" layoutInCell="0" allowOverlap="0">
            <wp:simplePos x="0" y="0"/>
            <wp:positionH relativeFrom="column">
              <wp:posOffset>628650</wp:posOffset>
            </wp:positionH>
            <wp:positionV relativeFrom="paragraph">
              <wp:posOffset>16510</wp:posOffset>
            </wp:positionV>
            <wp:extent cx="3980815" cy="3089275"/>
            <wp:effectExtent l="19050" t="0" r="19685" b="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320" w:firstLineChars="100"/>
        <w:outlineLvl w:val="1"/>
        <w:rPr>
          <w:rFonts w:hint="eastAsia" w:ascii="黑体" w:hAnsi="黑体" w:eastAsia="黑体"/>
          <w:color w:val="000000"/>
          <w:sz w:val="32"/>
          <w:szCs w:val="32"/>
        </w:rPr>
      </w:pPr>
      <w:bookmarkStart w:id="28" w:name="_Toc15377208"/>
      <w:bookmarkStart w:id="29" w:name="_Toc15396606"/>
    </w:p>
    <w:p>
      <w:pPr>
        <w:spacing w:line="600" w:lineRule="exact"/>
        <w:ind w:firstLine="320" w:firstLineChars="100"/>
        <w:outlineLvl w:val="1"/>
        <w:rPr>
          <w:rFonts w:hint="eastAsia" w:ascii="黑体" w:hAnsi="黑体" w:eastAsia="黑体"/>
          <w:color w:val="000000"/>
          <w:sz w:val="32"/>
          <w:szCs w:val="32"/>
        </w:rPr>
      </w:pPr>
    </w:p>
    <w:p>
      <w:pPr>
        <w:spacing w:line="600" w:lineRule="exact"/>
        <w:ind w:firstLine="320" w:firstLineChars="100"/>
        <w:outlineLvl w:val="1"/>
        <w:rPr>
          <w:rFonts w:hint="eastAsia" w:ascii="黑体" w:hAnsi="黑体" w:eastAsia="黑体"/>
          <w:color w:val="000000"/>
          <w:sz w:val="32"/>
          <w:szCs w:val="32"/>
        </w:rPr>
      </w:pPr>
    </w:p>
    <w:p>
      <w:pPr>
        <w:spacing w:line="600" w:lineRule="exact"/>
        <w:ind w:firstLine="320" w:firstLineChars="100"/>
        <w:outlineLvl w:val="1"/>
        <w:rPr>
          <w:rFonts w:hint="eastAsia" w:ascii="黑体" w:hAnsi="黑体" w:eastAsia="黑体"/>
          <w:color w:val="000000"/>
          <w:sz w:val="32"/>
          <w:szCs w:val="32"/>
        </w:rPr>
      </w:pPr>
    </w:p>
    <w:p>
      <w:pPr>
        <w:spacing w:line="600" w:lineRule="exact"/>
        <w:ind w:firstLine="320" w:firstLineChars="100"/>
        <w:outlineLvl w:val="1"/>
        <w:rPr>
          <w:rFonts w:hint="eastAsia" w:ascii="黑体" w:hAnsi="黑体" w:eastAsia="黑体"/>
          <w:color w:val="000000"/>
          <w:sz w:val="32"/>
          <w:szCs w:val="32"/>
        </w:rPr>
      </w:pPr>
    </w:p>
    <w:p>
      <w:pPr>
        <w:spacing w:line="600" w:lineRule="exact"/>
        <w:ind w:firstLine="320" w:firstLineChars="100"/>
        <w:outlineLvl w:val="1"/>
        <w:rPr>
          <w:rFonts w:hint="eastAsia" w:ascii="黑体" w:hAnsi="黑体" w:eastAsia="黑体"/>
          <w:color w:val="000000"/>
          <w:sz w:val="32"/>
          <w:szCs w:val="32"/>
        </w:rPr>
      </w:pPr>
    </w:p>
    <w:p>
      <w:pPr>
        <w:spacing w:line="600" w:lineRule="exact"/>
        <w:ind w:firstLine="320" w:firstLineChars="100"/>
        <w:outlineLvl w:val="1"/>
        <w:rPr>
          <w:rFonts w:hint="eastAsia" w:ascii="黑体" w:hAnsi="黑体" w:eastAsia="黑体"/>
          <w:color w:val="000000"/>
          <w:sz w:val="32"/>
          <w:szCs w:val="32"/>
        </w:rPr>
      </w:pPr>
    </w:p>
    <w:p>
      <w:pPr>
        <w:spacing w:line="600" w:lineRule="exact"/>
        <w:ind w:firstLine="320" w:firstLineChars="100"/>
        <w:outlineLvl w:val="1"/>
        <w:rPr>
          <w:rStyle w:val="25"/>
          <w:rFonts w:ascii="黑体" w:hAnsi="黑体" w:eastAsia="黑体"/>
          <w:b w:val="0"/>
        </w:rPr>
      </w:pPr>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28"/>
      <w:bookmarkEnd w:id="29"/>
    </w:p>
    <w:p>
      <w:pPr>
        <w:spacing w:line="60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8年财政拨款收入569.86万元，支出590.34万元。与</w:t>
      </w:r>
      <w:r>
        <w:rPr>
          <w:rFonts w:ascii="仿宋" w:hAnsi="仿宋" w:eastAsia="仿宋"/>
          <w:color w:val="000000"/>
          <w:sz w:val="32"/>
          <w:szCs w:val="32"/>
        </w:rPr>
        <w:t>201</w:t>
      </w:r>
      <w:r>
        <w:rPr>
          <w:rFonts w:hint="eastAsia" w:ascii="仿宋" w:hAnsi="仿宋" w:eastAsia="仿宋"/>
          <w:color w:val="000000"/>
          <w:sz w:val="32"/>
          <w:szCs w:val="32"/>
        </w:rPr>
        <w:t>7年相比，财政拨款收入增加26万元，增长率4.78%、支出增加67.22万元，增长率12.85</w:t>
      </w:r>
      <w:r>
        <w:rPr>
          <w:rFonts w:ascii="仿宋" w:hAnsi="仿宋" w:eastAsia="仿宋"/>
          <w:color w:val="000000"/>
          <w:sz w:val="32"/>
          <w:szCs w:val="32"/>
        </w:rPr>
        <w:t>%</w:t>
      </w:r>
      <w:r>
        <w:rPr>
          <w:rFonts w:hint="eastAsia" w:ascii="仿宋" w:hAnsi="仿宋" w:eastAsia="仿宋"/>
          <w:color w:val="000000"/>
          <w:sz w:val="32"/>
          <w:szCs w:val="32"/>
        </w:rPr>
        <w:t>。主要变动原因是增加财政供养人员及目标奖励金增加标准及基本工资调整标准等。</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5408" behindDoc="0" locked="1" layoutInCell="1" allowOverlap="0">
            <wp:simplePos x="0" y="0"/>
            <wp:positionH relativeFrom="column">
              <wp:posOffset>289560</wp:posOffset>
            </wp:positionH>
            <wp:positionV relativeFrom="paragraph">
              <wp:posOffset>118110</wp:posOffset>
            </wp:positionV>
            <wp:extent cx="5076190" cy="3810000"/>
            <wp:effectExtent l="19050" t="0" r="10160" b="0"/>
            <wp:wrapTopAndBottom/>
            <wp:docPr id="13"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Style w:val="25"/>
          <w:rFonts w:ascii="黑体" w:hAnsi="黑体" w:eastAsia="黑体"/>
          <w:b w:val="0"/>
        </w:rPr>
      </w:pPr>
      <w:bookmarkStart w:id="30" w:name="_Toc15396607"/>
      <w:bookmarkStart w:id="31"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0"/>
      <w:bookmarkEnd w:id="31"/>
    </w:p>
    <w:p>
      <w:pPr>
        <w:spacing w:line="600" w:lineRule="exact"/>
        <w:ind w:firstLine="642"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8年一般公共预算财政拨款支出590.34万元，占本年支出合计的100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7年相比，一般公共预算财政拨款增加67.22万元，增长率12.85</w:t>
      </w:r>
      <w:r>
        <w:rPr>
          <w:rFonts w:ascii="仿宋" w:hAnsi="仿宋" w:eastAsia="仿宋"/>
          <w:color w:val="000000"/>
          <w:sz w:val="32"/>
          <w:szCs w:val="32"/>
        </w:rPr>
        <w:t>%</w:t>
      </w:r>
      <w:r>
        <w:rPr>
          <w:rFonts w:hint="eastAsia" w:ascii="仿宋" w:hAnsi="仿宋" w:eastAsia="仿宋"/>
          <w:color w:val="000000"/>
          <w:sz w:val="32"/>
          <w:szCs w:val="32"/>
        </w:rPr>
        <w:t>。主要变动原因是增加财政供养人员及目标奖励金增加标准及基本工资调整标准等。</w:t>
      </w:r>
    </w:p>
    <w:p>
      <w:pPr>
        <w:spacing w:line="600" w:lineRule="exact"/>
        <w:ind w:firstLine="642" w:firstLineChars="200"/>
        <w:outlineLvl w:val="2"/>
        <w:rPr>
          <w:rFonts w:hint="eastAsia" w:ascii="仿宋" w:hAnsi="仿宋" w:eastAsia="仿宋"/>
          <w:b/>
          <w:color w:val="000000"/>
          <w:sz w:val="32"/>
          <w:szCs w:val="32"/>
        </w:rPr>
      </w:pPr>
      <w:bookmarkStart w:id="33" w:name="_Toc15377211"/>
      <w:r>
        <w:rPr>
          <w:rFonts w:ascii="仿宋" w:hAnsi="仿宋" w:eastAsia="仿宋"/>
          <w:b/>
          <w:color w:val="000000"/>
          <w:sz w:val="32"/>
          <w:szCs w:val="32"/>
        </w:rPr>
        <w:drawing>
          <wp:anchor distT="0" distB="0" distL="114300" distR="114300" simplePos="0" relativeHeight="251667456" behindDoc="0" locked="1" layoutInCell="1" allowOverlap="0">
            <wp:simplePos x="0" y="0"/>
            <wp:positionH relativeFrom="column">
              <wp:posOffset>289560</wp:posOffset>
            </wp:positionH>
            <wp:positionV relativeFrom="paragraph">
              <wp:posOffset>109855</wp:posOffset>
            </wp:positionV>
            <wp:extent cx="4688840" cy="2844800"/>
            <wp:effectExtent l="19050" t="0" r="16510" b="0"/>
            <wp:wrapTopAndBottom/>
            <wp:docPr id="3"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3"/>
    </w:p>
    <w:p>
      <w:pPr>
        <w:spacing w:line="600" w:lineRule="exact"/>
        <w:ind w:firstLine="640"/>
        <w:rPr>
          <w:rFonts w:hint="eastAsia" w:ascii="仿宋" w:hAnsi="仿宋" w:eastAsia="仿宋"/>
          <w:b/>
          <w:color w:val="000000" w:themeColor="text1"/>
          <w:sz w:val="32"/>
          <w:szCs w:val="32"/>
        </w:rPr>
      </w:pPr>
      <w:r>
        <w:rPr>
          <w:rFonts w:ascii="仿宋" w:hAnsi="仿宋" w:eastAsia="仿宋"/>
          <w:color w:val="000000" w:themeColor="text1"/>
          <w:sz w:val="32"/>
          <w:szCs w:val="32"/>
        </w:rPr>
        <w:drawing>
          <wp:anchor distT="0" distB="0" distL="114300" distR="114300" simplePos="0" relativeHeight="251669504" behindDoc="0" locked="0" layoutInCell="1" allowOverlap="1">
            <wp:simplePos x="0" y="0"/>
            <wp:positionH relativeFrom="column">
              <wp:posOffset>678815</wp:posOffset>
            </wp:positionH>
            <wp:positionV relativeFrom="paragraph">
              <wp:posOffset>2311400</wp:posOffset>
            </wp:positionV>
            <wp:extent cx="4093845" cy="2507615"/>
            <wp:effectExtent l="19050" t="0" r="20955" b="6985"/>
            <wp:wrapTopAndBottom/>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hAnsi="仿宋" w:eastAsia="仿宋"/>
          <w:color w:val="000000" w:themeColor="text1"/>
          <w:sz w:val="32"/>
          <w:szCs w:val="32"/>
        </w:rPr>
        <w:t>201</w:t>
      </w:r>
      <w:r>
        <w:rPr>
          <w:rFonts w:hint="eastAsia" w:ascii="仿宋" w:hAnsi="仿宋" w:eastAsia="仿宋"/>
          <w:color w:val="000000" w:themeColor="text1"/>
          <w:sz w:val="32"/>
          <w:szCs w:val="32"/>
        </w:rPr>
        <w:t>8年一般公共预算财政拨款支出590.34万元，主要用于以下方面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支出500.67万元，占84.8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农林水（类）</w:t>
      </w:r>
      <w:r>
        <w:rPr>
          <w:rFonts w:hint="eastAsia" w:ascii="仿宋" w:hAnsi="仿宋" w:eastAsia="仿宋"/>
          <w:color w:val="000000" w:themeColor="text1"/>
          <w:sz w:val="32"/>
          <w:szCs w:val="32"/>
        </w:rPr>
        <w:t>支出0.6万元，占0.1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支出44.16万元，占7.5</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；医疗卫生支出17.71万元，占3</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；住房保障支出27.2万元，占4.6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（罗列全部功能分类科目，至类级。）</w:t>
      </w:r>
    </w:p>
    <w:p>
      <w:pPr>
        <w:spacing w:line="600" w:lineRule="exact"/>
        <w:ind w:firstLine="640"/>
        <w:rPr>
          <w:rFonts w:ascii="仿宋" w:hAnsi="仿宋" w:eastAsia="仿宋"/>
          <w:color w:val="000000" w:themeColor="text1"/>
          <w:sz w:val="32"/>
          <w:szCs w:val="32"/>
        </w:rPr>
      </w:pPr>
    </w:p>
    <w:p>
      <w:pPr>
        <w:spacing w:line="600" w:lineRule="exact"/>
        <w:ind w:firstLine="321" w:firstLineChars="100"/>
        <w:outlineLvl w:val="2"/>
        <w:rPr>
          <w:rFonts w:ascii="仿宋" w:hAnsi="仿宋" w:eastAsia="仿宋"/>
          <w:b/>
          <w:color w:val="000000"/>
          <w:sz w:val="32"/>
          <w:szCs w:val="32"/>
        </w:rPr>
      </w:pPr>
      <w:bookmarkStart w:id="34" w:name="_Toc15377212"/>
      <w:r>
        <w:rPr>
          <w:rFonts w:hint="eastAsia" w:ascii="仿宋" w:hAnsi="仿宋" w:eastAsia="仿宋"/>
          <w:b/>
          <w:color w:val="000000"/>
          <w:sz w:val="32"/>
          <w:szCs w:val="32"/>
        </w:rPr>
        <w:t>（三）一般公共预算财政拨款支出决算具体情况</w:t>
      </w:r>
      <w:bookmarkEnd w:id="34"/>
    </w:p>
    <w:p>
      <w:pPr>
        <w:spacing w:line="600" w:lineRule="exact"/>
        <w:ind w:firstLine="642" w:firstLineChars="200"/>
        <w:outlineLvl w:val="2"/>
        <w:rPr>
          <w:rFonts w:ascii="仿宋" w:hAnsi="仿宋" w:eastAsia="仿宋"/>
          <w:color w:val="FF0000"/>
          <w:sz w:val="32"/>
          <w:szCs w:val="32"/>
        </w:rPr>
      </w:pPr>
      <w:bookmarkStart w:id="35" w:name="_Toc15378460"/>
      <w:bookmarkStart w:id="36" w:name="_Toc15377444"/>
      <w:bookmarkStart w:id="37" w:name="_Toc15377213"/>
      <w:r>
        <w:rPr>
          <w:rFonts w:hint="eastAsia" w:ascii="仿宋" w:hAnsi="仿宋" w:eastAsia="仿宋"/>
          <w:b/>
          <w:color w:val="000000" w:themeColor="text1"/>
          <w:sz w:val="32"/>
          <w:szCs w:val="32"/>
        </w:rPr>
        <w:t>2018年一般公共预算支出决算数为590.34</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5"/>
      <w:bookmarkEnd w:id="36"/>
      <w:bookmarkEnd w:id="37"/>
    </w:p>
    <w:p>
      <w:pPr>
        <w:numPr>
          <w:ilvl w:val="0"/>
          <w:numId w:val="2"/>
        </w:numPr>
        <w:spacing w:line="600" w:lineRule="exact"/>
        <w:ind w:firstLine="640" w:firstLineChars="200"/>
        <w:rPr>
          <w:rStyle w:val="14"/>
          <w:rFonts w:ascii="仿宋" w:hAnsi="仿宋" w:eastAsia="仿宋"/>
          <w:b w:val="0"/>
          <w:color w:val="000000" w:themeColor="text1"/>
          <w:sz w:val="32"/>
          <w:szCs w:val="32"/>
        </w:rPr>
      </w:pPr>
      <w:r>
        <w:rPr>
          <w:rStyle w:val="14"/>
          <w:rFonts w:hint="eastAsia" w:ascii="仿宋" w:hAnsi="仿宋" w:eastAsia="仿宋"/>
          <w:b w:val="0"/>
          <w:color w:val="000000" w:themeColor="text1"/>
          <w:sz w:val="32"/>
          <w:szCs w:val="32"/>
        </w:rPr>
        <w:t>一般公共服务（类）宣传事务（款）行政运行（项）</w:t>
      </w:r>
      <w:r>
        <w:rPr>
          <w:rStyle w:val="14"/>
          <w:rFonts w:ascii="仿宋" w:hAnsi="仿宋" w:eastAsia="仿宋"/>
          <w:b w:val="0"/>
          <w:color w:val="000000" w:themeColor="text1"/>
          <w:sz w:val="32"/>
          <w:szCs w:val="32"/>
        </w:rPr>
        <w:t xml:space="preserve">: </w:t>
      </w:r>
      <w:r>
        <w:rPr>
          <w:rStyle w:val="14"/>
          <w:rFonts w:hint="eastAsia" w:ascii="仿宋" w:hAnsi="仿宋" w:eastAsia="仿宋"/>
          <w:b w:val="0"/>
          <w:color w:val="000000" w:themeColor="text1"/>
          <w:sz w:val="32"/>
          <w:szCs w:val="32"/>
        </w:rPr>
        <w:t>支出决算为410.07万元，完成预算97.52</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，决算数小于预算数的主要原因是年末追加基本工资调整标准及增加财政供养人员经费。</w:t>
      </w:r>
    </w:p>
    <w:p>
      <w:pPr>
        <w:numPr>
          <w:ilvl w:val="0"/>
          <w:numId w:val="2"/>
        </w:numPr>
        <w:spacing w:line="600" w:lineRule="exact"/>
        <w:ind w:firstLine="640" w:firstLineChars="200"/>
        <w:rPr>
          <w:rFonts w:ascii="仿宋" w:hAnsi="仿宋" w:eastAsia="仿宋"/>
          <w:color w:val="000000" w:themeColor="text1"/>
          <w:sz w:val="32"/>
          <w:szCs w:val="32"/>
        </w:rPr>
      </w:pPr>
      <w:r>
        <w:rPr>
          <w:rStyle w:val="14"/>
          <w:rFonts w:hint="eastAsia" w:ascii="仿宋" w:hAnsi="仿宋" w:eastAsia="仿宋"/>
          <w:b w:val="0"/>
          <w:color w:val="000000" w:themeColor="text1"/>
          <w:sz w:val="32"/>
          <w:szCs w:val="32"/>
        </w:rPr>
        <w:t>一般公共服务（类）宣传事务（款）一般行政管理事务（项）</w:t>
      </w:r>
      <w:r>
        <w:rPr>
          <w:rStyle w:val="14"/>
          <w:rFonts w:ascii="仿宋" w:hAnsi="仿宋" w:eastAsia="仿宋"/>
          <w:b w:val="0"/>
          <w:color w:val="000000" w:themeColor="text1"/>
          <w:sz w:val="32"/>
          <w:szCs w:val="32"/>
        </w:rPr>
        <w:t xml:space="preserve">: </w:t>
      </w:r>
      <w:r>
        <w:rPr>
          <w:rStyle w:val="14"/>
          <w:rFonts w:hint="eastAsia" w:ascii="仿宋" w:hAnsi="仿宋" w:eastAsia="仿宋"/>
          <w:b w:val="0"/>
          <w:color w:val="000000" w:themeColor="text1"/>
          <w:sz w:val="32"/>
          <w:szCs w:val="32"/>
        </w:rPr>
        <w:t>支出决算为90.6万元，完成预算100</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，决算数等于预算数。</w:t>
      </w:r>
    </w:p>
    <w:p>
      <w:pPr>
        <w:numPr>
          <w:ilvl w:val="0"/>
          <w:numId w:val="2"/>
        </w:numPr>
        <w:spacing w:line="600" w:lineRule="exact"/>
        <w:ind w:firstLine="640" w:firstLineChars="200"/>
        <w:rPr>
          <w:rStyle w:val="14"/>
          <w:rFonts w:ascii="仿宋" w:hAnsi="仿宋" w:eastAsia="仿宋"/>
          <w:b w:val="0"/>
          <w:color w:val="000000" w:themeColor="text1"/>
          <w:sz w:val="32"/>
          <w:szCs w:val="32"/>
        </w:rPr>
      </w:pPr>
      <w:r>
        <w:rPr>
          <w:rStyle w:val="14"/>
          <w:rFonts w:hint="eastAsia" w:ascii="仿宋" w:hAnsi="仿宋" w:eastAsia="仿宋"/>
          <w:b w:val="0"/>
          <w:color w:val="000000" w:themeColor="text1"/>
          <w:sz w:val="32"/>
          <w:szCs w:val="32"/>
        </w:rPr>
        <w:t>社会保障和就业（类）行政事业单位离退休（款）机关事业单位基本养老保险缴费（项）</w:t>
      </w:r>
      <w:r>
        <w:rPr>
          <w:rStyle w:val="14"/>
          <w:rFonts w:ascii="仿宋" w:hAnsi="仿宋" w:eastAsia="仿宋"/>
          <w:b w:val="0"/>
          <w:color w:val="000000" w:themeColor="text1"/>
          <w:sz w:val="32"/>
          <w:szCs w:val="32"/>
        </w:rPr>
        <w:t xml:space="preserve">: </w:t>
      </w:r>
      <w:r>
        <w:rPr>
          <w:rStyle w:val="14"/>
          <w:rFonts w:hint="eastAsia" w:ascii="仿宋" w:hAnsi="仿宋" w:eastAsia="仿宋"/>
          <w:b w:val="0"/>
          <w:color w:val="000000" w:themeColor="text1"/>
          <w:sz w:val="32"/>
          <w:szCs w:val="32"/>
        </w:rPr>
        <w:t>支出决算为42.75万元，完成预算92.58</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 xml:space="preserve">，决算数小于预算数的主要原因是基本工资调标部分的基本养老保险未缴费。  </w:t>
      </w:r>
    </w:p>
    <w:p>
      <w:pPr>
        <w:spacing w:line="600" w:lineRule="exact"/>
        <w:ind w:firstLine="640" w:firstLineChars="200"/>
        <w:rPr>
          <w:rFonts w:ascii="仿宋" w:hAnsi="仿宋" w:eastAsia="仿宋"/>
          <w:color w:val="000000" w:themeColor="text1"/>
          <w:sz w:val="32"/>
          <w:szCs w:val="32"/>
        </w:rPr>
      </w:pPr>
      <w:r>
        <w:rPr>
          <w:rStyle w:val="14"/>
          <w:rFonts w:hint="eastAsia" w:ascii="仿宋" w:hAnsi="仿宋" w:eastAsia="仿宋"/>
          <w:b w:val="0"/>
          <w:color w:val="000000" w:themeColor="text1"/>
          <w:sz w:val="32"/>
          <w:szCs w:val="32"/>
        </w:rPr>
        <w:t>4.社会保障和就业（类）行政事业单位离退休（款）机关事业单位职业年金缴费（项）</w:t>
      </w:r>
      <w:r>
        <w:rPr>
          <w:rStyle w:val="14"/>
          <w:rFonts w:ascii="仿宋" w:hAnsi="仿宋" w:eastAsia="仿宋"/>
          <w:b w:val="0"/>
          <w:color w:val="000000" w:themeColor="text1"/>
          <w:sz w:val="32"/>
          <w:szCs w:val="32"/>
        </w:rPr>
        <w:t xml:space="preserve">: </w:t>
      </w:r>
      <w:r>
        <w:rPr>
          <w:rStyle w:val="14"/>
          <w:rFonts w:hint="eastAsia" w:ascii="仿宋" w:hAnsi="仿宋" w:eastAsia="仿宋"/>
          <w:b w:val="0"/>
          <w:color w:val="000000" w:themeColor="text1"/>
          <w:sz w:val="32"/>
          <w:szCs w:val="32"/>
        </w:rPr>
        <w:t>支出决算为1.41万元，完成预算100</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，决算数等于预算数。</w:t>
      </w:r>
    </w:p>
    <w:p>
      <w:pPr>
        <w:spacing w:line="600" w:lineRule="exact"/>
        <w:ind w:firstLine="640" w:firstLineChars="200"/>
        <w:rPr>
          <w:rStyle w:val="14"/>
          <w:rFonts w:ascii="仿宋" w:hAnsi="仿宋" w:eastAsia="仿宋"/>
          <w:b w:val="0"/>
          <w:color w:val="000000" w:themeColor="text1"/>
          <w:sz w:val="32"/>
          <w:szCs w:val="32"/>
        </w:rPr>
      </w:pPr>
      <w:r>
        <w:rPr>
          <w:rStyle w:val="14"/>
          <w:rFonts w:hint="eastAsia" w:ascii="仿宋" w:hAnsi="仿宋" w:eastAsia="仿宋"/>
          <w:b w:val="0"/>
          <w:color w:val="000000" w:themeColor="text1"/>
          <w:sz w:val="32"/>
          <w:szCs w:val="32"/>
        </w:rPr>
        <w:t>5</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医疗卫生与计划生育（类）行政事业单位医疗（款）行政单位医疗（项）</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支出决算为17.71万元，完成预算100</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，决算数等于预算数。</w:t>
      </w:r>
    </w:p>
    <w:p>
      <w:pPr>
        <w:spacing w:line="600" w:lineRule="exact"/>
        <w:ind w:firstLine="640" w:firstLineChars="200"/>
        <w:rPr>
          <w:rStyle w:val="14"/>
          <w:rFonts w:ascii="仿宋" w:hAnsi="仿宋" w:eastAsia="仿宋"/>
          <w:b w:val="0"/>
          <w:color w:val="000000" w:themeColor="text1"/>
          <w:sz w:val="32"/>
          <w:szCs w:val="32"/>
        </w:rPr>
      </w:pPr>
      <w:r>
        <w:rPr>
          <w:rStyle w:val="14"/>
          <w:rFonts w:hint="eastAsia" w:ascii="仿宋" w:hAnsi="仿宋" w:eastAsia="仿宋"/>
          <w:b w:val="0"/>
          <w:color w:val="000000" w:themeColor="text1"/>
          <w:sz w:val="32"/>
          <w:szCs w:val="32"/>
        </w:rPr>
        <w:t>6.农林水（类）扶贫（款）其他扶贫（项）支出决算为0.6万元，完成预算100</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，决算数等于预算数。</w:t>
      </w:r>
    </w:p>
    <w:p>
      <w:pPr>
        <w:spacing w:line="600" w:lineRule="exact"/>
        <w:ind w:firstLine="640" w:firstLineChars="200"/>
        <w:rPr>
          <w:rFonts w:ascii="仿宋" w:hAnsi="仿宋" w:eastAsia="仿宋"/>
          <w:color w:val="000000" w:themeColor="text1"/>
          <w:sz w:val="32"/>
          <w:szCs w:val="32"/>
        </w:rPr>
      </w:pPr>
      <w:r>
        <w:rPr>
          <w:rStyle w:val="14"/>
          <w:rFonts w:hint="eastAsia" w:ascii="仿宋" w:hAnsi="仿宋" w:eastAsia="仿宋"/>
          <w:b w:val="0"/>
          <w:color w:val="000000" w:themeColor="text1"/>
          <w:sz w:val="32"/>
          <w:szCs w:val="32"/>
        </w:rPr>
        <w:t>7</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住房保障（类）住房改革（款）住房公积金（项）</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支出决算为27.2万元，完成预算100</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，决算数等于预算数。</w:t>
      </w:r>
    </w:p>
    <w:p>
      <w:pPr>
        <w:spacing w:line="600" w:lineRule="exact"/>
        <w:ind w:firstLine="640"/>
        <w:rPr>
          <w:rFonts w:ascii="仿宋" w:hAnsi="仿宋" w:eastAsia="仿宋"/>
          <w:color w:val="000000" w:themeColor="text1"/>
          <w:sz w:val="32"/>
          <w:szCs w:val="32"/>
        </w:rPr>
      </w:pPr>
    </w:p>
    <w:p>
      <w:pPr>
        <w:tabs>
          <w:tab w:val="right" w:pos="8306"/>
        </w:tabs>
        <w:spacing w:line="600" w:lineRule="exact"/>
        <w:ind w:firstLine="640"/>
        <w:outlineLvl w:val="1"/>
        <w:rPr>
          <w:rStyle w:val="25"/>
        </w:rPr>
      </w:pPr>
      <w:bookmarkStart w:id="38" w:name="_Toc15396608"/>
      <w:bookmarkStart w:id="39"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38"/>
      <w:bookmarkEnd w:id="39"/>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8年一般公共预算财政拨款基本支出499.14万元，其中：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465.9万元，主要包括：基本工资128.41万元、津贴补贴45.34万元、奖金5.26万元、伙食补助费1.7万元、绩效工资55.66万元、机关事业单位基本养老保险缴费42.75万元、职业年金缴费1.41万元、其他社会保障缴费23.84万元、其他工资福利支出110.39万元、离休费0万元、退休费0万元、抚恤金0万元、生活补助4.38万元、医疗费0万元、奖励金0.18万元、住房公积金38.58万元、提租补贴0万元、购房补贴0万元、其他对个人和家庭的补助支出8万元等。</w:t>
      </w:r>
      <w:r>
        <w:rPr>
          <w:rFonts w:ascii="仿宋" w:hAnsi="仿宋" w:eastAsia="仿宋"/>
          <w:color w:val="000000"/>
          <w:sz w:val="32"/>
          <w:szCs w:val="32"/>
        </w:rPr>
        <w:br w:type="textWrapping"/>
      </w:r>
      <w:r>
        <w:rPr>
          <w:rFonts w:hint="eastAsia" w:ascii="仿宋" w:hAnsi="仿宋" w:eastAsia="仿宋"/>
          <w:color w:val="000000"/>
          <w:sz w:val="32"/>
          <w:szCs w:val="32"/>
        </w:rPr>
        <w:t>　　公用经费33.24万元，主要包括：办公费2.83万元、印刷费0.38万元、咨询费0万元、手续费0.06万元、水费0.57万元、电费0万元、邮电费0.73万元、取暖费0万元、物业管理费0.09万元、差旅费0.84万元、因公出国（境）费用0万元、维修（护）费0.18万元、租赁费0万元、会议费0万元、培训费2.49万元、公务接待费0.33万元、劳务费0.17万元、委托业务费0万元、工会经费12.58万元、福利费0万元、公务用车运行维护费0万元、其他交通费11.99万元、税金及附加费用0万元、其他商品和服务支出0万元、办公设备购置0万元、专用设备购置0万元、信息网络及软件购置更新0万元、其他资本性支出0万元等。</w:t>
      </w:r>
    </w:p>
    <w:p>
      <w:pPr>
        <w:spacing w:line="600" w:lineRule="exact"/>
        <w:ind w:firstLine="640"/>
        <w:outlineLvl w:val="1"/>
        <w:rPr>
          <w:rStyle w:val="25"/>
          <w:rFonts w:ascii="黑体" w:hAnsi="黑体" w:eastAsia="黑体"/>
          <w:b w:val="0"/>
        </w:rPr>
      </w:pPr>
      <w:bookmarkStart w:id="40" w:name="_Toc15396609"/>
      <w:bookmarkStart w:id="41"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0"/>
      <w:bookmarkEnd w:id="41"/>
    </w:p>
    <w:p>
      <w:pPr>
        <w:spacing w:line="600" w:lineRule="exact"/>
        <w:ind w:firstLine="640"/>
        <w:outlineLvl w:val="2"/>
        <w:rPr>
          <w:rFonts w:ascii="仿宋" w:hAnsi="仿宋" w:eastAsia="仿宋"/>
          <w:b/>
          <w:color w:val="000000"/>
          <w:sz w:val="32"/>
          <w:szCs w:val="32"/>
        </w:rPr>
      </w:pPr>
      <w:bookmarkStart w:id="42" w:name="_Toc15377216"/>
      <w:r>
        <w:rPr>
          <w:rFonts w:hint="eastAsia" w:ascii="仿宋" w:hAnsi="仿宋" w:eastAsia="仿宋"/>
          <w:b/>
          <w:color w:val="000000"/>
          <w:sz w:val="32"/>
          <w:szCs w:val="32"/>
        </w:rPr>
        <w:t>（一）“三公”经费财政拨款支出决算总体情况说明</w:t>
      </w:r>
      <w:bookmarkEnd w:id="42"/>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8年“三公”经费财政拨款支出决算为9.99万元，完成预算100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0"/>
        <w:rPr>
          <w:rFonts w:ascii="仿宋" w:hAnsi="仿宋" w:eastAsia="仿宋"/>
          <w:b/>
          <w:color w:val="000000"/>
          <w:sz w:val="32"/>
          <w:szCs w:val="32"/>
        </w:rPr>
      </w:pPr>
      <w:r>
        <w:rPr>
          <w:rFonts w:ascii="仿宋" w:hAnsi="仿宋" w:eastAsia="仿宋"/>
          <w:color w:val="000000"/>
          <w:sz w:val="32"/>
          <w:szCs w:val="32"/>
        </w:rPr>
        <w:drawing>
          <wp:anchor distT="0" distB="0" distL="114300" distR="114300" simplePos="0" relativeHeight="251671552" behindDoc="0" locked="0" layoutInCell="1" allowOverlap="1">
            <wp:simplePos x="0" y="0"/>
            <wp:positionH relativeFrom="column">
              <wp:posOffset>772160</wp:posOffset>
            </wp:positionH>
            <wp:positionV relativeFrom="paragraph">
              <wp:posOffset>2717165</wp:posOffset>
            </wp:positionV>
            <wp:extent cx="3632200" cy="2082800"/>
            <wp:effectExtent l="19050" t="0" r="25400" b="0"/>
            <wp:wrapTopAndBottom/>
            <wp:docPr id="5"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bookmarkStart w:id="43" w:name="_Toc15377217"/>
      <w:r>
        <w:rPr>
          <w:rFonts w:hint="eastAsia" w:ascii="仿宋" w:hAnsi="仿宋" w:eastAsia="仿宋"/>
          <w:b/>
          <w:color w:val="000000"/>
          <w:sz w:val="32"/>
          <w:szCs w:val="32"/>
        </w:rPr>
        <w:t>（二）“三公”经费财政拨款支出决算具体情况说明</w:t>
      </w:r>
      <w:bookmarkEnd w:id="43"/>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a8年“三公”经费财政拨款支出决算中，因公出国（境）费支出决算0万元，占0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；公务接待费支出决算9.99万元，占100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0万元，全年安排因公出国（境）团组0次，出国（境）0人。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月底，单位共有公务用车0辆，其中：轿车0辆、越野车0辆、载客汽车0辆。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9.99万元，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w:t>
      </w:r>
      <w:r>
        <w:rPr>
          <w:rFonts w:hint="eastAsia" w:ascii="仿宋" w:hAnsi="仿宋" w:eastAsia="仿宋"/>
          <w:color w:val="000000"/>
          <w:sz w:val="32"/>
          <w:szCs w:val="32"/>
        </w:rPr>
        <w:t>决算数与预算数持平</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主要用于执行公务、开展业务活动开支的交通费、住宿费、用餐费等。国内公务接待238批次，1836人次（不包括陪同人员），共计支出9.99万元，具体内容包括：各级各类媒体对外接待9.99万元。其中：</w:t>
      </w:r>
    </w:p>
    <w:p>
      <w:pPr>
        <w:spacing w:line="600" w:lineRule="exact"/>
        <w:ind w:firstLine="642"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9.99</w:t>
      </w:r>
      <w:r>
        <w:rPr>
          <w:rFonts w:hint="eastAsia" w:ascii="仿宋_GB2312" w:eastAsia="仿宋_GB2312"/>
          <w:color w:val="000000"/>
          <w:sz w:val="32"/>
          <w:szCs w:val="32"/>
        </w:rPr>
        <w:t>万元，主要用于各级各类媒体对外接待。</w:t>
      </w:r>
    </w:p>
    <w:p>
      <w:pPr>
        <w:spacing w:line="600" w:lineRule="exact"/>
        <w:ind w:firstLine="640"/>
        <w:outlineLvl w:val="1"/>
        <w:rPr>
          <w:rFonts w:ascii="黑体" w:eastAsia="黑体"/>
          <w:color w:val="000000"/>
          <w:sz w:val="32"/>
          <w:szCs w:val="32"/>
        </w:rPr>
      </w:pPr>
      <w:bookmarkStart w:id="44" w:name="_Toc15377218"/>
      <w:bookmarkStart w:id="45"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8年政府性基金预算拨款支出0万元。</w:t>
      </w:r>
    </w:p>
    <w:p>
      <w:pPr>
        <w:spacing w:line="600" w:lineRule="exact"/>
        <w:ind w:firstLine="640"/>
        <w:rPr>
          <w:rFonts w:ascii="仿宋_GB2312" w:eastAsia="仿宋_GB2312"/>
          <w:color w:val="000000"/>
          <w:sz w:val="32"/>
          <w:szCs w:val="32"/>
        </w:rPr>
      </w:pPr>
    </w:p>
    <w:p>
      <w:pPr>
        <w:numPr>
          <w:ilvl w:val="0"/>
          <w:numId w:val="3"/>
        </w:numPr>
        <w:spacing w:line="600" w:lineRule="exact"/>
        <w:ind w:firstLine="640"/>
        <w:outlineLvl w:val="1"/>
        <w:rPr>
          <w:rStyle w:val="25"/>
          <w:rFonts w:ascii="黑体" w:hAnsi="黑体" w:eastAsia="黑体"/>
          <w:b w:val="0"/>
        </w:rPr>
      </w:pPr>
      <w:bookmarkStart w:id="46" w:name="_Toc15396611"/>
      <w:bookmarkStart w:id="47" w:name="_Toc15377219"/>
      <w:r>
        <w:rPr>
          <w:rStyle w:val="25"/>
          <w:rFonts w:hint="eastAsia" w:ascii="黑体" w:hAnsi="黑体" w:eastAsia="黑体"/>
          <w:b w:val="0"/>
        </w:rPr>
        <w:t>国有资本经营预算支出决算情况说明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pStyle w:val="23"/>
        <w:numPr>
          <w:ilvl w:val="0"/>
          <w:numId w:val="4"/>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5"/>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我部项目开展了预算事前绩效评估，对4个项目编制了绩效目标，预算执行过程中，选取4个项目开展绩效监控，年终执行完毕后，对4个项目开展了绩效目标完成情况梳理填报。</w:t>
      </w:r>
    </w:p>
    <w:p>
      <w:pPr>
        <w:spacing w:line="58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全区宣传工作整体支出绩效评价自评结果良好，全年基本支出保障了部分的正常运行和日常工作的正常开展，项目支出保障了重点工作的开展，各项支出均达到了预期的绩效管理目标。</w:t>
      </w:r>
    </w:p>
    <w:p>
      <w:pPr>
        <w:spacing w:line="540" w:lineRule="exact"/>
        <w:ind w:firstLine="640" w:firstLineChars="200"/>
        <w:rPr>
          <w:rFonts w:ascii="华文仿宋" w:hAnsi="华文仿宋" w:eastAsia="华文仿宋"/>
          <w:color w:val="000000"/>
          <w:sz w:val="32"/>
          <w:szCs w:val="32"/>
        </w:rPr>
      </w:pPr>
      <w:r>
        <w:rPr>
          <w:rFonts w:hint="eastAsia" w:ascii="仿宋_GB2312" w:eastAsia="仿宋_GB2312"/>
          <w:color w:val="000000"/>
          <w:sz w:val="32"/>
          <w:szCs w:val="32"/>
        </w:rPr>
        <w:t>存在的问题：</w:t>
      </w:r>
      <w:r>
        <w:rPr>
          <w:rFonts w:hint="eastAsia" w:ascii="仿宋_GB2312" w:hAnsi="宋体" w:eastAsia="仿宋_GB2312" w:cs="仿宋_GB2312"/>
          <w:color w:val="000000"/>
          <w:sz w:val="32"/>
          <w:szCs w:val="32"/>
        </w:rPr>
        <w:t>一是绩效评价管理工作制度建设有待进一步加强，绩效管理缺乏系统性；二是</w:t>
      </w:r>
      <w:r>
        <w:rPr>
          <w:rFonts w:hint="eastAsia" w:ascii="华文仿宋" w:hAnsi="华文仿宋" w:eastAsia="华文仿宋"/>
          <w:color w:val="000000"/>
          <w:sz w:val="32"/>
          <w:szCs w:val="32"/>
        </w:rPr>
        <w:t>缺乏绩效评价专业人才，系统现有评价工作人员的知识体系和业务技能还需进一步提高，以适应绩效评价工作相关要求。</w:t>
      </w:r>
    </w:p>
    <w:p>
      <w:pPr>
        <w:spacing w:line="540" w:lineRule="exact"/>
        <w:ind w:firstLine="640" w:firstLineChars="200"/>
        <w:rPr>
          <w:rFonts w:ascii="华文仿宋" w:hAnsi="华文仿宋" w:eastAsia="华文仿宋"/>
          <w:color w:val="000000"/>
          <w:sz w:val="32"/>
          <w:szCs w:val="32"/>
        </w:rPr>
      </w:pPr>
      <w:r>
        <w:rPr>
          <w:rFonts w:hint="eastAsia" w:ascii="仿宋_GB2312" w:eastAsia="仿宋_GB2312"/>
          <w:color w:val="000000"/>
          <w:sz w:val="32"/>
          <w:szCs w:val="32"/>
        </w:rPr>
        <w:t>下一步改进措施：</w:t>
      </w:r>
      <w:r>
        <w:rPr>
          <w:rStyle w:val="14"/>
          <w:rFonts w:hint="eastAsia" w:ascii="仿宋_GB2312" w:hAnsi="宋体" w:eastAsia="仿宋_GB2312" w:cs="仿宋_GB2312"/>
          <w:color w:val="000000"/>
          <w:sz w:val="32"/>
          <w:szCs w:val="32"/>
        </w:rPr>
        <w:t>一是</w:t>
      </w:r>
      <w:r>
        <w:rPr>
          <w:rFonts w:hint="eastAsia" w:ascii="仿宋_GB2312" w:hAnsi="宋体" w:eastAsia="仿宋_GB2312" w:cs="仿宋_GB2312"/>
          <w:color w:val="000000"/>
          <w:sz w:val="32"/>
          <w:szCs w:val="32"/>
        </w:rPr>
        <w:t>进一步加强绩效评价管理制度建设；二是建立有效的绩效管理体系；</w:t>
      </w:r>
      <w:r>
        <w:rPr>
          <w:rStyle w:val="14"/>
          <w:rFonts w:hint="eastAsia" w:ascii="仿宋_GB2312" w:hAnsi="宋体" w:eastAsia="仿宋_GB2312" w:cs="仿宋_GB2312"/>
          <w:color w:val="000000"/>
          <w:sz w:val="32"/>
          <w:szCs w:val="32"/>
        </w:rPr>
        <w:t>三是</w:t>
      </w:r>
      <w:r>
        <w:rPr>
          <w:rFonts w:hint="eastAsia" w:ascii="仿宋_GB2312" w:hAnsi="宋体" w:eastAsia="仿宋_GB2312" w:cs="仿宋_GB2312"/>
          <w:color w:val="000000"/>
          <w:sz w:val="32"/>
          <w:szCs w:val="32"/>
        </w:rPr>
        <w:t>强化绩效管理数据分析，强化绩效管理数据运用；四是强化绩效评价专业技能的培训；</w:t>
      </w:r>
      <w:r>
        <w:rPr>
          <w:rFonts w:hint="eastAsia" w:ascii="华文仿宋" w:hAnsi="华文仿宋" w:eastAsia="华文仿宋"/>
          <w:color w:val="000000"/>
          <w:sz w:val="32"/>
          <w:szCs w:val="32"/>
        </w:rPr>
        <w:t>五是探索与预算编制相结合的财政绩效管理，奖绩效评价逐步从事后评价延伸至事前、事中评价。</w:t>
      </w:r>
    </w:p>
    <w:p>
      <w:pPr>
        <w:spacing w:line="580" w:lineRule="exact"/>
        <w:ind w:firstLine="640" w:firstLineChars="200"/>
        <w:rPr>
          <w:rFonts w:ascii="仿宋_GB2312" w:hAnsi="仿宋_GB2312" w:eastAsia="仿宋_GB2312" w:cs="仿宋_GB2312"/>
          <w:sz w:val="32"/>
          <w:szCs w:val="32"/>
        </w:rPr>
      </w:pPr>
    </w:p>
    <w:p>
      <w:pPr>
        <w:spacing w:line="580" w:lineRule="exact"/>
        <w:ind w:firstLine="321" w:firstLineChars="100"/>
        <w:rPr>
          <w:rFonts w:ascii="仿宋_GB2312" w:hAnsi="仿宋_GB2312" w:eastAsia="仿宋_GB2312" w:cs="仿宋_GB2312"/>
          <w:sz w:val="32"/>
          <w:szCs w:val="32"/>
        </w:rPr>
      </w:pPr>
      <w:r>
        <w:rPr>
          <w:rFonts w:hint="eastAsia" w:ascii="仿宋" w:hAnsi="仿宋" w:eastAsia="仿宋" w:cs="楷体_GB2312"/>
          <w:b/>
          <w:bCs/>
          <w:sz w:val="32"/>
          <w:szCs w:val="32"/>
        </w:rPr>
        <w:t>（二）项目绩效目标完成情况。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本部门在2018年度部门决算中反映“栖凤廊桥脱贫攻坚摘帽图片展”等4个项目绩效目标实际完成情况。</w:t>
      </w:r>
    </w:p>
    <w:p>
      <w:pPr>
        <w:spacing w:line="520" w:lineRule="exact"/>
        <w:ind w:left="-105" w:leftChars="-50" w:right="-105" w:rightChars="-50" w:firstLine="640" w:firstLineChars="200"/>
        <w:rPr>
          <w:rFonts w:ascii="方正仿宋简体" w:eastAsia="方正仿宋简体"/>
          <w:sz w:val="32"/>
          <w:szCs w:val="32"/>
        </w:rPr>
      </w:pPr>
      <w:r>
        <w:rPr>
          <w:rFonts w:hint="eastAsia" w:ascii="仿宋_GB2312" w:hAnsi="仿宋_GB2312" w:eastAsia="仿宋_GB2312" w:cs="仿宋_GB2312"/>
          <w:sz w:val="32"/>
          <w:szCs w:val="32"/>
        </w:rPr>
        <w:t>1.</w:t>
      </w:r>
      <w:r>
        <w:rPr>
          <w:rFonts w:ascii="方正仿宋简体" w:eastAsia="方正仿宋简体"/>
          <w:sz w:val="32"/>
          <w:szCs w:val="32"/>
        </w:rPr>
        <w:t>2018年栖凤廊桥脱贫摘帽成效图片展经费项目绩效目标完成情况综述</w:t>
      </w:r>
      <w:r>
        <w:rPr>
          <w:rFonts w:hint="eastAsia" w:ascii="方正仿宋简体" w:eastAsia="方正仿宋简体"/>
          <w:sz w:val="32"/>
          <w:szCs w:val="32"/>
        </w:rPr>
        <w:t>：</w:t>
      </w:r>
      <w:r>
        <w:rPr>
          <w:rFonts w:ascii="方正仿宋简体" w:eastAsia="方正仿宋简体"/>
          <w:sz w:val="32"/>
          <w:szCs w:val="32"/>
        </w:rPr>
        <w:t>项目全年预算数20万元，执行数为20万元，完成预算的100%。通过</w:t>
      </w:r>
      <w:r>
        <w:rPr>
          <w:rFonts w:hint="eastAsia" w:ascii="方正仿宋简体" w:eastAsia="方正仿宋简体"/>
          <w:sz w:val="32"/>
          <w:szCs w:val="32"/>
        </w:rPr>
        <w:t>该</w:t>
      </w:r>
      <w:r>
        <w:rPr>
          <w:rFonts w:ascii="方正仿宋简体" w:eastAsia="方正仿宋简体"/>
          <w:sz w:val="32"/>
          <w:szCs w:val="32"/>
        </w:rPr>
        <w:t>项目</w:t>
      </w:r>
      <w:r>
        <w:rPr>
          <w:rFonts w:hint="eastAsia" w:ascii="方正仿宋简体" w:eastAsia="方正仿宋简体"/>
          <w:sz w:val="32"/>
          <w:szCs w:val="32"/>
        </w:rPr>
        <w:t>的</w:t>
      </w:r>
      <w:r>
        <w:rPr>
          <w:rFonts w:ascii="方正仿宋简体" w:eastAsia="方正仿宋简体"/>
          <w:sz w:val="32"/>
          <w:szCs w:val="32"/>
        </w:rPr>
        <w:t>实施，</w:t>
      </w:r>
      <w:r>
        <w:rPr>
          <w:rFonts w:hint="eastAsia" w:ascii="方正仿宋简体" w:eastAsia="方正仿宋简体"/>
          <w:sz w:val="32"/>
          <w:szCs w:val="32"/>
        </w:rPr>
        <w:t>全景展示了我区3年来脱贫攻坚取得的丰硕成就，内容涵盖了基础设施大提升、稳定增收大提速、人居环境大改善、新村建设大升级、公共服务大转型、新风培育大转变、党建引领大发展等脱贫攻坚的方方面面。讲诉了社会各方力量在激情岁月“向贫困宣战”的鲜活故事和生动实践，全景记录了我区率先全面消除绝对贫困的光辉历程和不朽业绩，生动诠释了利州儿女在推动利州精彩嬗变中的英雄气概和磅礴力量，展示着全区55万人民的脱贫精神和战斗基因。</w:t>
      </w:r>
    </w:p>
    <w:p>
      <w:pPr>
        <w:spacing w:line="520" w:lineRule="exact"/>
        <w:ind w:left="-105" w:leftChars="-50" w:right="-105" w:rightChars="-50" w:firstLine="640" w:firstLineChars="200"/>
        <w:rPr>
          <w:rFonts w:ascii="仿宋" w:hAnsi="仿宋" w:eastAsia="仿宋"/>
          <w:sz w:val="32"/>
          <w:szCs w:val="32"/>
        </w:rPr>
      </w:pPr>
      <w:r>
        <w:rPr>
          <w:rFonts w:hint="eastAsia" w:ascii="仿宋_GB2312" w:hAnsi="仿宋_GB2312" w:eastAsia="仿宋_GB2312" w:cs="仿宋_GB2312"/>
          <w:sz w:val="32"/>
          <w:szCs w:val="32"/>
        </w:rPr>
        <w:t>2、</w:t>
      </w:r>
      <w:r>
        <w:rPr>
          <w:rFonts w:ascii="仿宋" w:hAnsi="仿宋" w:eastAsia="仿宋"/>
          <w:sz w:val="32"/>
          <w:szCs w:val="32"/>
        </w:rPr>
        <w:t>2018年中心组学习、专项宣讲、学习资料项目绩效目标完成情况综述。项目全年预算数20万元，执行数为20万元，完成预算的100%。通过项目实施，</w:t>
      </w:r>
      <w:r>
        <w:rPr>
          <w:rFonts w:hint="eastAsia" w:ascii="仿宋" w:hAnsi="仿宋" w:eastAsia="仿宋"/>
          <w:sz w:val="32"/>
          <w:szCs w:val="32"/>
        </w:rPr>
        <w:t>2018年区委理论学习中心组集中学习22次；区委中心组成员撰写理论文章、调研报告21篇，在《四川党的建设》《广元日报》等市以上党报党刊刊发7篇。深入开展学习贯彻习近平总书记来川视察重要讲话精神、省委十一届三次全会、市委七届七次全会、区委八届六次全会精神等专题宣讲1178场次，覆盖11.1万余人次。全面完成全年目标任务。存在的问题：区委中心组成员在高级别刊物发表高质量理论文章不多，宣讲骨干人员不足。下一步改革措施：加强理论人才的引进与培养；引导鼓励全区干部撰写高质量的调研报告和理论文章，力争在中央、省级等高级别党报党刊刊发。</w:t>
      </w:r>
    </w:p>
    <w:p>
      <w:pPr>
        <w:spacing w:line="520" w:lineRule="exact"/>
        <w:ind w:left="-105" w:leftChars="-50" w:right="-105" w:rightChars="-50" w:firstLine="640" w:firstLineChars="200"/>
        <w:rPr>
          <w:rFonts w:ascii="方正仿宋简体" w:eastAsia="方正仿宋简体"/>
          <w:sz w:val="32"/>
          <w:szCs w:val="32"/>
        </w:rPr>
      </w:pPr>
      <w:r>
        <w:rPr>
          <w:rFonts w:hint="eastAsia" w:ascii="仿宋" w:hAnsi="仿宋" w:eastAsia="仿宋"/>
          <w:sz w:val="32"/>
          <w:szCs w:val="32"/>
        </w:rPr>
        <w:t>3、</w:t>
      </w:r>
      <w:r>
        <w:rPr>
          <w:rFonts w:ascii="方正仿宋简体" w:eastAsia="方正仿宋简体"/>
          <w:sz w:val="32"/>
          <w:szCs w:val="32"/>
        </w:rPr>
        <w:t>2018年外宣工作专版经费项目绩效目标完成情况综述。项目全年预算数5万元，执行数为5万元，完成预算的100%。通过项目实施，有效</w:t>
      </w:r>
      <w:r>
        <w:rPr>
          <w:rFonts w:hint="eastAsia" w:ascii="方正仿宋简体" w:eastAsia="方正仿宋简体"/>
          <w:sz w:val="32"/>
          <w:szCs w:val="32"/>
        </w:rPr>
        <w:t>提升了利州知名度和美誉度，为全面建成综合实力一流的现代化市辖区营造了良好的舆论氛围。</w:t>
      </w:r>
    </w:p>
    <w:p>
      <w:pPr>
        <w:adjustRightInd w:val="0"/>
        <w:snapToGrid w:val="0"/>
        <w:spacing w:line="550" w:lineRule="exact"/>
        <w:ind w:firstLine="640" w:firstLineChars="200"/>
        <w:rPr>
          <w:rFonts w:ascii="仿宋" w:hAnsi="仿宋" w:eastAsia="仿宋" w:cs="仿宋"/>
          <w:color w:val="000000"/>
          <w:sz w:val="32"/>
          <w:szCs w:val="32"/>
        </w:rPr>
      </w:pPr>
      <w:r>
        <w:rPr>
          <w:rFonts w:hint="eastAsia" w:ascii="仿宋" w:hAnsi="仿宋" w:eastAsia="仿宋"/>
          <w:sz w:val="32"/>
          <w:szCs w:val="32"/>
        </w:rPr>
        <w:t>4、</w:t>
      </w:r>
      <w:r>
        <w:rPr>
          <w:rFonts w:hint="eastAsia" w:ascii="仿宋" w:hAnsi="仿宋" w:eastAsia="仿宋" w:cs="仿宋"/>
          <w:kern w:val="0"/>
          <w:sz w:val="32"/>
          <w:szCs w:val="32"/>
        </w:rPr>
        <w:t>2018年省运会氛围营造工作经费项目绩效目标完成情况综述。项目全年预算数15万元，执行数为15万元，完成预算的100%。通过项目实施，</w:t>
      </w:r>
      <w:r>
        <w:rPr>
          <w:rFonts w:hint="eastAsia" w:ascii="仿宋" w:hAnsi="仿宋" w:eastAsia="仿宋" w:cs="仿宋"/>
          <w:bCs/>
          <w:spacing w:val="6"/>
          <w:w w:val="95"/>
          <w:kern w:val="0"/>
          <w:sz w:val="32"/>
          <w:szCs w:val="32"/>
          <w:lang w:val="zh-CN"/>
        </w:rPr>
        <w:t>进一步学习宣传贯彻了省委十一届三次全会和市委七届七次全会精神，</w:t>
      </w:r>
      <w:r>
        <w:rPr>
          <w:rFonts w:hint="eastAsia" w:ascii="仿宋" w:hAnsi="仿宋" w:eastAsia="仿宋" w:cs="仿宋"/>
          <w:sz w:val="32"/>
          <w:szCs w:val="32"/>
        </w:rPr>
        <w:t>突出了喜庆、</w:t>
      </w:r>
      <w:r>
        <w:rPr>
          <w:rFonts w:hint="eastAsia" w:ascii="仿宋" w:hAnsi="仿宋" w:eastAsia="仿宋" w:cs="仿宋"/>
          <w:color w:val="000000"/>
          <w:spacing w:val="-6"/>
          <w:sz w:val="32"/>
          <w:szCs w:val="32"/>
        </w:rPr>
        <w:t>大气、精美、特色、文明等元素，</w:t>
      </w:r>
      <w:r>
        <w:rPr>
          <w:rFonts w:hint="eastAsia" w:ascii="仿宋" w:hAnsi="仿宋" w:eastAsia="仿宋" w:cs="仿宋"/>
          <w:sz w:val="32"/>
          <w:szCs w:val="32"/>
        </w:rPr>
        <w:t>营造了全民参与省运、全民服务省运的浓厚氛围，展示了良好的主办城市形象。</w:t>
      </w:r>
      <w:r>
        <w:rPr>
          <w:rFonts w:hint="eastAsia" w:ascii="仿宋" w:hAnsi="仿宋" w:eastAsia="仿宋" w:cs="仿宋"/>
          <w:kern w:val="0"/>
          <w:sz w:val="32"/>
          <w:szCs w:val="32"/>
        </w:rPr>
        <w:t>发现的主要问题：资金拨付不及时。下一步改进措施：按时拨付资金。</w:t>
      </w:r>
    </w:p>
    <w:p>
      <w:pPr>
        <w:spacing w:line="580" w:lineRule="exact"/>
        <w:ind w:firstLine="640" w:firstLineChars="200"/>
        <w:rPr>
          <w:rFonts w:ascii="仿宋" w:hAnsi="仿宋" w:eastAsia="仿宋" w:cs="仿宋"/>
          <w:sz w:val="32"/>
          <w:szCs w:val="32"/>
        </w:rPr>
      </w:pP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23"/>
        <w:gridCol w:w="2463"/>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sz w:val="13"/>
                <w:szCs w:val="13"/>
              </w:rPr>
              <w:t>省运会氛围营造工作经费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sz w:val="13"/>
                <w:szCs w:val="13"/>
              </w:rPr>
              <w:t>中国共产党广元市利州区委员会宣传部</w:t>
            </w:r>
          </w:p>
        </w:tc>
      </w:tr>
      <w:tr>
        <w:tblPrEx>
          <w:tblCellMar>
            <w:top w:w="0" w:type="dxa"/>
            <w:left w:w="0" w:type="dxa"/>
            <w:bottom w:w="0" w:type="dxa"/>
            <w:right w:w="0" w:type="dxa"/>
          </w:tblCellMar>
        </w:tblPrEx>
        <w:trPr>
          <w:trHeight w:val="234"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sz w:val="13"/>
                <w:szCs w:val="13"/>
              </w:rPr>
              <w:t>15</w:t>
            </w:r>
          </w:p>
        </w:tc>
        <w:tc>
          <w:tcPr>
            <w:tcW w:w="23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rPr>
              <w:t>执行数:</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sz w:val="13"/>
                <w:szCs w:val="13"/>
              </w:rPr>
              <w:t>15</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13"/>
                <w:szCs w:val="13"/>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sz w:val="13"/>
                <w:szCs w:val="13"/>
              </w:rPr>
              <w:t>15</w:t>
            </w:r>
          </w:p>
        </w:tc>
        <w:tc>
          <w:tcPr>
            <w:tcW w:w="23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rPr>
              <w:t>其中-财政拨款:</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sz w:val="13"/>
                <w:szCs w:val="13"/>
              </w:rPr>
              <w:t>15</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13"/>
                <w:szCs w:val="13"/>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rPr>
              <w:t>0</w:t>
            </w:r>
          </w:p>
        </w:tc>
        <w:tc>
          <w:tcPr>
            <w:tcW w:w="23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rPr>
              <w:t>其它资金:</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仿宋"/>
                <w:color w:val="000000"/>
                <w:sz w:val="13"/>
                <w:szCs w:val="13"/>
              </w:rPr>
            </w:pPr>
            <w:r>
              <w:rPr>
                <w:rFonts w:hint="eastAsia" w:ascii="仿宋" w:hAnsi="仿宋" w:eastAsia="仿宋" w:cs="仿宋"/>
                <w:color w:val="000000"/>
                <w:sz w:val="13"/>
                <w:szCs w:val="13"/>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13"/>
                <w:szCs w:val="13"/>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ind w:firstLine="260" w:firstLineChars="200"/>
              <w:rPr>
                <w:rFonts w:ascii="仿宋" w:hAnsi="仿宋" w:eastAsia="仿宋" w:cs="仿宋"/>
                <w:color w:val="000000" w:themeColor="text1"/>
                <w:sz w:val="13"/>
                <w:szCs w:val="13"/>
              </w:rPr>
            </w:pPr>
            <w:r>
              <w:rPr>
                <w:rFonts w:hint="eastAsia" w:ascii="仿宋" w:hAnsi="仿宋" w:eastAsia="仿宋" w:cs="仿宋"/>
                <w:color w:val="000000" w:themeColor="text1"/>
                <w:sz w:val="13"/>
                <w:szCs w:val="13"/>
              </w:rPr>
              <w:t>通过项目的实施进一步学习宣传贯彻了省委十一届三次全会和市委七届七次全会精神，突出了喜庆、大气、精美、特色、文明等元素，营造了全民参与省运、全民服务省运的浓厚氛围，展示了良好的主办城市形象。</w:t>
            </w:r>
          </w:p>
          <w:p>
            <w:pPr>
              <w:widowControl/>
              <w:tabs>
                <w:tab w:val="left" w:pos="425"/>
              </w:tabs>
              <w:jc w:val="left"/>
              <w:textAlignment w:val="center"/>
              <w:rPr>
                <w:rFonts w:ascii="仿宋" w:hAnsi="仿宋" w:eastAsia="仿宋" w:cs="仿宋"/>
                <w:color w:val="000000"/>
                <w:sz w:val="13"/>
                <w:szCs w:val="13"/>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themeColor="text1"/>
                <w:sz w:val="13"/>
                <w:szCs w:val="13"/>
              </w:rPr>
              <w:t>进一步学习宣传贯彻了省委十一届三次全会和市委七届七次全会精神，突出了喜庆、大气、精美、特色、文明等元素，营造了全民参与省运、全民服务省运的浓厚氛围，展示了良好的主办城市形象</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sz w:val="13"/>
                <w:szCs w:val="13"/>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rPr>
              <w:t>三级指标</w:t>
            </w:r>
          </w:p>
        </w:tc>
        <w:tc>
          <w:tcPr>
            <w:tcW w:w="23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rPr>
              <w:t>预期指标值(包含数字及文字描述)</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13"/>
                <w:szCs w:val="13"/>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sz w:val="13"/>
                <w:szCs w:val="13"/>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sz w:val="13"/>
                <w:szCs w:val="13"/>
              </w:rPr>
              <w:t>利州区辖区内省运会及残运会氛围营造</w:t>
            </w:r>
          </w:p>
        </w:tc>
        <w:tc>
          <w:tcPr>
            <w:tcW w:w="23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20" w:lineRule="exact"/>
              <w:ind w:left="-105" w:leftChars="-50" w:right="-105" w:rightChars="-50" w:firstLine="260" w:firstLineChars="200"/>
              <w:jc w:val="center"/>
              <w:rPr>
                <w:rFonts w:ascii="仿宋" w:hAnsi="仿宋" w:eastAsia="仿宋" w:cs="仿宋"/>
                <w:sz w:val="13"/>
                <w:szCs w:val="13"/>
              </w:rPr>
            </w:pPr>
            <w:r>
              <w:rPr>
                <w:rFonts w:hint="eastAsia" w:ascii="仿宋" w:hAnsi="仿宋" w:eastAsia="仿宋" w:cs="仿宋"/>
                <w:color w:val="000000"/>
                <w:sz w:val="13"/>
                <w:szCs w:val="13"/>
              </w:rPr>
              <w:t>100%</w:t>
            </w:r>
          </w:p>
          <w:p>
            <w:pPr>
              <w:widowControl/>
              <w:jc w:val="center"/>
              <w:textAlignment w:val="center"/>
              <w:rPr>
                <w:rFonts w:ascii="仿宋" w:hAnsi="仿宋" w:eastAsia="仿宋" w:cs="仿宋"/>
                <w:color w:val="000000"/>
                <w:sz w:val="13"/>
                <w:szCs w:val="13"/>
              </w:rPr>
            </w:pP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themeColor="text1"/>
                <w:sz w:val="13"/>
                <w:szCs w:val="13"/>
              </w:rPr>
              <w:t>在龙潭万龙路、东坝高速入口、081路口等进出口户外宣传牌、墙体宣传平台设置大型宣传标语23幅，在陵江高速出口、劳动大厦、图腾广场滚动刊播宣传标语3幅1万余次，在区管体育场馆、比赛场地设置宣传画35幅，在东干道821中学门口、市委党校、金海湾、市政府路口等自行车站点设置宣传画6处。各地各部门在办公驻地、学校、医院、社区宣传栏、宣传展板设置宣传画200余幅，在工地建筑围挡设置宣传画320余幅，运用110余块LED屏滚动刊播宣传标语20条38万余次。近期，又按照全市统一安排，对电子显示屏刊播省运会标语再次加密频次，同时在物管小区和开放式小区张贴带有省运会官方微信二维码的宣传海报1800余幅，并安排学校、医院、酒店、宾馆、银行、临街商户等沿街LED屏在8月份集中滚动刊播省运会宣传标语，达到每分钟滚动3次的频次</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13"/>
                <w:szCs w:val="13"/>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sz w:val="13"/>
                <w:szCs w:val="13"/>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13"/>
                <w:szCs w:val="13"/>
              </w:rPr>
            </w:pPr>
            <w:r>
              <w:rPr>
                <w:rFonts w:hint="eastAsia" w:ascii="仿宋" w:hAnsi="仿宋" w:eastAsia="仿宋" w:cs="仿宋"/>
                <w:color w:val="000000"/>
                <w:sz w:val="13"/>
                <w:szCs w:val="13"/>
              </w:rPr>
              <w:t>2018年8月3日至2018年8月5日</w:t>
            </w:r>
          </w:p>
        </w:tc>
        <w:tc>
          <w:tcPr>
            <w:tcW w:w="23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20" w:lineRule="exact"/>
              <w:ind w:left="-105" w:leftChars="-50" w:right="-105" w:rightChars="-50" w:firstLine="260" w:firstLineChars="200"/>
              <w:jc w:val="center"/>
              <w:rPr>
                <w:rFonts w:ascii="仿宋" w:hAnsi="仿宋" w:eastAsia="仿宋" w:cs="仿宋"/>
                <w:sz w:val="13"/>
                <w:szCs w:val="13"/>
              </w:rPr>
            </w:pPr>
            <w:r>
              <w:rPr>
                <w:rFonts w:hint="eastAsia" w:ascii="仿宋" w:hAnsi="仿宋" w:eastAsia="仿宋" w:cs="仿宋"/>
                <w:color w:val="000000"/>
                <w:sz w:val="13"/>
                <w:szCs w:val="13"/>
              </w:rPr>
              <w:t>100%</w:t>
            </w:r>
          </w:p>
          <w:p>
            <w:pPr>
              <w:widowControl/>
              <w:jc w:val="center"/>
              <w:textAlignment w:val="center"/>
              <w:rPr>
                <w:rFonts w:ascii="仿宋" w:hAnsi="仿宋" w:eastAsia="仿宋" w:cs="仿宋"/>
                <w:color w:val="000000"/>
                <w:sz w:val="13"/>
                <w:szCs w:val="13"/>
              </w:rPr>
            </w:pP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20" w:lineRule="exact"/>
              <w:ind w:left="-105" w:leftChars="-50" w:right="-105" w:rightChars="-50" w:firstLine="260" w:firstLineChars="200"/>
              <w:jc w:val="center"/>
              <w:rPr>
                <w:rFonts w:ascii="仿宋" w:hAnsi="仿宋" w:eastAsia="仿宋" w:cs="仿宋"/>
                <w:sz w:val="13"/>
                <w:szCs w:val="13"/>
              </w:rPr>
            </w:pPr>
            <w:r>
              <w:rPr>
                <w:rFonts w:hint="eastAsia" w:ascii="仿宋" w:hAnsi="仿宋" w:eastAsia="仿宋" w:cs="仿宋"/>
                <w:color w:val="000000"/>
                <w:sz w:val="13"/>
                <w:szCs w:val="13"/>
              </w:rPr>
              <w:t>100%</w:t>
            </w:r>
          </w:p>
          <w:p>
            <w:pPr>
              <w:widowControl/>
              <w:jc w:val="center"/>
              <w:textAlignment w:val="center"/>
              <w:rPr>
                <w:rFonts w:ascii="仿宋" w:hAnsi="仿宋" w:eastAsia="仿宋" w:cs="仿宋"/>
                <w:color w:val="000000"/>
                <w:sz w:val="13"/>
                <w:szCs w:val="13"/>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13"/>
                <w:szCs w:val="13"/>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sz w:val="13"/>
                <w:szCs w:val="13"/>
              </w:rPr>
              <w:t>社会效益</w:t>
            </w:r>
          </w:p>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sz w:val="13"/>
                <w:szCs w:val="13"/>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仿宋"/>
                <w:color w:val="000000"/>
                <w:sz w:val="13"/>
                <w:szCs w:val="13"/>
              </w:rPr>
            </w:pPr>
            <w:r>
              <w:rPr>
                <w:rFonts w:hint="eastAsia" w:ascii="仿宋" w:hAnsi="仿宋" w:eastAsia="仿宋" w:cs="仿宋"/>
                <w:color w:val="000000"/>
                <w:sz w:val="13"/>
                <w:szCs w:val="13"/>
              </w:rPr>
              <w:t>确保省运会及残运会氛围效果</w:t>
            </w:r>
          </w:p>
        </w:tc>
        <w:tc>
          <w:tcPr>
            <w:tcW w:w="23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20" w:lineRule="exact"/>
              <w:ind w:left="-105" w:leftChars="-50" w:right="-105" w:rightChars="-50" w:firstLine="260" w:firstLineChars="200"/>
              <w:jc w:val="center"/>
              <w:rPr>
                <w:rFonts w:ascii="仿宋" w:hAnsi="仿宋" w:eastAsia="仿宋" w:cs="仿宋"/>
                <w:sz w:val="13"/>
                <w:szCs w:val="13"/>
              </w:rPr>
            </w:pPr>
            <w:r>
              <w:rPr>
                <w:rFonts w:hint="eastAsia" w:ascii="仿宋" w:hAnsi="仿宋" w:eastAsia="仿宋" w:cs="仿宋"/>
                <w:color w:val="000000"/>
                <w:sz w:val="13"/>
                <w:szCs w:val="13"/>
              </w:rPr>
              <w:t>100%</w:t>
            </w:r>
          </w:p>
          <w:p>
            <w:pPr>
              <w:widowControl/>
              <w:jc w:val="center"/>
              <w:textAlignment w:val="center"/>
              <w:rPr>
                <w:rFonts w:ascii="仿宋" w:hAnsi="仿宋" w:eastAsia="仿宋" w:cs="仿宋"/>
                <w:color w:val="000000"/>
                <w:sz w:val="13"/>
                <w:szCs w:val="13"/>
              </w:rPr>
            </w:pP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20" w:lineRule="exact"/>
              <w:ind w:left="-105" w:leftChars="-50" w:right="-105" w:rightChars="-50" w:firstLine="260" w:firstLineChars="200"/>
              <w:jc w:val="center"/>
              <w:rPr>
                <w:rFonts w:ascii="仿宋" w:hAnsi="仿宋" w:eastAsia="仿宋" w:cs="仿宋"/>
                <w:sz w:val="13"/>
                <w:szCs w:val="13"/>
              </w:rPr>
            </w:pPr>
            <w:r>
              <w:rPr>
                <w:rFonts w:hint="eastAsia" w:ascii="仿宋" w:hAnsi="仿宋" w:eastAsia="仿宋" w:cs="仿宋"/>
                <w:color w:val="000000"/>
                <w:sz w:val="13"/>
                <w:szCs w:val="13"/>
              </w:rPr>
              <w:t>100%</w:t>
            </w:r>
          </w:p>
          <w:p>
            <w:pPr>
              <w:widowControl/>
              <w:jc w:val="center"/>
              <w:textAlignment w:val="center"/>
              <w:rPr>
                <w:rFonts w:ascii="仿宋" w:hAnsi="仿宋" w:eastAsia="仿宋" w:cs="仿宋"/>
                <w:color w:val="000000"/>
                <w:sz w:val="13"/>
                <w:szCs w:val="13"/>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13"/>
                <w:szCs w:val="13"/>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sz w:val="13"/>
                <w:szCs w:val="13"/>
              </w:rPr>
              <w:t>社会群众满意度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sz w:val="13"/>
                <w:szCs w:val="13"/>
              </w:rPr>
              <w:t>群众知晓率</w:t>
            </w:r>
          </w:p>
        </w:tc>
        <w:tc>
          <w:tcPr>
            <w:tcW w:w="23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sz w:val="13"/>
                <w:szCs w:val="13"/>
              </w:rPr>
              <w:t>80%以上</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3"/>
                <w:szCs w:val="13"/>
              </w:rPr>
            </w:pPr>
            <w:r>
              <w:rPr>
                <w:rFonts w:hint="eastAsia" w:ascii="仿宋" w:hAnsi="仿宋" w:eastAsia="仿宋" w:cs="仿宋"/>
                <w:color w:val="000000"/>
                <w:sz w:val="13"/>
                <w:szCs w:val="13"/>
              </w:rPr>
              <w:t>高于80%</w:t>
            </w:r>
          </w:p>
        </w:tc>
      </w:tr>
    </w:tbl>
    <w:p>
      <w:pPr>
        <w:rPr>
          <w:rFonts w:ascii="仿宋" w:hAnsi="仿宋" w:eastAsia="仿宋" w:cs="仿宋"/>
          <w:sz w:val="24"/>
        </w:rPr>
      </w:pPr>
    </w:p>
    <w:p>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23"/>
        <w:gridCol w:w="2463"/>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sz w:val="15"/>
                <w:szCs w:val="15"/>
              </w:rPr>
              <w:t>栖凤廊桥脱贫摘帽成效图片展经费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中国共产党广元市利州区委员会宣传部</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20</w:t>
            </w:r>
          </w:p>
        </w:tc>
        <w:tc>
          <w:tcPr>
            <w:tcW w:w="23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执行数:</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20</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15"/>
                <w:szCs w:val="15"/>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20</w:t>
            </w:r>
          </w:p>
        </w:tc>
        <w:tc>
          <w:tcPr>
            <w:tcW w:w="23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其中-财政拨款:</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20</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15"/>
                <w:szCs w:val="15"/>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0</w:t>
            </w:r>
          </w:p>
        </w:tc>
        <w:tc>
          <w:tcPr>
            <w:tcW w:w="23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其它资金:</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仿宋"/>
                <w:color w:val="000000"/>
                <w:sz w:val="15"/>
                <w:szCs w:val="15"/>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15"/>
                <w:szCs w:val="15"/>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20" w:lineRule="exact"/>
              <w:ind w:right="-105" w:rightChars="-50"/>
              <w:jc w:val="left"/>
              <w:rPr>
                <w:rFonts w:ascii="仿宋" w:hAnsi="仿宋" w:eastAsia="仿宋" w:cs="仿宋"/>
                <w:sz w:val="15"/>
                <w:szCs w:val="15"/>
              </w:rPr>
            </w:pPr>
            <w:r>
              <w:rPr>
                <w:rFonts w:hint="eastAsia" w:ascii="仿宋" w:hAnsi="仿宋" w:eastAsia="仿宋" w:cs="仿宋"/>
                <w:sz w:val="15"/>
                <w:szCs w:val="15"/>
              </w:rPr>
              <w:t>全景展示了我区3年来脱贫攻坚取得的丰硕成就，内容涵盖了基础设施大提升、稳定增收大提速、人居环境大改善、新村建设大升级、公共服务大转型、新风培育大转变、党建引领大发展等脱贫攻坚的方方面面。讲诉了社会各方力量在激情岁月“向贫困宣战”的鲜活故事和生动实践，全景记录了我区率先全面消除绝对贫困的光辉历程和不朽业绩，生动诠释了利州儿女在推动利州精彩嬗变中的英雄气概和磅礴力量，展示着全区55万人民的脱贫精神和战斗基因。</w:t>
            </w:r>
          </w:p>
          <w:p>
            <w:pPr>
              <w:widowControl/>
              <w:tabs>
                <w:tab w:val="left" w:pos="425"/>
              </w:tabs>
              <w:jc w:val="left"/>
              <w:textAlignment w:val="center"/>
              <w:rPr>
                <w:rFonts w:ascii="仿宋" w:hAnsi="仿宋" w:eastAsia="仿宋" w:cs="仿宋"/>
                <w:color w:val="000000"/>
                <w:sz w:val="15"/>
                <w:szCs w:val="15"/>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20" w:lineRule="exact"/>
              <w:ind w:left="-105" w:leftChars="-50" w:right="-105" w:rightChars="-50" w:firstLine="300" w:firstLineChars="200"/>
              <w:rPr>
                <w:rFonts w:ascii="仿宋" w:hAnsi="仿宋" w:eastAsia="仿宋" w:cs="仿宋"/>
                <w:sz w:val="15"/>
                <w:szCs w:val="15"/>
              </w:rPr>
            </w:pPr>
            <w:r>
              <w:rPr>
                <w:rFonts w:hint="eastAsia" w:ascii="仿宋" w:hAnsi="仿宋" w:eastAsia="仿宋" w:cs="仿宋"/>
                <w:sz w:val="15"/>
                <w:szCs w:val="15"/>
              </w:rPr>
              <w:t>通过该项目的实施，全景展示了我区3年来脱贫攻坚取得的丰硕成就，内容涵盖了基础设施大提升、稳定增收大提速、人居环境大改善、新村建设大升级、公共服务大转型、新风培育大转变、党建引领大发展等脱贫攻坚的方方面面。讲诉了社会各方力量在激情岁月“向贫困宣战”的鲜活故事和生动实践，全景记录了我区率先全面消除绝对贫困的光辉历程和不朽业绩，生动诠释了利州儿女在推动利州精彩嬗变中的英雄气概和磅礴力量，展示着全区55万人民的脱贫精神和战斗基因。</w:t>
            </w:r>
          </w:p>
          <w:p>
            <w:pPr>
              <w:widowControl/>
              <w:jc w:val="center"/>
              <w:textAlignment w:val="center"/>
              <w:rPr>
                <w:rFonts w:ascii="仿宋" w:hAnsi="仿宋" w:eastAsia="仿宋" w:cs="仿宋"/>
                <w:color w:val="000000"/>
                <w:sz w:val="15"/>
                <w:szCs w:val="15"/>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三级指标</w:t>
            </w:r>
          </w:p>
        </w:tc>
        <w:tc>
          <w:tcPr>
            <w:tcW w:w="23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预期指标值(包含数字及文字描述)</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15"/>
                <w:szCs w:val="15"/>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常规照片100张，大场景照片11张，航拍照片12张，版面设计224张</w:t>
            </w:r>
          </w:p>
        </w:tc>
        <w:tc>
          <w:tcPr>
            <w:tcW w:w="23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常规照片100张，大场景照片11张，航拍照片12张，版面设计224张</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sz w:val="15"/>
                <w:szCs w:val="15"/>
              </w:rPr>
              <w:t>整个展览分为“殷殷关怀铸深情”、“ 谋篇布局明路径”、“ 弦歌不辍奏华章”、“ 创新实践扶贫路”、“ 新时代新气象新作为”等5大篇章共224块展板229张图片，全景展示了我区3年来脱贫攻坚取得的丰硕成就，内容涵盖了基础设施大提升、稳定增收大提速、人居环境大改善、新村建设大升级、公共服务大转型、新风培育大转变、党建引领大发展等脱贫攻坚的方方面面。</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15"/>
                <w:szCs w:val="15"/>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15"/>
                <w:szCs w:val="15"/>
              </w:rPr>
            </w:pPr>
            <w:r>
              <w:rPr>
                <w:rFonts w:hint="eastAsia" w:ascii="仿宋" w:hAnsi="仿宋" w:eastAsia="仿宋" w:cs="仿宋"/>
                <w:color w:val="000000"/>
                <w:sz w:val="15"/>
                <w:szCs w:val="15"/>
              </w:rPr>
              <w:t>项目按期完成率</w:t>
            </w:r>
          </w:p>
        </w:tc>
        <w:tc>
          <w:tcPr>
            <w:tcW w:w="23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20" w:lineRule="exact"/>
              <w:ind w:left="-105" w:leftChars="-50" w:right="-105" w:rightChars="-50" w:firstLine="300" w:firstLineChars="200"/>
              <w:jc w:val="center"/>
              <w:rPr>
                <w:rFonts w:ascii="仿宋" w:hAnsi="仿宋" w:eastAsia="仿宋" w:cs="仿宋"/>
                <w:sz w:val="15"/>
                <w:szCs w:val="15"/>
              </w:rPr>
            </w:pPr>
            <w:r>
              <w:rPr>
                <w:rFonts w:hint="eastAsia" w:ascii="仿宋" w:hAnsi="仿宋" w:eastAsia="仿宋" w:cs="仿宋"/>
                <w:color w:val="000000"/>
                <w:sz w:val="15"/>
                <w:szCs w:val="15"/>
              </w:rPr>
              <w:t>100%</w:t>
            </w:r>
          </w:p>
          <w:p>
            <w:pPr>
              <w:widowControl/>
              <w:jc w:val="center"/>
              <w:textAlignment w:val="center"/>
              <w:rPr>
                <w:rFonts w:ascii="仿宋" w:hAnsi="仿宋" w:eastAsia="仿宋" w:cs="仿宋"/>
                <w:color w:val="000000"/>
                <w:sz w:val="15"/>
                <w:szCs w:val="15"/>
              </w:rPr>
            </w:pP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2018年2月5日前完成图片收集拍摄工作，2018年2月10日前完成图片展制作工作</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15"/>
                <w:szCs w:val="15"/>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社会效益</w:t>
            </w:r>
          </w:p>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20" w:lineRule="exact"/>
              <w:ind w:left="-105" w:leftChars="-50" w:right="-105" w:rightChars="-50" w:firstLine="300" w:firstLineChars="200"/>
              <w:jc w:val="left"/>
              <w:rPr>
                <w:rFonts w:ascii="仿宋" w:hAnsi="仿宋" w:eastAsia="仿宋" w:cs="仿宋"/>
                <w:sz w:val="15"/>
                <w:szCs w:val="15"/>
              </w:rPr>
            </w:pPr>
            <w:r>
              <w:rPr>
                <w:rFonts w:hint="eastAsia" w:ascii="仿宋" w:hAnsi="仿宋" w:eastAsia="仿宋" w:cs="仿宋"/>
                <w:sz w:val="15"/>
                <w:szCs w:val="15"/>
              </w:rPr>
              <w:t>社会满意度</w:t>
            </w:r>
          </w:p>
          <w:p>
            <w:pPr>
              <w:pStyle w:val="3"/>
              <w:jc w:val="left"/>
              <w:rPr>
                <w:rStyle w:val="24"/>
                <w:rFonts w:ascii="仿宋" w:hAnsi="仿宋" w:eastAsia="仿宋" w:cs="仿宋"/>
                <w:b w:val="0"/>
                <w:bCs w:val="0"/>
                <w:sz w:val="15"/>
                <w:szCs w:val="15"/>
              </w:rPr>
            </w:pPr>
          </w:p>
          <w:p>
            <w:pPr>
              <w:widowControl/>
              <w:textAlignment w:val="center"/>
              <w:rPr>
                <w:rFonts w:ascii="仿宋" w:hAnsi="仿宋" w:eastAsia="仿宋" w:cs="仿宋"/>
                <w:color w:val="000000"/>
                <w:sz w:val="15"/>
                <w:szCs w:val="15"/>
              </w:rPr>
            </w:pPr>
            <w:r>
              <w:rPr>
                <w:rFonts w:hint="eastAsia" w:ascii="仿宋" w:hAnsi="仿宋" w:eastAsia="仿宋" w:cs="仿宋"/>
                <w:sz w:val="15"/>
                <w:szCs w:val="15"/>
              </w:rPr>
              <w:t>。</w:t>
            </w:r>
          </w:p>
        </w:tc>
        <w:tc>
          <w:tcPr>
            <w:tcW w:w="23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90%以上</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20" w:lineRule="exact"/>
              <w:ind w:left="-105" w:leftChars="-50" w:right="-105" w:rightChars="-50" w:firstLine="300" w:firstLineChars="200"/>
              <w:rPr>
                <w:rFonts w:ascii="仿宋" w:hAnsi="仿宋" w:eastAsia="仿宋" w:cs="仿宋"/>
                <w:sz w:val="15"/>
                <w:szCs w:val="15"/>
              </w:rPr>
            </w:pPr>
            <w:r>
              <w:rPr>
                <w:rFonts w:hint="eastAsia" w:ascii="仿宋" w:hAnsi="仿宋" w:eastAsia="仿宋" w:cs="仿宋"/>
                <w:sz w:val="15"/>
                <w:szCs w:val="15"/>
              </w:rPr>
              <w:t>展示了利州区立足区情实际和群众需求创新探索，多项创新实践得到省委主要领导肯定批示和中央、省市主流媒体高度关注和广泛宣传报道。</w:t>
            </w:r>
          </w:p>
          <w:p>
            <w:pPr>
              <w:widowControl/>
              <w:jc w:val="center"/>
              <w:textAlignment w:val="center"/>
              <w:rPr>
                <w:rFonts w:ascii="仿宋" w:hAnsi="仿宋" w:eastAsia="仿宋" w:cs="仿宋"/>
                <w:color w:val="000000"/>
                <w:sz w:val="15"/>
                <w:szCs w:val="15"/>
              </w:rPr>
            </w:pPr>
          </w:p>
        </w:tc>
      </w:tr>
    </w:tbl>
    <w:p>
      <w:pPr>
        <w:rPr>
          <w:rFonts w:ascii="仿宋" w:hAnsi="仿宋" w:eastAsia="仿宋" w:cs="仿宋"/>
          <w:sz w:val="15"/>
          <w:szCs w:val="15"/>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23"/>
        <w:gridCol w:w="2463"/>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3936" w:leftChars="1310" w:hanging="1185" w:hangingChars="395"/>
              <w:textAlignment w:val="center"/>
              <w:rPr>
                <w:rFonts w:ascii="仿宋" w:hAnsi="仿宋" w:eastAsia="仿宋" w:cs="仿宋"/>
                <w:color w:val="000000"/>
                <w:sz w:val="15"/>
                <w:szCs w:val="15"/>
              </w:rPr>
            </w:pPr>
            <w:r>
              <w:rPr>
                <w:rFonts w:hint="eastAsia" w:ascii="仿宋" w:hAnsi="仿宋" w:eastAsia="仿宋" w:cs="仿宋"/>
                <w:bCs/>
                <w:color w:val="000000"/>
                <w:kern w:val="0"/>
                <w:sz w:val="30"/>
                <w:szCs w:val="30"/>
              </w:rPr>
              <w:t>项目支出绩效目标完成情况表</w:t>
            </w:r>
            <w:r>
              <w:rPr>
                <w:rFonts w:hint="eastAsia" w:ascii="仿宋" w:hAnsi="仿宋" w:eastAsia="仿宋" w:cs="仿宋"/>
                <w:b/>
                <w:bCs/>
                <w:color w:val="000000"/>
                <w:kern w:val="0"/>
                <w:sz w:val="30"/>
                <w:szCs w:val="30"/>
              </w:rPr>
              <w:br w:type="textWrapping"/>
            </w:r>
            <w:r>
              <w:rPr>
                <w:rFonts w:hint="eastAsia" w:ascii="仿宋" w:hAnsi="仿宋" w:eastAsia="仿宋" w:cs="仿宋"/>
                <w:color w:val="000000"/>
                <w:kern w:val="0"/>
                <w:sz w:val="30"/>
                <w:szCs w:val="30"/>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sz w:val="15"/>
                <w:szCs w:val="15"/>
              </w:rPr>
              <w:t>外宣工作专版经费项目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中国共产党广元市利州区委员会宣传部</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5</w:t>
            </w:r>
          </w:p>
        </w:tc>
        <w:tc>
          <w:tcPr>
            <w:tcW w:w="23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执行数:</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5</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15"/>
                <w:szCs w:val="15"/>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5</w:t>
            </w:r>
          </w:p>
        </w:tc>
        <w:tc>
          <w:tcPr>
            <w:tcW w:w="23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其中-财政拨款:</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5</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15"/>
                <w:szCs w:val="15"/>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0</w:t>
            </w:r>
          </w:p>
        </w:tc>
        <w:tc>
          <w:tcPr>
            <w:tcW w:w="23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其它资金:</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仿宋"/>
                <w:color w:val="000000"/>
                <w:sz w:val="15"/>
                <w:szCs w:val="15"/>
              </w:rPr>
            </w:pPr>
            <w:r>
              <w:rPr>
                <w:rFonts w:hint="eastAsia" w:ascii="仿宋" w:hAnsi="仿宋" w:eastAsia="仿宋" w:cs="仿宋"/>
                <w:color w:val="000000"/>
                <w:sz w:val="15"/>
                <w:szCs w:val="15"/>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15"/>
                <w:szCs w:val="15"/>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20" w:lineRule="exact"/>
              <w:ind w:left="-105" w:leftChars="-50" w:right="-105" w:rightChars="-50" w:firstLine="300" w:firstLineChars="200"/>
              <w:jc w:val="left"/>
              <w:rPr>
                <w:rFonts w:ascii="仿宋" w:hAnsi="仿宋" w:eastAsia="仿宋" w:cs="仿宋"/>
                <w:sz w:val="15"/>
                <w:szCs w:val="15"/>
              </w:rPr>
            </w:pPr>
            <w:r>
              <w:rPr>
                <w:rFonts w:hint="eastAsia" w:ascii="仿宋" w:hAnsi="仿宋" w:eastAsia="仿宋" w:cs="仿宋"/>
                <w:sz w:val="15"/>
                <w:szCs w:val="15"/>
              </w:rPr>
              <w:t>按照2018外宣工作年度目标管理，举办重大外宣活动及外宣精品推介。</w:t>
            </w:r>
          </w:p>
          <w:p>
            <w:pPr>
              <w:widowControl/>
              <w:tabs>
                <w:tab w:val="left" w:pos="425"/>
              </w:tabs>
              <w:jc w:val="left"/>
              <w:textAlignment w:val="center"/>
              <w:rPr>
                <w:rFonts w:ascii="仿宋" w:hAnsi="仿宋" w:eastAsia="仿宋" w:cs="仿宋"/>
                <w:color w:val="000000"/>
                <w:sz w:val="15"/>
                <w:szCs w:val="15"/>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20" w:lineRule="exact"/>
              <w:ind w:left="-105" w:leftChars="-50" w:right="-105" w:rightChars="-50" w:firstLine="300" w:firstLineChars="200"/>
              <w:jc w:val="left"/>
              <w:rPr>
                <w:rFonts w:ascii="仿宋" w:hAnsi="仿宋" w:eastAsia="仿宋" w:cs="仿宋"/>
                <w:sz w:val="15"/>
                <w:szCs w:val="15"/>
              </w:rPr>
            </w:pPr>
            <w:r>
              <w:rPr>
                <w:rFonts w:hint="eastAsia" w:ascii="仿宋" w:hAnsi="仿宋" w:eastAsia="仿宋" w:cs="仿宋"/>
                <w:sz w:val="15"/>
                <w:szCs w:val="15"/>
              </w:rPr>
              <w:t>按照2018外宣工作年度目标管理，举办重大外宣活动及外宣精品推介。</w:t>
            </w:r>
          </w:p>
          <w:p>
            <w:pPr>
              <w:widowControl/>
              <w:jc w:val="left"/>
              <w:textAlignment w:val="center"/>
              <w:rPr>
                <w:rFonts w:ascii="仿宋" w:hAnsi="仿宋" w:eastAsia="仿宋" w:cs="仿宋"/>
                <w:color w:val="000000"/>
                <w:sz w:val="15"/>
                <w:szCs w:val="15"/>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三级指标</w:t>
            </w:r>
          </w:p>
        </w:tc>
        <w:tc>
          <w:tcPr>
            <w:tcW w:w="23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预期指标值(包含数字及文字描述)</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15"/>
                <w:szCs w:val="15"/>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20" w:lineRule="exact"/>
              <w:ind w:left="315" w:leftChars="150" w:right="-105" w:rightChars="-50" w:firstLine="300" w:firstLineChars="200"/>
              <w:jc w:val="left"/>
              <w:rPr>
                <w:rFonts w:ascii="仿宋" w:hAnsi="仿宋" w:eastAsia="仿宋" w:cs="仿宋"/>
                <w:sz w:val="15"/>
                <w:szCs w:val="15"/>
              </w:rPr>
            </w:pPr>
            <w:r>
              <w:rPr>
                <w:rFonts w:hint="eastAsia" w:ascii="仿宋" w:hAnsi="仿宋" w:eastAsia="仿宋" w:cs="仿宋"/>
                <w:sz w:val="15"/>
                <w:szCs w:val="15"/>
              </w:rPr>
              <w:t>《月绣月坝》推广及推介和《国际在线》专项</w:t>
            </w:r>
          </w:p>
          <w:p>
            <w:pPr>
              <w:widowControl/>
              <w:jc w:val="center"/>
              <w:textAlignment w:val="center"/>
              <w:rPr>
                <w:rFonts w:ascii="仿宋" w:hAnsi="仿宋" w:eastAsia="仿宋" w:cs="仿宋"/>
                <w:color w:val="000000"/>
                <w:sz w:val="15"/>
                <w:szCs w:val="15"/>
              </w:rPr>
            </w:pPr>
          </w:p>
        </w:tc>
        <w:tc>
          <w:tcPr>
            <w:tcW w:w="23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20" w:lineRule="exact"/>
              <w:ind w:left="-105" w:leftChars="-50" w:right="-105" w:rightChars="-50" w:firstLine="300" w:firstLineChars="200"/>
              <w:jc w:val="center"/>
              <w:rPr>
                <w:rFonts w:ascii="仿宋" w:hAnsi="仿宋" w:eastAsia="仿宋" w:cs="仿宋"/>
                <w:sz w:val="15"/>
                <w:szCs w:val="15"/>
              </w:rPr>
            </w:pPr>
            <w:r>
              <w:rPr>
                <w:rFonts w:hint="eastAsia" w:ascii="仿宋" w:hAnsi="仿宋" w:eastAsia="仿宋" w:cs="仿宋"/>
                <w:color w:val="000000"/>
                <w:sz w:val="15"/>
                <w:szCs w:val="15"/>
              </w:rPr>
              <w:t>100%</w:t>
            </w:r>
            <w:r>
              <w:rPr>
                <w:rFonts w:hint="eastAsia" w:ascii="仿宋" w:hAnsi="仿宋" w:eastAsia="仿宋" w:cs="仿宋"/>
                <w:sz w:val="15"/>
                <w:szCs w:val="15"/>
              </w:rPr>
              <w:t>。</w:t>
            </w:r>
          </w:p>
          <w:p>
            <w:pPr>
              <w:widowControl/>
              <w:jc w:val="center"/>
              <w:textAlignment w:val="center"/>
              <w:rPr>
                <w:rFonts w:ascii="仿宋" w:hAnsi="仿宋" w:eastAsia="仿宋" w:cs="仿宋"/>
                <w:color w:val="000000"/>
                <w:sz w:val="15"/>
                <w:szCs w:val="15"/>
              </w:rPr>
            </w:pP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20" w:lineRule="exact"/>
              <w:ind w:left="-105" w:leftChars="-50" w:right="-105" w:rightChars="-50" w:firstLine="300" w:firstLineChars="200"/>
              <w:jc w:val="center"/>
              <w:rPr>
                <w:rFonts w:ascii="仿宋" w:hAnsi="仿宋" w:eastAsia="仿宋" w:cs="仿宋"/>
                <w:sz w:val="15"/>
                <w:szCs w:val="15"/>
              </w:rPr>
            </w:pPr>
            <w:r>
              <w:rPr>
                <w:rFonts w:hint="eastAsia" w:ascii="仿宋" w:hAnsi="仿宋" w:eastAsia="仿宋" w:cs="仿宋"/>
                <w:color w:val="000000"/>
                <w:sz w:val="15"/>
                <w:szCs w:val="15"/>
              </w:rPr>
              <w:t>100%</w:t>
            </w:r>
            <w:r>
              <w:rPr>
                <w:rFonts w:hint="eastAsia" w:ascii="仿宋" w:hAnsi="仿宋" w:eastAsia="仿宋" w:cs="仿宋"/>
                <w:sz w:val="15"/>
                <w:szCs w:val="15"/>
              </w:rPr>
              <w:t>。</w:t>
            </w:r>
          </w:p>
          <w:p>
            <w:pPr>
              <w:widowControl/>
              <w:jc w:val="center"/>
              <w:textAlignment w:val="center"/>
              <w:rPr>
                <w:rFonts w:ascii="仿宋" w:hAnsi="仿宋" w:eastAsia="仿宋" w:cs="仿宋"/>
                <w:color w:val="000000"/>
                <w:sz w:val="15"/>
                <w:szCs w:val="15"/>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15"/>
                <w:szCs w:val="15"/>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33"/>
              <w:jc w:val="left"/>
              <w:textAlignment w:val="center"/>
              <w:rPr>
                <w:rFonts w:ascii="仿宋" w:hAnsi="仿宋" w:eastAsia="仿宋" w:cs="仿宋"/>
                <w:color w:val="000000"/>
                <w:sz w:val="15"/>
                <w:szCs w:val="15"/>
              </w:rPr>
            </w:pPr>
            <w:r>
              <w:rPr>
                <w:rFonts w:hint="eastAsia" w:ascii="仿宋" w:hAnsi="仿宋" w:eastAsia="仿宋" w:cs="仿宋"/>
                <w:color w:val="000000"/>
                <w:sz w:val="15"/>
                <w:szCs w:val="15"/>
              </w:rPr>
              <w:t>项目按期完成率</w:t>
            </w:r>
          </w:p>
        </w:tc>
        <w:tc>
          <w:tcPr>
            <w:tcW w:w="23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20" w:lineRule="exact"/>
              <w:ind w:left="-105" w:leftChars="-50" w:right="-105" w:rightChars="-50" w:firstLine="300" w:firstLineChars="200"/>
              <w:jc w:val="center"/>
              <w:rPr>
                <w:rFonts w:ascii="仿宋" w:hAnsi="仿宋" w:eastAsia="仿宋" w:cs="仿宋"/>
                <w:sz w:val="15"/>
                <w:szCs w:val="15"/>
              </w:rPr>
            </w:pPr>
            <w:r>
              <w:rPr>
                <w:rFonts w:hint="eastAsia" w:ascii="仿宋" w:hAnsi="仿宋" w:eastAsia="仿宋" w:cs="仿宋"/>
                <w:color w:val="000000"/>
                <w:sz w:val="15"/>
                <w:szCs w:val="15"/>
              </w:rPr>
              <w:t>100%</w:t>
            </w:r>
            <w:r>
              <w:rPr>
                <w:rFonts w:hint="eastAsia" w:ascii="仿宋" w:hAnsi="仿宋" w:eastAsia="仿宋" w:cs="仿宋"/>
                <w:sz w:val="15"/>
                <w:szCs w:val="15"/>
              </w:rPr>
              <w:t>。</w:t>
            </w:r>
          </w:p>
          <w:p>
            <w:pPr>
              <w:widowControl/>
              <w:jc w:val="center"/>
              <w:textAlignment w:val="center"/>
              <w:rPr>
                <w:rFonts w:ascii="仿宋" w:hAnsi="仿宋" w:eastAsia="仿宋" w:cs="仿宋"/>
                <w:color w:val="000000"/>
                <w:sz w:val="15"/>
                <w:szCs w:val="15"/>
              </w:rPr>
            </w:pP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sz w:val="15"/>
                <w:szCs w:val="15"/>
              </w:rPr>
              <w:t>《云绣月坝》于2017年10月初开始筹备，2018年3月16日开机拍摄，同月23日杀青</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15"/>
                <w:szCs w:val="15"/>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社会效益</w:t>
            </w:r>
          </w:p>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20" w:lineRule="exact"/>
              <w:ind w:left="-105" w:leftChars="-50" w:right="-105" w:rightChars="-50" w:firstLine="300" w:firstLineChars="200"/>
              <w:rPr>
                <w:rFonts w:ascii="仿宋" w:hAnsi="仿宋" w:eastAsia="仿宋" w:cs="仿宋"/>
                <w:sz w:val="15"/>
                <w:szCs w:val="15"/>
              </w:rPr>
            </w:pPr>
            <w:r>
              <w:rPr>
                <w:rFonts w:hint="eastAsia" w:ascii="仿宋" w:hAnsi="仿宋" w:eastAsia="仿宋" w:cs="仿宋"/>
                <w:sz w:val="15"/>
                <w:szCs w:val="15"/>
              </w:rPr>
              <w:t>社会满意度。</w:t>
            </w:r>
          </w:p>
          <w:p>
            <w:pPr>
              <w:widowControl/>
              <w:textAlignment w:val="center"/>
              <w:rPr>
                <w:rFonts w:ascii="仿宋" w:hAnsi="仿宋" w:eastAsia="仿宋" w:cs="仿宋"/>
                <w:color w:val="000000"/>
                <w:sz w:val="15"/>
                <w:szCs w:val="15"/>
              </w:rPr>
            </w:pPr>
          </w:p>
        </w:tc>
        <w:tc>
          <w:tcPr>
            <w:tcW w:w="23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20" w:lineRule="exact"/>
              <w:ind w:left="-105" w:leftChars="-50" w:right="-105" w:rightChars="-50" w:firstLine="300" w:firstLineChars="200"/>
              <w:jc w:val="center"/>
              <w:rPr>
                <w:rFonts w:ascii="仿宋" w:hAnsi="仿宋" w:eastAsia="仿宋" w:cs="仿宋"/>
                <w:sz w:val="15"/>
                <w:szCs w:val="15"/>
              </w:rPr>
            </w:pPr>
            <w:r>
              <w:rPr>
                <w:rFonts w:hint="eastAsia" w:ascii="仿宋" w:hAnsi="仿宋" w:eastAsia="仿宋" w:cs="仿宋"/>
                <w:color w:val="000000"/>
                <w:sz w:val="15"/>
                <w:szCs w:val="15"/>
              </w:rPr>
              <w:t>100%</w:t>
            </w:r>
            <w:r>
              <w:rPr>
                <w:rFonts w:hint="eastAsia" w:ascii="仿宋" w:hAnsi="仿宋" w:eastAsia="仿宋" w:cs="仿宋"/>
                <w:sz w:val="15"/>
                <w:szCs w:val="15"/>
              </w:rPr>
              <w:t>。</w:t>
            </w:r>
          </w:p>
          <w:p>
            <w:pPr>
              <w:widowControl/>
              <w:jc w:val="center"/>
              <w:textAlignment w:val="center"/>
              <w:rPr>
                <w:rFonts w:ascii="仿宋" w:hAnsi="仿宋" w:eastAsia="仿宋" w:cs="仿宋"/>
                <w:color w:val="000000"/>
                <w:sz w:val="15"/>
                <w:szCs w:val="15"/>
              </w:rPr>
            </w:pP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20" w:lineRule="exact"/>
              <w:ind w:left="-105" w:leftChars="-50" w:right="-105" w:rightChars="-50" w:firstLine="300" w:firstLineChars="200"/>
              <w:rPr>
                <w:rFonts w:ascii="仿宋" w:hAnsi="仿宋" w:eastAsia="仿宋" w:cs="仿宋"/>
                <w:sz w:val="15"/>
                <w:szCs w:val="15"/>
              </w:rPr>
            </w:pPr>
            <w:r>
              <w:rPr>
                <w:rFonts w:hint="eastAsia" w:ascii="仿宋" w:hAnsi="仿宋" w:eastAsia="仿宋" w:cs="仿宋"/>
                <w:sz w:val="15"/>
                <w:szCs w:val="15"/>
              </w:rPr>
              <w:t>有效提升了利州知名度和美誉度，为全面建成综合实力一流的现代化市辖区营造了良好的舆论氛围。</w:t>
            </w:r>
          </w:p>
          <w:p>
            <w:pPr>
              <w:widowControl/>
              <w:jc w:val="center"/>
              <w:textAlignment w:val="center"/>
              <w:rPr>
                <w:rFonts w:ascii="仿宋" w:hAnsi="仿宋" w:eastAsia="仿宋" w:cs="仿宋"/>
                <w:color w:val="000000"/>
                <w:sz w:val="15"/>
                <w:szCs w:val="15"/>
              </w:rPr>
            </w:pPr>
          </w:p>
        </w:tc>
      </w:tr>
    </w:tbl>
    <w:p>
      <w:pPr>
        <w:rPr>
          <w:rFonts w:ascii="仿宋" w:hAnsi="仿宋" w:eastAsia="仿宋" w:cs="仿宋"/>
          <w:sz w:val="15"/>
          <w:szCs w:val="15"/>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23"/>
        <w:gridCol w:w="2463"/>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015" w:leftChars="1310" w:hanging="1264" w:hangingChars="395"/>
              <w:textAlignment w:val="center"/>
              <w:rPr>
                <w:rFonts w:ascii="仿宋" w:hAnsi="仿宋" w:eastAsia="仿宋" w:cs="仿宋"/>
                <w:color w:val="000000"/>
                <w:sz w:val="15"/>
                <w:szCs w:val="15"/>
              </w:rPr>
            </w:pPr>
            <w:r>
              <w:rPr>
                <w:rFonts w:hint="eastAsia" w:ascii="仿宋" w:hAnsi="仿宋" w:eastAsia="仿宋" w:cs="仿宋"/>
                <w:bCs/>
                <w:color w:val="000000"/>
                <w:kern w:val="0"/>
                <w:sz w:val="32"/>
                <w:szCs w:val="32"/>
              </w:rPr>
              <w:t>项目支出绩效目标完成情况表</w:t>
            </w:r>
            <w:r>
              <w:rPr>
                <w:rFonts w:hint="eastAsia" w:ascii="仿宋" w:hAnsi="仿宋" w:eastAsia="仿宋" w:cs="仿宋"/>
                <w:b/>
                <w:bCs/>
                <w:color w:val="000000"/>
                <w:kern w:val="0"/>
                <w:sz w:val="32"/>
                <w:szCs w:val="32"/>
              </w:rPr>
              <w:br w:type="textWrapping"/>
            </w:r>
            <w:r>
              <w:rPr>
                <w:rFonts w:hint="eastAsia" w:ascii="仿宋" w:hAnsi="仿宋" w:eastAsia="仿宋" w:cs="仿宋"/>
                <w:color w:val="000000"/>
                <w:kern w:val="0"/>
                <w:sz w:val="32"/>
                <w:szCs w:val="32"/>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中心组学习、专项宣讲、学习资料</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中国共产党广元市利州区委员会宣传部</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20</w:t>
            </w:r>
          </w:p>
        </w:tc>
        <w:tc>
          <w:tcPr>
            <w:tcW w:w="23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执行数:</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20</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15"/>
                <w:szCs w:val="15"/>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20</w:t>
            </w:r>
          </w:p>
        </w:tc>
        <w:tc>
          <w:tcPr>
            <w:tcW w:w="23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其中-财政拨款:</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20</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15"/>
                <w:szCs w:val="15"/>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0</w:t>
            </w:r>
          </w:p>
        </w:tc>
        <w:tc>
          <w:tcPr>
            <w:tcW w:w="23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其它资金:</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仿宋"/>
                <w:color w:val="000000"/>
                <w:sz w:val="15"/>
                <w:szCs w:val="15"/>
              </w:rPr>
            </w:pPr>
            <w:r>
              <w:rPr>
                <w:rFonts w:hint="eastAsia" w:ascii="仿宋" w:hAnsi="仿宋" w:eastAsia="仿宋" w:cs="仿宋"/>
                <w:color w:val="000000"/>
                <w:sz w:val="15"/>
                <w:szCs w:val="15"/>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15"/>
                <w:szCs w:val="15"/>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abs>
                <w:tab w:val="left" w:pos="425"/>
              </w:tabs>
              <w:jc w:val="left"/>
              <w:textAlignment w:val="center"/>
              <w:rPr>
                <w:rFonts w:ascii="仿宋" w:hAnsi="仿宋" w:eastAsia="仿宋" w:cs="仿宋"/>
                <w:color w:val="000000"/>
                <w:sz w:val="15"/>
                <w:szCs w:val="15"/>
              </w:rPr>
            </w:pPr>
            <w:r>
              <w:rPr>
                <w:rFonts w:hint="eastAsia" w:ascii="仿宋" w:hAnsi="仿宋" w:eastAsia="仿宋" w:cs="仿宋"/>
                <w:color w:val="000000"/>
                <w:sz w:val="15"/>
                <w:szCs w:val="15"/>
              </w:rPr>
              <w:tab/>
            </w:r>
            <w:r>
              <w:rPr>
                <w:rFonts w:hint="eastAsia" w:ascii="仿宋" w:hAnsi="仿宋" w:eastAsia="仿宋" w:cs="仿宋"/>
                <w:color w:val="000000"/>
                <w:sz w:val="15"/>
                <w:szCs w:val="15"/>
              </w:rPr>
              <w:t>组织区委理论学习中心组集中学习不少于12次，印发理论学习成果汇编，邀请上级专家学者来区作专题辅导，承接省委市委宣讲团（队）来区宣讲，订阅发放理论辅导读物。</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全年组织区委理论学习中心组集中学习不少于12次，印发理论学习成果汇编，邀请上级专家学者来区作专题辅导，承接省委市委宣讲团（队）来区宣讲，订阅发放理论辅导读物。</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三级指标</w:t>
            </w:r>
          </w:p>
        </w:tc>
        <w:tc>
          <w:tcPr>
            <w:tcW w:w="23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预期指标值(包含数字及文字描述)</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15"/>
                <w:szCs w:val="15"/>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中心组学习全年不少于12次</w:t>
            </w:r>
          </w:p>
        </w:tc>
        <w:tc>
          <w:tcPr>
            <w:tcW w:w="23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100%</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sz w:val="15"/>
                <w:szCs w:val="15"/>
              </w:rPr>
              <w:t>牵头开展全区“大学习”活动，统筹安排各级中心组12个方面的学习重点，组织区委理论学习中心组集中学习18天19次</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15"/>
                <w:szCs w:val="15"/>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集中宣讲不少于2次</w:t>
            </w:r>
          </w:p>
        </w:tc>
        <w:tc>
          <w:tcPr>
            <w:tcW w:w="23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100%</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15"/>
                <w:szCs w:val="15"/>
                <w:lang w:eastAsia="zh-CN"/>
              </w:rPr>
            </w:pPr>
            <w:r>
              <w:rPr>
                <w:rFonts w:hint="eastAsia" w:ascii="仿宋" w:hAnsi="仿宋" w:eastAsia="仿宋" w:cs="仿宋"/>
                <w:sz w:val="15"/>
                <w:szCs w:val="15"/>
              </w:rPr>
              <w:t>承接省委市委宣讲分队、组织各级宣讲团（队）累计宣讲1178场次，覆盖11.1万余人次。管好用活农村“知客”宣讲，打通基层政策宣传</w:t>
            </w:r>
            <w:r>
              <w:rPr>
                <w:rFonts w:hint="eastAsia" w:ascii="仿宋" w:hAnsi="仿宋" w:eastAsia="仿宋" w:cs="仿宋"/>
                <w:sz w:val="15"/>
                <w:szCs w:val="15"/>
                <w:lang w:eastAsia="zh-CN"/>
              </w:rPr>
              <w:t>“最后一公里”</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15"/>
                <w:szCs w:val="15"/>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区委中心组成员在市级以上党报党刊发表理论文章不少于5篇</w:t>
            </w:r>
          </w:p>
        </w:tc>
        <w:tc>
          <w:tcPr>
            <w:tcW w:w="23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100%</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sz w:val="15"/>
                <w:szCs w:val="15"/>
              </w:rPr>
              <w:t>理论研究取得新突破，5篇理论经验文章获省委宣传部《每日要情》推介、7篇获市委《广元要情》推介，《农村集体产权制度改革探索实践报告》入选广元首本蓝皮书。</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15"/>
                <w:szCs w:val="15"/>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在2018年12月31日前全面完成</w:t>
            </w:r>
          </w:p>
        </w:tc>
        <w:tc>
          <w:tcPr>
            <w:tcW w:w="23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100%</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15"/>
                <w:szCs w:val="15"/>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社会效益</w:t>
            </w:r>
          </w:p>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15"/>
                <w:szCs w:val="15"/>
              </w:rPr>
            </w:pPr>
            <w:r>
              <w:rPr>
                <w:rFonts w:hint="eastAsia" w:ascii="仿宋" w:hAnsi="仿宋" w:eastAsia="仿宋" w:cs="仿宋"/>
                <w:sz w:val="15"/>
                <w:szCs w:val="15"/>
              </w:rPr>
              <w:t>社会满意度</w:t>
            </w:r>
          </w:p>
        </w:tc>
        <w:tc>
          <w:tcPr>
            <w:tcW w:w="23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sz w:val="15"/>
                <w:szCs w:val="15"/>
              </w:rPr>
              <w:t>100%</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20" w:lineRule="exact"/>
              <w:ind w:left="-105" w:leftChars="-50" w:right="-105" w:rightChars="-50" w:firstLine="300" w:firstLineChars="200"/>
              <w:jc w:val="left"/>
              <w:rPr>
                <w:rFonts w:ascii="仿宋" w:hAnsi="仿宋" w:eastAsia="仿宋" w:cs="仿宋"/>
                <w:sz w:val="15"/>
                <w:szCs w:val="15"/>
              </w:rPr>
            </w:pPr>
            <w:r>
              <w:rPr>
                <w:rFonts w:hint="eastAsia" w:ascii="仿宋" w:hAnsi="仿宋" w:eastAsia="仿宋" w:cs="仿宋"/>
                <w:sz w:val="15"/>
                <w:szCs w:val="15"/>
              </w:rPr>
              <w:t>展出展示了利州区立足区情实际和群众需求创新探索，多项创新实践得到省委主要领导肯定批示和中央、省市主流媒体高度关注和广泛宣传报道。</w:t>
            </w:r>
          </w:p>
          <w:p>
            <w:pPr>
              <w:widowControl/>
              <w:jc w:val="left"/>
              <w:textAlignment w:val="center"/>
              <w:rPr>
                <w:rFonts w:ascii="仿宋" w:hAnsi="仿宋" w:eastAsia="仿宋" w:cs="仿宋"/>
                <w:color w:val="000000"/>
                <w:sz w:val="15"/>
                <w:szCs w:val="15"/>
              </w:rPr>
            </w:pPr>
          </w:p>
        </w:tc>
      </w:tr>
    </w:tbl>
    <w:p>
      <w:pPr>
        <w:rPr>
          <w:rFonts w:ascii="仿宋" w:hAnsi="仿宋" w:eastAsia="仿宋" w:cs="仿宋"/>
          <w:sz w:val="24"/>
        </w:rPr>
      </w:pPr>
    </w:p>
    <w:p>
      <w:pPr>
        <w:spacing w:line="580" w:lineRule="exact"/>
        <w:ind w:firstLine="321" w:firstLineChars="100"/>
        <w:rPr>
          <w:rFonts w:ascii="仿宋" w:hAnsi="仿宋" w:eastAsia="仿宋" w:cs="仿宋_GB2312"/>
          <w:sz w:val="32"/>
          <w:szCs w:val="32"/>
        </w:rPr>
      </w:pPr>
      <w:r>
        <w:rPr>
          <w:rFonts w:hint="eastAsia" w:ascii="仿宋" w:hAnsi="仿宋" w:eastAsia="仿宋" w:cs="楷体_GB2312"/>
          <w:b/>
          <w:bCs/>
          <w:sz w:val="32"/>
          <w:szCs w:val="32"/>
        </w:rPr>
        <w:t>（三）部门开展绩效评价结果。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本部门按要求对2018年部门整体支出绩效评价情况开展自评，《利州区委宣传部部门2018年部门整体支出绩效评价报告》见附件。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ascii="方正仿宋简体" w:eastAsia="方正仿宋简体"/>
          <w:sz w:val="32"/>
          <w:szCs w:val="32"/>
        </w:rPr>
        <w:t>栖凤廊桥脱贫摘帽成效图片展经费</w:t>
      </w:r>
      <w:r>
        <w:rPr>
          <w:rFonts w:hint="eastAsia" w:ascii="仿宋_GB2312" w:hAnsi="仿宋_GB2312" w:eastAsia="仿宋_GB2312" w:cs="仿宋_GB2312"/>
          <w:sz w:val="32"/>
          <w:szCs w:val="32"/>
        </w:rPr>
        <w:t>项目、</w:t>
      </w:r>
      <w:r>
        <w:rPr>
          <w:rFonts w:ascii="仿宋" w:hAnsi="仿宋" w:eastAsia="仿宋"/>
          <w:sz w:val="32"/>
          <w:szCs w:val="32"/>
        </w:rPr>
        <w:t>2018年中心组学习、专项宣讲、学习资料</w:t>
      </w:r>
      <w:r>
        <w:rPr>
          <w:rFonts w:hint="eastAsia" w:ascii="仿宋" w:hAnsi="仿宋" w:eastAsia="仿宋"/>
          <w:sz w:val="32"/>
          <w:szCs w:val="32"/>
        </w:rPr>
        <w:t>等</w:t>
      </w:r>
      <w:r>
        <w:rPr>
          <w:rFonts w:hint="eastAsia" w:ascii="仿宋_GB2312" w:hAnsi="仿宋_GB2312" w:eastAsia="仿宋_GB2312" w:cs="仿宋_GB2312"/>
          <w:sz w:val="32"/>
          <w:szCs w:val="32"/>
        </w:rPr>
        <w:t>项目开展了绩效评价，《</w:t>
      </w:r>
      <w:r>
        <w:rPr>
          <w:rFonts w:ascii="方正仿宋简体" w:eastAsia="方正仿宋简体"/>
          <w:sz w:val="32"/>
          <w:szCs w:val="32"/>
        </w:rPr>
        <w:t>栖凤廊桥脱贫摘帽成效图片展</w:t>
      </w:r>
      <w:r>
        <w:rPr>
          <w:rFonts w:hint="eastAsia" w:ascii="仿宋_GB2312" w:hAnsi="仿宋_GB2312" w:eastAsia="仿宋_GB2312" w:cs="仿宋_GB2312"/>
          <w:sz w:val="32"/>
          <w:szCs w:val="32"/>
        </w:rPr>
        <w:t>项目2018年绩效评价报告》见附件。</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48" w:name="_Toc15396612"/>
      <w:bookmarkStart w:id="49" w:name="_Toc15377221"/>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48"/>
      <w:bookmarkEnd w:id="49"/>
    </w:p>
    <w:p>
      <w:pPr>
        <w:spacing w:line="600" w:lineRule="exact"/>
        <w:ind w:firstLine="642" w:firstLineChars="200"/>
        <w:outlineLvl w:val="2"/>
        <w:rPr>
          <w:rFonts w:ascii="仿宋" w:hAnsi="仿宋" w:eastAsia="仿宋"/>
          <w:color w:val="000000"/>
          <w:sz w:val="32"/>
          <w:szCs w:val="32"/>
        </w:rPr>
      </w:pPr>
      <w:bookmarkStart w:id="50" w:name="_Toc15377222"/>
      <w:r>
        <w:rPr>
          <w:rFonts w:hint="eastAsia" w:ascii="仿宋" w:hAnsi="仿宋" w:eastAsia="仿宋"/>
          <w:b/>
          <w:color w:val="000000"/>
          <w:sz w:val="32"/>
          <w:szCs w:val="32"/>
        </w:rPr>
        <w:t>（一）机关运行经费支出情况</w:t>
      </w:r>
      <w:bookmarkEnd w:id="50"/>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8年利州区委宣传部机关运行经费支出33.24万元，比</w:t>
      </w:r>
      <w:r>
        <w:rPr>
          <w:rFonts w:ascii="仿宋_GB2312" w:eastAsia="仿宋_GB2312"/>
          <w:color w:val="000000"/>
          <w:sz w:val="32"/>
          <w:szCs w:val="32"/>
        </w:rPr>
        <w:t>201</w:t>
      </w:r>
      <w:r>
        <w:rPr>
          <w:rFonts w:hint="eastAsia" w:ascii="仿宋_GB2312" w:eastAsia="仿宋_GB2312"/>
          <w:color w:val="000000"/>
          <w:sz w:val="32"/>
          <w:szCs w:val="32"/>
        </w:rPr>
        <w:t>7年减少9.06万元，下降率21.42</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主要原因是专项经费核算调整。</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1" w:name="_Toc15377223"/>
      <w:r>
        <w:rPr>
          <w:rFonts w:hint="eastAsia" w:ascii="仿宋" w:hAnsi="仿宋" w:eastAsia="仿宋"/>
          <w:b/>
          <w:color w:val="000000"/>
          <w:sz w:val="32"/>
          <w:szCs w:val="32"/>
        </w:rPr>
        <w:t>（二）政府采购支出情况</w:t>
      </w:r>
      <w:bookmarkEnd w:id="51"/>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8年利州区委宣传部政府采购支出总额0万元，其中：政府采购货物支出0万元、政府采购工程支出0万元、政府采购服务支出0万元。授予中小企业合同金额0万元，占政府采购支出总额的0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2" w:name="_Toc15377224"/>
      <w:r>
        <w:rPr>
          <w:rFonts w:hint="eastAsia" w:ascii="仿宋" w:hAnsi="仿宋" w:eastAsia="仿宋"/>
          <w:b/>
          <w:color w:val="000000"/>
          <w:sz w:val="32"/>
          <w:szCs w:val="32"/>
        </w:rPr>
        <w:t>（三）国有资产占有使用情况</w:t>
      </w:r>
      <w:bookmarkEnd w:id="52"/>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利州区委宣传部共有车辆2辆（2016年公车改革车辆移交给机关事务局，还未下编，无公务车辆运行维护费发生），其中：部级领导干部用车0辆、一般公务用车0辆、一般执法执勤用车0辆、特种专业技术用车0辆、其他用车2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2" w:firstLineChars="150"/>
        <w:jc w:val="center"/>
        <w:outlineLvl w:val="0"/>
        <w:rPr>
          <w:rStyle w:val="24"/>
          <w:rFonts w:ascii="黑体" w:hAnsi="黑体" w:eastAsia="黑体"/>
          <w:b w:val="0"/>
        </w:rPr>
      </w:pPr>
      <w:bookmarkStart w:id="53" w:name="_Toc15377225"/>
      <w:bookmarkStart w:id="54"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3"/>
      <w:bookmarkEnd w:id="54"/>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600" w:lineRule="exact"/>
        <w:ind w:firstLine="640" w:firstLineChars="200"/>
        <w:jc w:val="left"/>
        <w:rPr>
          <w:rStyle w:val="14"/>
          <w:rFonts w:ascii="仿宋" w:hAnsi="仿宋" w:eastAsia="仿宋"/>
          <w:b w:val="0"/>
          <w:color w:val="000000" w:themeColor="text1"/>
          <w:sz w:val="32"/>
          <w:szCs w:val="32"/>
        </w:rPr>
      </w:pPr>
      <w:r>
        <w:rPr>
          <w:rStyle w:val="14"/>
          <w:rFonts w:hint="eastAsia" w:ascii="仿宋" w:hAnsi="仿宋" w:eastAsia="仿宋"/>
          <w:b w:val="0"/>
          <w:color w:val="000000" w:themeColor="text1"/>
          <w:sz w:val="32"/>
          <w:szCs w:val="32"/>
        </w:rPr>
        <w:t>9.一般公共服务（类）宣传事务（款）行政运行（项）：指行政单位（包括实行公务员管理的事业单位）的基本支出。</w:t>
      </w:r>
    </w:p>
    <w:p>
      <w:pPr>
        <w:spacing w:line="600" w:lineRule="exact"/>
        <w:ind w:firstLine="640" w:firstLineChars="200"/>
        <w:rPr>
          <w:rStyle w:val="14"/>
          <w:rFonts w:ascii="仿宋" w:hAnsi="仿宋" w:eastAsia="仿宋"/>
          <w:b w:val="0"/>
          <w:color w:val="000000" w:themeColor="text1"/>
          <w:sz w:val="32"/>
          <w:szCs w:val="32"/>
        </w:rPr>
      </w:pPr>
      <w:r>
        <w:rPr>
          <w:rStyle w:val="14"/>
          <w:rFonts w:hint="eastAsia" w:ascii="仿宋" w:hAnsi="仿宋" w:eastAsia="仿宋"/>
          <w:b w:val="0"/>
          <w:color w:val="000000" w:themeColor="text1"/>
          <w:sz w:val="32"/>
          <w:szCs w:val="32"/>
        </w:rPr>
        <w:t>10.一般公共服务（类）宣传事务（款）一般行政管理事务（项）：指行政单位（包括实行公务员管理的事业单位）未单独设置顶级科目的其他项目支出。</w:t>
      </w:r>
    </w:p>
    <w:p>
      <w:pPr>
        <w:spacing w:line="600" w:lineRule="exact"/>
        <w:ind w:firstLine="640" w:firstLineChars="200"/>
        <w:jc w:val="left"/>
        <w:rPr>
          <w:rStyle w:val="14"/>
          <w:rFonts w:ascii="仿宋" w:hAnsi="仿宋" w:eastAsia="仿宋"/>
          <w:b w:val="0"/>
          <w:color w:val="000000" w:themeColor="text1"/>
          <w:sz w:val="32"/>
          <w:szCs w:val="32"/>
        </w:rPr>
      </w:pPr>
      <w:r>
        <w:rPr>
          <w:rStyle w:val="14"/>
          <w:rFonts w:hint="eastAsia" w:ascii="仿宋" w:hAnsi="仿宋" w:eastAsia="仿宋"/>
          <w:b w:val="0"/>
          <w:color w:val="000000" w:themeColor="text1"/>
          <w:sz w:val="32"/>
          <w:szCs w:val="32"/>
        </w:rPr>
        <w:t>11.社会保障和就业（类）行政事业单位离退休（款）机关事业单位基本养老保险缴费（项）</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指机关事业单位实施养老保险制度由单位缴纳的基本养老保险费支出。</w:t>
      </w:r>
    </w:p>
    <w:p>
      <w:pPr>
        <w:spacing w:line="600" w:lineRule="exact"/>
        <w:ind w:firstLine="640" w:firstLineChars="200"/>
        <w:rPr>
          <w:rFonts w:ascii="仿宋" w:hAnsi="仿宋" w:eastAsia="仿宋"/>
          <w:color w:val="000000" w:themeColor="text1"/>
          <w:sz w:val="32"/>
          <w:szCs w:val="32"/>
        </w:rPr>
      </w:pPr>
      <w:r>
        <w:rPr>
          <w:rStyle w:val="14"/>
          <w:rFonts w:hint="eastAsia" w:ascii="仿宋" w:hAnsi="仿宋" w:eastAsia="仿宋"/>
          <w:b w:val="0"/>
          <w:color w:val="000000" w:themeColor="text1"/>
          <w:sz w:val="32"/>
          <w:szCs w:val="32"/>
        </w:rPr>
        <w:t>12.社会保障和就业（类）行政事业单位离退休（款）机关事业单位职业年金缴费（项）</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指机关事业单位实施养老保险制度由单位缴纳的职业年金支出。</w:t>
      </w:r>
      <w:r>
        <w:rPr>
          <w:rStyle w:val="14"/>
          <w:rFonts w:ascii="仿宋" w:hAnsi="仿宋" w:eastAsia="仿宋"/>
          <w:b w:val="0"/>
          <w:color w:val="000000" w:themeColor="text1"/>
          <w:sz w:val="32"/>
          <w:szCs w:val="32"/>
        </w:rPr>
        <w:t xml:space="preserve"> </w:t>
      </w:r>
    </w:p>
    <w:p>
      <w:pPr>
        <w:spacing w:line="600" w:lineRule="exact"/>
        <w:ind w:firstLine="640" w:firstLineChars="200"/>
        <w:rPr>
          <w:rStyle w:val="14"/>
          <w:rFonts w:ascii="仿宋" w:hAnsi="仿宋" w:eastAsia="仿宋"/>
          <w:b w:val="0"/>
          <w:color w:val="000000" w:themeColor="text1"/>
          <w:sz w:val="32"/>
          <w:szCs w:val="32"/>
        </w:rPr>
      </w:pPr>
      <w:r>
        <w:rPr>
          <w:rStyle w:val="14"/>
          <w:rFonts w:hint="eastAsia" w:ascii="仿宋" w:hAnsi="仿宋" w:eastAsia="仿宋"/>
          <w:b w:val="0"/>
          <w:color w:val="000000" w:themeColor="text1"/>
          <w:sz w:val="32"/>
          <w:szCs w:val="32"/>
        </w:rPr>
        <w:t>13.医疗卫生与计划生育（类）行政事业单位医疗（款）事业单位医疗（项）</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指财政部门集中安排的事业单位基本医疗保险缴费经费，未参加医疗保险的事业单位的公费医疗经费，按国家规定享受离休人员的医疗经费。</w:t>
      </w:r>
    </w:p>
    <w:p>
      <w:pPr>
        <w:spacing w:line="600" w:lineRule="exact"/>
        <w:ind w:firstLine="640" w:firstLineChars="200"/>
        <w:rPr>
          <w:rStyle w:val="14"/>
          <w:rFonts w:ascii="仿宋" w:hAnsi="仿宋" w:eastAsia="仿宋"/>
          <w:b w:val="0"/>
          <w:color w:val="000000" w:themeColor="text1"/>
          <w:sz w:val="32"/>
          <w:szCs w:val="32"/>
        </w:rPr>
      </w:pPr>
      <w:r>
        <w:rPr>
          <w:rStyle w:val="14"/>
          <w:rFonts w:hint="eastAsia" w:ascii="仿宋" w:hAnsi="仿宋" w:eastAsia="仿宋"/>
          <w:b w:val="0"/>
          <w:color w:val="000000" w:themeColor="text1"/>
          <w:sz w:val="32"/>
          <w:szCs w:val="32"/>
        </w:rPr>
        <w:t>14.农林水（类）扶贫（款）其他扶贫（项）：指除上述项目以外其他用于扶贫方面的支出。</w:t>
      </w:r>
    </w:p>
    <w:p>
      <w:pPr>
        <w:spacing w:line="600" w:lineRule="exact"/>
        <w:ind w:firstLine="640" w:firstLineChars="200"/>
        <w:rPr>
          <w:rFonts w:ascii="仿宋" w:hAnsi="仿宋" w:eastAsia="仿宋"/>
          <w:color w:val="000000" w:themeColor="text1"/>
          <w:sz w:val="32"/>
          <w:szCs w:val="32"/>
        </w:rPr>
      </w:pPr>
      <w:r>
        <w:rPr>
          <w:rStyle w:val="14"/>
          <w:rFonts w:hint="eastAsia" w:ascii="仿宋" w:hAnsi="仿宋" w:eastAsia="仿宋"/>
          <w:b w:val="0"/>
          <w:color w:val="000000" w:themeColor="text1"/>
          <w:sz w:val="32"/>
          <w:szCs w:val="32"/>
        </w:rPr>
        <w:t>15.住房保障（类）住房改革（款）住房公积金（项）</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指行政事业单位按人力资源和社会保障部、财政部规定的基本工资和津贴补贴以及规定比例为职工缴纳的住房公积金。</w:t>
      </w:r>
    </w:p>
    <w:p>
      <w:pPr>
        <w:spacing w:line="600" w:lineRule="exact"/>
        <w:ind w:firstLine="320" w:firstLineChars="100"/>
        <w:rPr>
          <w:rFonts w:ascii="仿宋" w:hAnsi="仿宋" w:eastAsia="仿宋"/>
          <w:color w:val="000000"/>
          <w:sz w:val="32"/>
          <w:szCs w:val="32"/>
        </w:rPr>
      </w:pPr>
      <w:r>
        <w:rPr>
          <w:rFonts w:hint="eastAsia" w:ascii="仿宋" w:hAnsi="仿宋" w:eastAsia="仿宋"/>
          <w:color w:val="000000"/>
          <w:sz w:val="32"/>
          <w:szCs w:val="32"/>
        </w:rPr>
        <w:t>（解释本部门决算报表中全部功能分类科目至项级，请参照《</w:t>
      </w:r>
      <w:r>
        <w:rPr>
          <w:rFonts w:ascii="仿宋" w:hAnsi="仿宋" w:eastAsia="仿宋"/>
          <w:color w:val="000000"/>
          <w:sz w:val="32"/>
          <w:szCs w:val="32"/>
        </w:rPr>
        <w:t>201</w:t>
      </w:r>
      <w:r>
        <w:rPr>
          <w:rFonts w:hint="eastAsia" w:ascii="仿宋" w:hAnsi="仿宋" w:eastAsia="仿宋"/>
          <w:color w:val="000000"/>
          <w:sz w:val="32"/>
          <w:szCs w:val="32"/>
        </w:rPr>
        <w:t>8年政府收支分类科目》增减内容。）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17</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18</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19</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000000"/>
          <w:sz w:val="44"/>
          <w:szCs w:val="44"/>
        </w:rPr>
      </w:pPr>
      <w:bookmarkStart w:id="55" w:name="_Toc15396614"/>
      <w:bookmarkStart w:id="56" w:name="_Toc15377226"/>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55"/>
    </w:p>
    <w:p>
      <w:pPr>
        <w:spacing w:line="600" w:lineRule="exact"/>
        <w:jc w:val="center"/>
        <w:outlineLvl w:val="0"/>
        <w:rPr>
          <w:rStyle w:val="24"/>
        </w:rPr>
      </w:pPr>
    </w:p>
    <w:p>
      <w:pPr>
        <w:pStyle w:val="3"/>
        <w:rPr>
          <w:rStyle w:val="24"/>
          <w:rFonts w:ascii="仿宋" w:hAnsi="仿宋" w:eastAsia="仿宋"/>
          <w:b w:val="0"/>
          <w:bCs w:val="0"/>
          <w:sz w:val="32"/>
          <w:szCs w:val="32"/>
        </w:rPr>
      </w:pPr>
      <w:bookmarkStart w:id="57" w:name="_Toc15396615"/>
      <w:r>
        <w:rPr>
          <w:rStyle w:val="24"/>
          <w:rFonts w:hint="eastAsia" w:ascii="仿宋" w:hAnsi="仿宋" w:eastAsia="仿宋"/>
          <w:b w:val="0"/>
          <w:bCs w:val="0"/>
          <w:sz w:val="32"/>
          <w:szCs w:val="32"/>
        </w:rPr>
        <w:t>附件1</w:t>
      </w:r>
      <w:bookmarkEnd w:id="57"/>
    </w:p>
    <w:p>
      <w:pPr>
        <w:spacing w:line="600" w:lineRule="exact"/>
        <w:jc w:val="center"/>
        <w:outlineLvl w:val="0"/>
        <w:rPr>
          <w:rFonts w:ascii="黑体" w:hAnsi="黑体" w:eastAsia="黑体" w:cs="方正小标宋简体"/>
          <w:sz w:val="36"/>
          <w:szCs w:val="36"/>
        </w:rPr>
      </w:pPr>
      <w:bookmarkStart w:id="58" w:name="_Toc15396616"/>
      <w:r>
        <w:rPr>
          <w:rFonts w:hint="eastAsia" w:ascii="黑体" w:hAnsi="黑体" w:eastAsia="黑体" w:cs="方正小标宋简体"/>
          <w:sz w:val="36"/>
          <w:szCs w:val="36"/>
        </w:rPr>
        <w:t>利州区委宣传部2018年部门整体支出</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绩效评价报告</w:t>
      </w:r>
      <w:bookmarkEnd w:id="58"/>
    </w:p>
    <w:p>
      <w:pPr>
        <w:spacing w:line="580" w:lineRule="exact"/>
        <w:ind w:firstLine="640" w:firstLineChars="200"/>
        <w:rPr>
          <w:rFonts w:ascii="黑体" w:hAnsi="黑体" w:eastAsia="黑体" w:cs="黑体"/>
          <w:sz w:val="32"/>
          <w:szCs w:val="32"/>
        </w:rPr>
      </w:pPr>
    </w:p>
    <w:p>
      <w:pPr>
        <w:spacing w:line="580" w:lineRule="exact"/>
        <w:ind w:firstLine="960" w:firstLineChars="300"/>
        <w:rPr>
          <w:rFonts w:ascii="黑体" w:hAnsi="黑体" w:eastAsia="黑体" w:cs="黑体"/>
          <w:sz w:val="32"/>
          <w:szCs w:val="32"/>
        </w:rPr>
      </w:pPr>
      <w:r>
        <w:rPr>
          <w:rFonts w:hint="eastAsia" w:ascii="黑体" w:hAnsi="黑体" w:eastAsia="黑体" w:cs="黑体"/>
          <w:sz w:val="32"/>
          <w:szCs w:val="32"/>
        </w:rPr>
        <w:t>一、单位概况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r>
        <w:rPr>
          <w:rFonts w:hint="eastAsia" w:ascii="仿宋" w:hAnsi="仿宋" w:eastAsia="仿宋"/>
          <w:sz w:val="32"/>
          <w:szCs w:val="32"/>
        </w:rPr>
        <w:t>中共广元市利州区委宣传部含区文明办、区外宣中心、区作协、区文联、区社科联、区网信办等部门。</w:t>
      </w:r>
    </w:p>
    <w:p>
      <w:pPr>
        <w:ind w:firstLine="640" w:firstLineChars="200"/>
        <w:rPr>
          <w:rFonts w:ascii="仿宋" w:hAnsi="仿宋" w:eastAsia="仿宋" w:cs="仿宋"/>
          <w:color w:val="000000"/>
          <w:sz w:val="30"/>
          <w:szCs w:val="30"/>
        </w:rPr>
      </w:pPr>
      <w:r>
        <w:rPr>
          <w:rFonts w:ascii="仿宋" w:hAnsi="仿宋" w:eastAsia="仿宋" w:cs="仿宋_GB2312"/>
          <w:sz w:val="32"/>
          <w:szCs w:val="32"/>
        </w:rPr>
        <w:t>（二）机构职能。</w:t>
      </w:r>
      <w:r>
        <w:rPr>
          <w:rFonts w:hint="eastAsia" w:ascii="仿宋" w:hAnsi="仿宋" w:eastAsia="仿宋" w:cs="仿宋"/>
          <w:color w:val="000000"/>
          <w:sz w:val="30"/>
          <w:szCs w:val="30"/>
        </w:rPr>
        <w:t>负责规划、部署全区宣传思想政治工作；理论教育、研究、宣传、队伍建设的日常工作；区委中心组学习的有关服务；指导管理科技党委中心组学习、全区性重大宣传活动；全区新闻舆论导向和新闻队伍建设，指导新闻战线的业务工作和组织重大新闻的报道；负责归口单位干部的考察、推荐、管理、党建工作；负责制定社会主义建设规划、创建活动；新闻报道等工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r>
        <w:rPr>
          <w:rFonts w:hint="eastAsia" w:ascii="仿宋" w:hAnsi="仿宋" w:eastAsia="仿宋" w:cs="仿宋"/>
          <w:sz w:val="30"/>
          <w:szCs w:val="30"/>
        </w:rPr>
        <w:t>中共广元市利州区委宣传部总编制38名，其中行政编制14名(含工勤人员1名），事业编制24名。在职人员总数37人，其中公务员15，事业人员21人，工勤人员1人。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600" w:lineRule="exact"/>
        <w:ind w:firstLine="640" w:firstLineChars="200"/>
        <w:outlineLvl w:val="1"/>
        <w:rPr>
          <w:rFonts w:ascii="仿宋" w:hAnsi="仿宋" w:eastAsia="仿宋"/>
          <w:color w:val="000000"/>
          <w:sz w:val="32"/>
          <w:szCs w:val="32"/>
        </w:rPr>
      </w:pPr>
      <w:r>
        <w:rPr>
          <w:rFonts w:ascii="仿宋" w:hAnsi="仿宋" w:eastAsia="仿宋" w:cs="仿宋_GB2312"/>
          <w:sz w:val="32"/>
          <w:szCs w:val="32"/>
        </w:rPr>
        <w:t>（一）部门财政资金收入情况。</w:t>
      </w:r>
      <w:r>
        <w:rPr>
          <w:rFonts w:ascii="仿宋" w:hAnsi="仿宋" w:eastAsia="仿宋"/>
          <w:color w:val="000000"/>
          <w:sz w:val="32"/>
          <w:szCs w:val="32"/>
        </w:rPr>
        <w:t>201</w:t>
      </w:r>
      <w:r>
        <w:rPr>
          <w:rFonts w:hint="eastAsia" w:ascii="仿宋" w:hAnsi="仿宋" w:eastAsia="仿宋"/>
          <w:color w:val="000000"/>
          <w:sz w:val="32"/>
          <w:szCs w:val="32"/>
        </w:rPr>
        <w:t>8年本年收入合计569.86万元，其中：一般公共预算财政拨款收入569.86万元，占100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shd w:val="pct10" w:color="auto" w:fill="FFFFFF"/>
        </w:rPr>
      </w:pPr>
      <w:r>
        <w:rPr>
          <w:rFonts w:ascii="仿宋" w:hAnsi="仿宋" w:eastAsia="仿宋" w:cs="仿宋_GB2312"/>
          <w:sz w:val="32"/>
          <w:szCs w:val="32"/>
        </w:rPr>
        <w:t>（二）部门财政资金支出情况。</w:t>
      </w:r>
      <w:r>
        <w:rPr>
          <w:rFonts w:ascii="仿宋" w:hAnsi="仿宋" w:eastAsia="仿宋"/>
          <w:color w:val="000000"/>
          <w:sz w:val="32"/>
          <w:szCs w:val="32"/>
        </w:rPr>
        <w:t>201</w:t>
      </w:r>
      <w:r>
        <w:rPr>
          <w:rFonts w:hint="eastAsia" w:ascii="仿宋" w:hAnsi="仿宋" w:eastAsia="仿宋"/>
          <w:color w:val="000000"/>
          <w:sz w:val="32"/>
          <w:szCs w:val="32"/>
        </w:rPr>
        <w:t>8年本年支出合计590.34万元，其中：基本支出499.14万元，占84.55</w:t>
      </w:r>
      <w:r>
        <w:rPr>
          <w:rFonts w:ascii="仿宋" w:hAnsi="仿宋" w:eastAsia="仿宋"/>
          <w:color w:val="000000"/>
          <w:sz w:val="32"/>
          <w:szCs w:val="32"/>
        </w:rPr>
        <w:t>%</w:t>
      </w:r>
      <w:r>
        <w:rPr>
          <w:rFonts w:hint="eastAsia" w:ascii="仿宋" w:hAnsi="仿宋" w:eastAsia="仿宋"/>
          <w:color w:val="000000"/>
          <w:sz w:val="32"/>
          <w:szCs w:val="32"/>
        </w:rPr>
        <w:t>；项目支出91.2万元，占15.45</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580" w:lineRule="exact"/>
        <w:ind w:firstLine="640" w:firstLineChars="200"/>
        <w:rPr>
          <w:rFonts w:ascii="仿宋" w:hAnsi="仿宋" w:eastAsia="仿宋" w:cs="仿宋_GB2312"/>
          <w:sz w:val="32"/>
          <w:szCs w:val="32"/>
        </w:rPr>
      </w:pPr>
    </w:p>
    <w:p>
      <w:pPr>
        <w:numPr>
          <w:ilvl w:val="0"/>
          <w:numId w:val="1"/>
        </w:numPr>
        <w:rPr>
          <w:rFonts w:ascii="仿宋" w:hAnsi="仿宋" w:eastAsia="仿宋"/>
          <w:color w:val="000000"/>
          <w:sz w:val="32"/>
          <w:szCs w:val="32"/>
        </w:rPr>
      </w:pPr>
      <w:bookmarkStart w:id="59" w:name="_Toc15396617"/>
      <w:r>
        <w:rPr>
          <w:rFonts w:hint="eastAsia" w:ascii="仿宋" w:hAnsi="仿宋" w:eastAsia="仿宋" w:cs="仿宋"/>
          <w:b/>
          <w:bCs/>
          <w:sz w:val="32"/>
          <w:szCs w:val="32"/>
        </w:rPr>
        <w:t>部门整体预算绩效管理情况</w:t>
      </w:r>
    </w:p>
    <w:p>
      <w:pPr>
        <w:numPr>
          <w:ilvl w:val="0"/>
          <w:numId w:val="0"/>
        </w:numPr>
        <w:rPr>
          <w:rFonts w:ascii="仿宋" w:hAnsi="仿宋" w:eastAsia="仿宋"/>
          <w:color w:val="000000"/>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（一）部门预算管理</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sz w:val="32"/>
          <w:szCs w:val="32"/>
          <w:lang w:eastAsia="zh-CN"/>
        </w:rPr>
        <w:t>区委宣传部</w:t>
      </w:r>
      <w:r>
        <w:rPr>
          <w:rFonts w:hint="eastAsia" w:ascii="仿宋" w:hAnsi="仿宋" w:eastAsia="仿宋" w:cs="仿宋"/>
          <w:sz w:val="32"/>
          <w:szCs w:val="32"/>
        </w:rPr>
        <w:t>成立了以常务副部长为组长、各部门负责人为成员的绩效管理领导小组。年初制定相应的科室绩效目标，分阶段进行相应的对照检查，确保目标的完成。严格按规定，根据实际需要编制预算，各项支出厉行节约，采取先申请后实施的方法，坚决杜绝超预算支出。全年预算支出完成率达100%，主要由于</w:t>
      </w:r>
      <w:r>
        <w:rPr>
          <w:rFonts w:hint="eastAsia" w:ascii="仿宋" w:hAnsi="仿宋" w:eastAsia="仿宋"/>
          <w:color w:val="000000"/>
          <w:sz w:val="32"/>
          <w:szCs w:val="32"/>
        </w:rPr>
        <w:t>增加财政供养人员及目标奖励金增加标准及基本工资调整标准等。</w:t>
      </w:r>
    </w:p>
    <w:p>
      <w:pPr>
        <w:ind w:firstLine="640" w:firstLineChars="200"/>
        <w:rPr>
          <w:rFonts w:ascii="仿宋" w:hAnsi="仿宋" w:eastAsia="仿宋" w:cs="仿宋"/>
          <w:sz w:val="32"/>
          <w:szCs w:val="32"/>
        </w:rPr>
      </w:pPr>
      <w:r>
        <w:rPr>
          <w:rFonts w:hint="eastAsia" w:ascii="仿宋" w:hAnsi="仿宋" w:eastAsia="仿宋" w:cs="仿宋"/>
          <w:sz w:val="32"/>
          <w:szCs w:val="32"/>
        </w:rPr>
        <w:t>（二）专项预算管理</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sz w:val="32"/>
          <w:szCs w:val="32"/>
          <w:lang w:eastAsia="zh-CN"/>
        </w:rPr>
        <w:t>区委宣传部</w:t>
      </w:r>
      <w:r>
        <w:rPr>
          <w:rFonts w:hint="eastAsia" w:ascii="仿宋" w:hAnsi="仿宋" w:eastAsia="仿宋" w:cs="仿宋"/>
          <w:sz w:val="32"/>
          <w:szCs w:val="32"/>
        </w:rPr>
        <w:t>在项目管理实施时先制定工作计划、明确责任领导和具体负责人等，严格项目绩效评估，根据工作进度进行资金拨付使用。全年无违纪违规现象发生。</w:t>
      </w:r>
      <w:r>
        <w:rPr>
          <w:rFonts w:hint="eastAsia" w:ascii="仿宋" w:hAnsi="仿宋" w:eastAsia="仿宋" w:cs="仿宋"/>
          <w:sz w:val="32"/>
          <w:szCs w:val="32"/>
        </w:rPr>
        <w:br w:type="textWrapping"/>
      </w:r>
      <w:r>
        <w:rPr>
          <w:rFonts w:hint="eastAsia" w:ascii="仿宋" w:hAnsi="仿宋" w:eastAsia="仿宋" w:cs="仿宋"/>
          <w:sz w:val="32"/>
          <w:szCs w:val="32"/>
        </w:rPr>
        <w:t xml:space="preserve">    （三）结果应用情况</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sz w:val="32"/>
          <w:szCs w:val="32"/>
          <w:lang w:eastAsia="zh-CN"/>
        </w:rPr>
        <w:t>区委宣传部</w:t>
      </w:r>
      <w:r>
        <w:rPr>
          <w:rFonts w:hint="eastAsia" w:ascii="仿宋" w:hAnsi="仿宋" w:eastAsia="仿宋" w:cs="仿宋"/>
          <w:sz w:val="32"/>
          <w:szCs w:val="32"/>
        </w:rPr>
        <w:t>整体预算管理情况良好，各种资金使用合理合规，公开公正，无徇私舞弊。全年围绕协助区委推进全面从严治党、加强党风建设和组织协调全区宣传工作，圆满完成各项目标任务。</w:t>
      </w:r>
      <w:r>
        <w:rPr>
          <w:rFonts w:hint="eastAsia" w:ascii="仿宋" w:hAnsi="仿宋" w:eastAsia="仿宋" w:cs="仿宋"/>
          <w:sz w:val="32"/>
          <w:szCs w:val="32"/>
        </w:rPr>
        <w:br w:type="textWrapping"/>
      </w:r>
      <w:r>
        <w:rPr>
          <w:rFonts w:hint="eastAsia" w:ascii="仿宋" w:hAnsi="仿宋" w:eastAsia="仿宋" w:cs="仿宋"/>
          <w:sz w:val="32"/>
          <w:szCs w:val="32"/>
        </w:rPr>
        <w:t xml:space="preserve">     四、评价结论及建议</w:t>
      </w:r>
      <w:r>
        <w:rPr>
          <w:rFonts w:hint="eastAsia" w:ascii="仿宋" w:hAnsi="仿宋" w:eastAsia="仿宋" w:cs="仿宋"/>
          <w:sz w:val="32"/>
          <w:szCs w:val="32"/>
        </w:rPr>
        <w:br w:type="textWrapping"/>
      </w:r>
      <w:r>
        <w:rPr>
          <w:rFonts w:hint="eastAsia" w:ascii="仿宋" w:hAnsi="仿宋" w:eastAsia="仿宋" w:cs="仿宋"/>
          <w:sz w:val="32"/>
          <w:szCs w:val="32"/>
        </w:rPr>
        <w:t xml:space="preserve">    （一）评价结论：2018年</w:t>
      </w:r>
      <w:r>
        <w:rPr>
          <w:rFonts w:hint="eastAsia" w:ascii="仿宋" w:hAnsi="仿宋" w:eastAsia="仿宋" w:cs="仿宋"/>
          <w:sz w:val="32"/>
          <w:szCs w:val="32"/>
          <w:lang w:eastAsia="zh-CN"/>
        </w:rPr>
        <w:t>区委宣传部</w:t>
      </w:r>
      <w:r>
        <w:rPr>
          <w:rFonts w:hint="eastAsia" w:ascii="仿宋" w:hAnsi="仿宋" w:eastAsia="仿宋" w:cs="仿宋"/>
          <w:sz w:val="32"/>
          <w:szCs w:val="32"/>
        </w:rPr>
        <w:t>在区委的领导下，在市委宣传部的指导下，顺利完成了各项目标任务，通过绩效目标考核，并取得优异成绩。</w:t>
      </w:r>
      <w:r>
        <w:rPr>
          <w:rFonts w:hint="eastAsia" w:ascii="仿宋" w:hAnsi="仿宋" w:eastAsia="仿宋" w:cs="仿宋"/>
          <w:sz w:val="32"/>
          <w:szCs w:val="32"/>
        </w:rPr>
        <w:br w:type="textWrapping"/>
      </w:r>
      <w:r>
        <w:rPr>
          <w:rFonts w:hint="eastAsia" w:ascii="仿宋" w:hAnsi="仿宋" w:eastAsia="仿宋" w:cs="仿宋"/>
          <w:sz w:val="32"/>
          <w:szCs w:val="32"/>
        </w:rPr>
        <w:t xml:space="preserve">   （二）存在问题：全年在资金安排和使用上，还存在不及时、不规范的现象。</w:t>
      </w:r>
      <w:r>
        <w:rPr>
          <w:rFonts w:hint="eastAsia" w:ascii="仿宋" w:hAnsi="仿宋" w:eastAsia="仿宋" w:cs="仿宋"/>
          <w:sz w:val="32"/>
          <w:szCs w:val="32"/>
        </w:rPr>
        <w:br w:type="textWrapping"/>
      </w:r>
      <w:r>
        <w:rPr>
          <w:rFonts w:hint="eastAsia" w:ascii="仿宋" w:hAnsi="仿宋" w:eastAsia="仿宋" w:cs="仿宋"/>
          <w:sz w:val="32"/>
          <w:szCs w:val="32"/>
        </w:rPr>
        <w:t xml:space="preserve">   （三）改进建议：一是加强制度建设，健全财务管理制度，严格资金审批程序，加大资金监管力，提高资金使用效益。严格落实资金使用用途，确保无违纪违行为发生；二是加强财务人员法规政策的学习，重点学习与业务工作有关的法规政策并熟悉掌握，不断提高业务水平。</w:t>
      </w:r>
    </w:p>
    <w:p>
      <w:pPr>
        <w:spacing w:line="576" w:lineRule="exact"/>
        <w:jc w:val="left"/>
        <w:rPr>
          <w:rStyle w:val="24"/>
          <w:rFonts w:ascii="仿宋" w:hAnsi="仿宋" w:eastAsia="仿宋"/>
          <w:b w:val="0"/>
          <w:bCs w:val="0"/>
          <w:sz w:val="32"/>
          <w:szCs w:val="32"/>
        </w:rPr>
      </w:pPr>
    </w:p>
    <w:p>
      <w:pPr>
        <w:spacing w:line="576" w:lineRule="exact"/>
        <w:jc w:val="left"/>
        <w:rPr>
          <w:rStyle w:val="24"/>
          <w:rFonts w:ascii="仿宋" w:hAnsi="仿宋" w:eastAsia="仿宋"/>
          <w:b w:val="0"/>
          <w:bCs w:val="0"/>
          <w:sz w:val="32"/>
          <w:szCs w:val="32"/>
        </w:rPr>
      </w:pPr>
    </w:p>
    <w:p>
      <w:pPr>
        <w:spacing w:line="576" w:lineRule="exact"/>
        <w:jc w:val="left"/>
        <w:rPr>
          <w:rStyle w:val="24"/>
          <w:rFonts w:ascii="仿宋" w:hAnsi="仿宋" w:eastAsia="仿宋"/>
          <w:b w:val="0"/>
          <w:bCs w:val="0"/>
          <w:sz w:val="32"/>
          <w:szCs w:val="32"/>
        </w:rPr>
      </w:pPr>
    </w:p>
    <w:p>
      <w:pPr>
        <w:spacing w:line="576" w:lineRule="exact"/>
        <w:jc w:val="left"/>
        <w:rPr>
          <w:rStyle w:val="24"/>
          <w:rFonts w:hint="eastAsia" w:ascii="仿宋" w:hAnsi="仿宋" w:eastAsia="仿宋"/>
          <w:b w:val="0"/>
          <w:bCs w:val="0"/>
          <w:sz w:val="32"/>
          <w:szCs w:val="32"/>
        </w:rPr>
      </w:pPr>
    </w:p>
    <w:p>
      <w:pPr>
        <w:spacing w:line="576" w:lineRule="exact"/>
        <w:jc w:val="left"/>
        <w:rPr>
          <w:rStyle w:val="24"/>
          <w:rFonts w:ascii="仿宋" w:hAnsi="仿宋" w:eastAsia="仿宋"/>
          <w:b w:val="0"/>
          <w:bCs w:val="0"/>
          <w:sz w:val="32"/>
          <w:szCs w:val="32"/>
        </w:rPr>
      </w:pPr>
      <w:r>
        <w:rPr>
          <w:rStyle w:val="24"/>
          <w:rFonts w:hint="eastAsia" w:ascii="仿宋" w:hAnsi="仿宋" w:eastAsia="仿宋"/>
          <w:b w:val="0"/>
          <w:bCs w:val="0"/>
          <w:sz w:val="32"/>
          <w:szCs w:val="32"/>
        </w:rPr>
        <w:t>附件2</w:t>
      </w:r>
      <w:bookmarkEnd w:id="59"/>
    </w:p>
    <w:p>
      <w:pPr>
        <w:spacing w:line="576" w:lineRule="exact"/>
        <w:jc w:val="center"/>
        <w:rPr>
          <w:rFonts w:ascii="方正小标宋简体" w:hAnsi="方正大标宋简体" w:eastAsia="方正小标宋简体"/>
          <w:sz w:val="44"/>
          <w:szCs w:val="44"/>
        </w:rPr>
      </w:pPr>
    </w:p>
    <w:p>
      <w:pPr>
        <w:spacing w:line="576" w:lineRule="exact"/>
        <w:jc w:val="center"/>
        <w:rPr>
          <w:rFonts w:ascii="方正小标宋简体" w:hAnsi="方正大标宋简体" w:eastAsia="方正小标宋简体"/>
          <w:sz w:val="44"/>
          <w:szCs w:val="44"/>
        </w:rPr>
      </w:pPr>
      <w:r>
        <w:rPr>
          <w:rFonts w:ascii="方正小标宋简体" w:hAnsi="方正大标宋简体" w:eastAsia="方正小标宋简体"/>
          <w:sz w:val="44"/>
          <w:szCs w:val="44"/>
        </w:rPr>
        <w:t>2018</w:t>
      </w:r>
      <w:r>
        <w:rPr>
          <w:rFonts w:hint="eastAsia" w:ascii="方正小标宋简体" w:hAnsi="方正大标宋简体" w:eastAsia="方正小标宋简体"/>
          <w:sz w:val="44"/>
          <w:szCs w:val="44"/>
        </w:rPr>
        <w:t>年</w:t>
      </w:r>
      <w:r>
        <w:rPr>
          <w:rFonts w:ascii="方正小标宋简体" w:hAnsi="方正大标宋简体" w:eastAsia="方正小标宋简体"/>
          <w:sz w:val="44"/>
          <w:szCs w:val="44"/>
        </w:rPr>
        <w:t>廊桥脱贫摘帽成效图片展</w:t>
      </w:r>
      <w:r>
        <w:rPr>
          <w:rFonts w:hint="eastAsia" w:ascii="方正小标宋简体" w:hAnsi="方正大标宋简体" w:eastAsia="方正小标宋简体"/>
          <w:sz w:val="44"/>
          <w:szCs w:val="44"/>
        </w:rPr>
        <w:t>项目支出绩效评价报告</w:t>
      </w:r>
    </w:p>
    <w:p>
      <w:pPr>
        <w:spacing w:line="520" w:lineRule="exact"/>
        <w:ind w:left="-105" w:leftChars="-50" w:right="-105" w:rightChars="-50" w:firstLine="560" w:firstLineChars="200"/>
        <w:rPr>
          <w:rFonts w:ascii="宋体" w:hAnsi="宋体"/>
          <w:sz w:val="28"/>
          <w:szCs w:val="28"/>
        </w:rPr>
      </w:pPr>
    </w:p>
    <w:p>
      <w:pPr>
        <w:spacing w:line="576" w:lineRule="exact"/>
        <w:ind w:firstLine="645"/>
        <w:rPr>
          <w:rFonts w:ascii="方正黑体简体" w:eastAsia="方正黑体简体"/>
          <w:sz w:val="32"/>
          <w:szCs w:val="32"/>
        </w:rPr>
      </w:pPr>
      <w:r>
        <w:rPr>
          <w:rFonts w:hint="eastAsia" w:ascii="方正黑体简体" w:eastAsia="方正黑体简体"/>
          <w:sz w:val="32"/>
          <w:szCs w:val="32"/>
        </w:rPr>
        <w:t>一、评价工作开展及项目情况</w:t>
      </w:r>
    </w:p>
    <w:p>
      <w:pPr>
        <w:spacing w:line="550" w:lineRule="exact"/>
        <w:ind w:firstLine="645"/>
        <w:rPr>
          <w:rFonts w:ascii="方正楷体简体" w:hAnsi="仿宋_GB2312" w:eastAsia="方正楷体简体"/>
          <w:sz w:val="32"/>
          <w:szCs w:val="32"/>
        </w:rPr>
      </w:pPr>
      <w:r>
        <w:rPr>
          <w:rFonts w:hint="eastAsia" w:ascii="方正楷体简体" w:hAnsi="仿宋_GB2312" w:eastAsia="方正楷体简体"/>
          <w:sz w:val="32"/>
          <w:szCs w:val="32"/>
        </w:rPr>
        <w:t>（一）项目选点</w:t>
      </w:r>
    </w:p>
    <w:p>
      <w:pPr>
        <w:spacing w:line="520" w:lineRule="exact"/>
        <w:ind w:left="-105" w:leftChars="-50" w:right="-105" w:rightChars="-50" w:firstLine="640" w:firstLineChars="200"/>
        <w:rPr>
          <w:rFonts w:ascii="方正仿宋简体" w:eastAsia="方正仿宋简体"/>
          <w:sz w:val="32"/>
          <w:szCs w:val="32"/>
        </w:rPr>
      </w:pPr>
      <w:r>
        <w:rPr>
          <w:rFonts w:hint="eastAsia" w:ascii="方正仿宋简体" w:eastAsia="方正仿宋简体"/>
          <w:sz w:val="32"/>
          <w:szCs w:val="32"/>
        </w:rPr>
        <w:t>按照区委、区政府领导指示，在栖凤廊桥做</w:t>
      </w:r>
      <w:r>
        <w:rPr>
          <w:rFonts w:ascii="方正仿宋简体" w:eastAsia="方正仿宋简体"/>
          <w:sz w:val="32"/>
          <w:szCs w:val="32"/>
        </w:rPr>
        <w:t>脱贫摘帽成效图片展</w:t>
      </w:r>
      <w:r>
        <w:rPr>
          <w:rFonts w:hint="eastAsia" w:ascii="方正仿宋简体" w:eastAsia="方正仿宋简体"/>
          <w:sz w:val="32"/>
          <w:szCs w:val="32"/>
        </w:rPr>
        <w:t>。一是全面展示利州脱贫攻坚成就，二是营造春节喜庆祥和氛围。</w:t>
      </w:r>
    </w:p>
    <w:p>
      <w:pPr>
        <w:spacing w:line="550" w:lineRule="exact"/>
        <w:ind w:firstLine="645"/>
        <w:rPr>
          <w:rFonts w:ascii="方正楷体简体" w:hAnsi="仿宋_GB2312" w:eastAsia="方正楷体简体"/>
          <w:sz w:val="32"/>
          <w:szCs w:val="32"/>
        </w:rPr>
      </w:pPr>
      <w:r>
        <w:rPr>
          <w:rFonts w:hint="eastAsia" w:ascii="方正楷体简体" w:hAnsi="仿宋_GB2312" w:eastAsia="方正楷体简体"/>
          <w:sz w:val="32"/>
          <w:szCs w:val="32"/>
        </w:rPr>
        <w:t>（二）绩效评价指标体系</w:t>
      </w:r>
    </w:p>
    <w:p>
      <w:pPr>
        <w:spacing w:line="520" w:lineRule="exact"/>
        <w:ind w:left="-105" w:leftChars="-50" w:right="-105" w:rightChars="-50" w:firstLine="640" w:firstLineChars="200"/>
        <w:rPr>
          <w:rFonts w:ascii="方正仿宋简体" w:eastAsia="方正仿宋简体"/>
          <w:sz w:val="32"/>
          <w:szCs w:val="32"/>
        </w:rPr>
      </w:pPr>
      <w:r>
        <w:rPr>
          <w:rFonts w:hint="eastAsia" w:ascii="方正仿宋简体" w:eastAsia="方正仿宋简体"/>
          <w:sz w:val="32"/>
          <w:szCs w:val="32"/>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w:t>
      </w:r>
    </w:p>
    <w:p>
      <w:pPr>
        <w:spacing w:line="520" w:lineRule="exact"/>
        <w:ind w:left="-105" w:leftChars="-50" w:right="-105" w:rightChars="-50" w:firstLine="640" w:firstLineChars="200"/>
        <w:rPr>
          <w:rFonts w:ascii="方正仿宋简体" w:eastAsia="方正仿宋简体"/>
          <w:sz w:val="32"/>
          <w:szCs w:val="32"/>
        </w:rPr>
      </w:pPr>
      <w:r>
        <w:rPr>
          <w:rFonts w:hint="eastAsia" w:ascii="方正仿宋简体" w:eastAsia="方正仿宋简体"/>
          <w:sz w:val="32"/>
          <w:szCs w:val="32"/>
        </w:rPr>
        <w:t>被评价项目绩效评价指标体系设置三个一级指标、八个二级指标。</w:t>
      </w:r>
    </w:p>
    <w:p>
      <w:pPr>
        <w:spacing w:line="520" w:lineRule="exact"/>
        <w:ind w:left="-105" w:leftChars="-50" w:right="-105" w:rightChars="-50" w:firstLine="640" w:firstLineChars="200"/>
        <w:rPr>
          <w:rFonts w:ascii="方正仿宋简体" w:eastAsia="方正仿宋简体"/>
          <w:sz w:val="32"/>
          <w:szCs w:val="32"/>
        </w:rPr>
      </w:pPr>
      <w:r>
        <w:rPr>
          <w:rFonts w:hint="eastAsia" w:ascii="方正仿宋简体" w:eastAsia="方正仿宋简体"/>
          <w:sz w:val="32"/>
          <w:szCs w:val="32"/>
        </w:rPr>
        <w:t>（</w:t>
      </w:r>
      <w:r>
        <w:rPr>
          <w:rFonts w:ascii="方正仿宋简体" w:eastAsia="方正仿宋简体"/>
          <w:sz w:val="32"/>
          <w:szCs w:val="32"/>
        </w:rPr>
        <w:t>1</w:t>
      </w:r>
      <w:r>
        <w:rPr>
          <w:rFonts w:hint="eastAsia" w:ascii="方正仿宋简体" w:eastAsia="方正仿宋简体"/>
          <w:sz w:val="32"/>
          <w:szCs w:val="32"/>
        </w:rPr>
        <w:t>）一级指标：项目设置项目完成、项目效益、满意度指标三个。</w:t>
      </w:r>
    </w:p>
    <w:p>
      <w:pPr>
        <w:spacing w:line="520" w:lineRule="exact"/>
        <w:ind w:left="-105" w:leftChars="-50" w:right="-105" w:rightChars="-50" w:firstLine="640" w:firstLineChars="200"/>
        <w:rPr>
          <w:rFonts w:ascii="方正仿宋简体" w:eastAsia="方正仿宋简体"/>
          <w:sz w:val="32"/>
          <w:szCs w:val="32"/>
        </w:rPr>
      </w:pPr>
      <w:r>
        <w:rPr>
          <w:rFonts w:hint="eastAsia" w:ascii="方正仿宋简体" w:eastAsia="方正仿宋简体"/>
          <w:sz w:val="32"/>
          <w:szCs w:val="32"/>
        </w:rPr>
        <w:t>（</w:t>
      </w:r>
      <w:r>
        <w:rPr>
          <w:rFonts w:ascii="方正仿宋简体" w:eastAsia="方正仿宋简体"/>
          <w:sz w:val="32"/>
          <w:szCs w:val="32"/>
        </w:rPr>
        <w:t>2</w:t>
      </w:r>
      <w:r>
        <w:rPr>
          <w:rFonts w:hint="eastAsia" w:ascii="方正仿宋简体" w:eastAsia="方正仿宋简体"/>
          <w:sz w:val="32"/>
          <w:szCs w:val="32"/>
        </w:rPr>
        <w:t>）二级指标：项目完成设置数量目标、质量指标、时效指标和成本指标四个，项目效益设置经济效益、社会效益和可持续影响指标三个，满意度指标设置社会满意度指标一个。</w:t>
      </w:r>
    </w:p>
    <w:p>
      <w:pPr>
        <w:spacing w:line="550" w:lineRule="exact"/>
        <w:ind w:firstLine="645"/>
        <w:rPr>
          <w:rFonts w:ascii="方正楷体简体" w:hAnsi="仿宋_GB2312" w:eastAsia="方正楷体简体"/>
          <w:sz w:val="32"/>
          <w:szCs w:val="32"/>
        </w:rPr>
      </w:pPr>
      <w:r>
        <w:rPr>
          <w:rFonts w:hint="eastAsia" w:ascii="方正楷体简体" w:hAnsi="仿宋_GB2312" w:eastAsia="方正楷体简体"/>
          <w:sz w:val="32"/>
          <w:szCs w:val="32"/>
        </w:rPr>
        <w:t>（三）评价标准和评价方法</w:t>
      </w:r>
    </w:p>
    <w:p>
      <w:pPr>
        <w:spacing w:line="520" w:lineRule="exact"/>
        <w:ind w:left="-105" w:leftChars="-50" w:right="-105" w:rightChars="-50" w:firstLine="640" w:firstLineChars="200"/>
        <w:rPr>
          <w:rFonts w:ascii="方正仿宋简体" w:eastAsia="方正仿宋简体"/>
          <w:sz w:val="32"/>
          <w:szCs w:val="32"/>
        </w:rPr>
      </w:pPr>
      <w:r>
        <w:rPr>
          <w:rFonts w:ascii="方正仿宋简体" w:eastAsia="方正仿宋简体"/>
          <w:sz w:val="32"/>
          <w:szCs w:val="32"/>
        </w:rPr>
        <w:t>1.</w:t>
      </w:r>
      <w:r>
        <w:rPr>
          <w:rFonts w:hint="eastAsia" w:ascii="方正仿宋简体" w:eastAsia="方正仿宋简体"/>
          <w:sz w:val="32"/>
          <w:szCs w:val="32"/>
        </w:rPr>
        <w:t>评价标准</w:t>
      </w:r>
    </w:p>
    <w:p>
      <w:pPr>
        <w:spacing w:line="520" w:lineRule="exact"/>
        <w:ind w:left="-105" w:leftChars="-50" w:right="-105" w:rightChars="-50" w:firstLine="640" w:firstLineChars="200"/>
        <w:rPr>
          <w:rFonts w:ascii="方正仿宋简体" w:eastAsia="方正仿宋简体"/>
          <w:sz w:val="32"/>
          <w:szCs w:val="32"/>
        </w:rPr>
      </w:pPr>
      <w:r>
        <w:rPr>
          <w:rFonts w:hint="eastAsia" w:ascii="方正仿宋简体" w:eastAsia="方正仿宋简体"/>
          <w:sz w:val="32"/>
          <w:szCs w:val="32"/>
        </w:rPr>
        <w:t>绩效评价标准是指衡量财政支出绩效目标完成程度的尺度。绩效评价标准具体包括：计划标准、行业标准、历史标准、其他经财政部门确认的标准。</w:t>
      </w:r>
    </w:p>
    <w:p>
      <w:pPr>
        <w:spacing w:line="520" w:lineRule="exact"/>
        <w:ind w:left="-105" w:leftChars="-50" w:right="-105" w:rightChars="-50" w:firstLine="640" w:firstLineChars="200"/>
        <w:rPr>
          <w:rFonts w:ascii="方正仿宋简体" w:eastAsia="方正仿宋简体"/>
          <w:sz w:val="32"/>
          <w:szCs w:val="32"/>
        </w:rPr>
      </w:pPr>
      <w:r>
        <w:rPr>
          <w:rFonts w:ascii="方正仿宋简体" w:eastAsia="方正仿宋简体"/>
          <w:sz w:val="32"/>
          <w:szCs w:val="32"/>
        </w:rPr>
        <w:t>2.</w:t>
      </w:r>
      <w:r>
        <w:rPr>
          <w:rFonts w:hint="eastAsia" w:ascii="方正仿宋简体" w:eastAsia="方正仿宋简体"/>
          <w:sz w:val="32"/>
          <w:szCs w:val="32"/>
        </w:rPr>
        <w:t>评价方法</w:t>
      </w:r>
    </w:p>
    <w:p>
      <w:pPr>
        <w:spacing w:line="520" w:lineRule="exact"/>
        <w:ind w:left="-105" w:leftChars="-50" w:right="-105" w:rightChars="-50" w:firstLine="640" w:firstLineChars="200"/>
        <w:rPr>
          <w:rFonts w:ascii="方正仿宋简体" w:eastAsia="方正仿宋简体"/>
          <w:sz w:val="32"/>
          <w:szCs w:val="32"/>
        </w:rPr>
      </w:pPr>
      <w:r>
        <w:rPr>
          <w:rFonts w:hint="eastAsia" w:ascii="方正仿宋简体" w:eastAsia="方正仿宋简体"/>
          <w:sz w:val="32"/>
          <w:szCs w:val="32"/>
        </w:rPr>
        <w:t>绩效评价方法主要采用成本效益分析法、比较法、因素分析法、最低成本法、公众评判法等。</w:t>
      </w:r>
    </w:p>
    <w:p>
      <w:pPr>
        <w:spacing w:line="520" w:lineRule="exact"/>
        <w:ind w:left="-105" w:leftChars="-50" w:right="-105" w:rightChars="-50" w:firstLine="640" w:firstLineChars="200"/>
        <w:rPr>
          <w:rFonts w:ascii="方正仿宋简体" w:eastAsia="方正仿宋简体"/>
          <w:sz w:val="32"/>
          <w:szCs w:val="32"/>
        </w:rPr>
      </w:pPr>
      <w:r>
        <w:rPr>
          <w:rFonts w:hint="eastAsia" w:ascii="方正仿宋简体" w:eastAsia="方正仿宋简体"/>
          <w:sz w:val="32"/>
          <w:szCs w:val="32"/>
        </w:rPr>
        <w:t>项目评价实施方案情况（包括选点、评价指标、评价方法、基础数据表等情况）</w:t>
      </w:r>
    </w:p>
    <w:p>
      <w:pPr>
        <w:spacing w:line="576" w:lineRule="exact"/>
        <w:ind w:firstLine="645"/>
        <w:rPr>
          <w:rFonts w:ascii="方正黑体简体" w:eastAsia="方正黑体简体"/>
          <w:sz w:val="32"/>
          <w:szCs w:val="32"/>
        </w:rPr>
      </w:pPr>
      <w:r>
        <w:rPr>
          <w:rFonts w:hint="eastAsia" w:ascii="方正黑体简体" w:eastAsia="方正黑体简体"/>
          <w:sz w:val="32"/>
          <w:szCs w:val="32"/>
        </w:rPr>
        <w:t>二、评价结论及绩效分析</w:t>
      </w:r>
    </w:p>
    <w:p>
      <w:pPr>
        <w:spacing w:line="550" w:lineRule="exact"/>
        <w:ind w:firstLine="645"/>
        <w:rPr>
          <w:rFonts w:ascii="方正楷体简体" w:hAnsi="仿宋_GB2312" w:eastAsia="方正楷体简体"/>
          <w:sz w:val="32"/>
          <w:szCs w:val="32"/>
        </w:rPr>
      </w:pPr>
      <w:r>
        <w:rPr>
          <w:rFonts w:hint="eastAsia" w:ascii="方正楷体简体" w:hAnsi="仿宋_GB2312" w:eastAsia="方正楷体简体"/>
          <w:sz w:val="32"/>
          <w:szCs w:val="32"/>
        </w:rPr>
        <w:t>（一）评价结论</w:t>
      </w:r>
    </w:p>
    <w:p>
      <w:pPr>
        <w:spacing w:line="520" w:lineRule="exact"/>
        <w:ind w:left="-105" w:leftChars="-50" w:right="-105" w:rightChars="-50" w:firstLine="640" w:firstLineChars="200"/>
        <w:rPr>
          <w:rFonts w:ascii="方正仿宋简体" w:eastAsia="方正仿宋简体"/>
          <w:sz w:val="32"/>
          <w:szCs w:val="32"/>
        </w:rPr>
      </w:pPr>
      <w:r>
        <w:rPr>
          <w:rFonts w:ascii="方正仿宋简体" w:eastAsia="方正仿宋简体"/>
          <w:sz w:val="32"/>
          <w:szCs w:val="32"/>
        </w:rPr>
        <w:t>2018年栖凤廊桥脱贫摘帽成效图片展经费项目绩效目标完成情况综述</w:t>
      </w:r>
      <w:r>
        <w:rPr>
          <w:rFonts w:hint="eastAsia" w:ascii="方正仿宋简体" w:eastAsia="方正仿宋简体"/>
          <w:sz w:val="32"/>
          <w:szCs w:val="32"/>
        </w:rPr>
        <w:t>：</w:t>
      </w:r>
      <w:r>
        <w:rPr>
          <w:rFonts w:ascii="方正仿宋简体" w:eastAsia="方正仿宋简体"/>
          <w:sz w:val="32"/>
          <w:szCs w:val="32"/>
        </w:rPr>
        <w:t>项目全年预算数20万元，执行数为20万元，完成预算的100%。通过</w:t>
      </w:r>
      <w:r>
        <w:rPr>
          <w:rFonts w:hint="eastAsia" w:ascii="方正仿宋简体" w:eastAsia="方正仿宋简体"/>
          <w:sz w:val="32"/>
          <w:szCs w:val="32"/>
        </w:rPr>
        <w:t>该</w:t>
      </w:r>
      <w:r>
        <w:rPr>
          <w:rFonts w:ascii="方正仿宋简体" w:eastAsia="方正仿宋简体"/>
          <w:sz w:val="32"/>
          <w:szCs w:val="32"/>
        </w:rPr>
        <w:t>项目</w:t>
      </w:r>
      <w:r>
        <w:rPr>
          <w:rFonts w:hint="eastAsia" w:ascii="方正仿宋简体" w:eastAsia="方正仿宋简体"/>
          <w:sz w:val="32"/>
          <w:szCs w:val="32"/>
        </w:rPr>
        <w:t>的</w:t>
      </w:r>
      <w:r>
        <w:rPr>
          <w:rFonts w:ascii="方正仿宋简体" w:eastAsia="方正仿宋简体"/>
          <w:sz w:val="32"/>
          <w:szCs w:val="32"/>
        </w:rPr>
        <w:t>实施，</w:t>
      </w:r>
      <w:r>
        <w:rPr>
          <w:rFonts w:hint="eastAsia" w:ascii="方正仿宋简体" w:eastAsia="方正仿宋简体"/>
          <w:sz w:val="32"/>
          <w:szCs w:val="32"/>
        </w:rPr>
        <w:t>全景展示了我区3年来脱贫攻坚取得的丰硕成就，内容涵盖了基础设施大提升、稳定增收大提速、人居环境大改善、新村建设大升级、公共服务大转型、新风培育大转变、党建引领大发展等脱贫攻坚的方方面面。讲诉了社会各方力量在激情岁月“向贫困宣战”的鲜活故事和生动实践，全景记录了我区率先全面消除绝对贫困的光辉历程和不朽业绩，生动诠释了利州儿女在推动利州精彩嬗变中的英雄气概和磅礴力量，展示着全区55万人民的脱贫精神和战斗基因。</w:t>
      </w:r>
    </w:p>
    <w:p>
      <w:pPr>
        <w:jc w:val="center"/>
        <w:rPr>
          <w:rFonts w:ascii="黑体" w:hAnsi="黑体" w:eastAsia="黑体" w:cs="黑体"/>
          <w:color w:val="000000"/>
          <w:sz w:val="32"/>
          <w:szCs w:val="32"/>
        </w:rPr>
      </w:pPr>
      <w:r>
        <w:rPr>
          <w:rFonts w:hint="eastAsia" w:ascii="黑体" w:hAnsi="黑体" w:eastAsia="黑体" w:cs="黑体"/>
          <w:sz w:val="32"/>
          <w:szCs w:val="32"/>
        </w:rPr>
        <w:t>廊桥脱贫摘帽成效图片展</w:t>
      </w:r>
      <w:r>
        <w:rPr>
          <w:rFonts w:hint="eastAsia" w:ascii="黑体" w:hAnsi="黑体" w:eastAsia="黑体" w:cs="黑体"/>
          <w:color w:val="000000"/>
          <w:sz w:val="32"/>
          <w:szCs w:val="32"/>
        </w:rPr>
        <w:t>项目支出绩效评价得分表</w:t>
      </w:r>
    </w:p>
    <w:tbl>
      <w:tblPr>
        <w:tblStyle w:val="12"/>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113"/>
        <w:gridCol w:w="3535"/>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项目名称</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黑体" w:hAnsi="黑体" w:eastAsia="黑体" w:cs="黑体"/>
                <w:sz w:val="32"/>
                <w:szCs w:val="32"/>
              </w:rPr>
              <w:t>廊桥脱贫摘帽成效图片展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一级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211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二级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三级指标</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分值</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18"/>
                <w:szCs w:val="18"/>
              </w:rPr>
            </w:pPr>
            <w:r>
              <w:rPr>
                <w:rFonts w:hint="eastAsia" w:ascii="宋体" w:hAnsi="宋体"/>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18"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黑体" w:hAnsi="黑体" w:eastAsia="黑体" w:cs="黑体"/>
                <w:color w:val="000000"/>
                <w:kern w:val="0"/>
                <w:sz w:val="24"/>
              </w:rPr>
            </w:pPr>
            <w:r>
              <w:rPr>
                <w:rFonts w:hint="eastAsia" w:ascii="黑体" w:hAnsi="黑体" w:eastAsia="黑体" w:cs="黑体"/>
                <w:color w:val="000000"/>
                <w:kern w:val="0"/>
                <w:sz w:val="24"/>
              </w:rPr>
              <w:t>项目完成指标</w:t>
            </w:r>
          </w:p>
        </w:tc>
        <w:tc>
          <w:tcPr>
            <w:tcW w:w="2113" w:type="dxa"/>
            <w:vMerge w:val="restart"/>
            <w:tcBorders>
              <w:top w:val="nil"/>
              <w:left w:val="nil"/>
              <w:bottom w:val="single" w:color="auto" w:sz="4" w:space="0"/>
              <w:right w:val="single" w:color="auto" w:sz="4" w:space="0"/>
            </w:tcBorders>
            <w:vAlign w:val="center"/>
          </w:tcPr>
          <w:p>
            <w:pPr>
              <w:widowControl/>
              <w:jc w:val="center"/>
              <w:textAlignment w:val="center"/>
              <w:rPr>
                <w:rFonts w:ascii="黑体" w:hAnsi="黑体" w:eastAsia="黑体" w:cs="黑体"/>
                <w:color w:val="000000"/>
                <w:kern w:val="0"/>
                <w:sz w:val="24"/>
              </w:rPr>
            </w:pPr>
            <w:r>
              <w:rPr>
                <w:rFonts w:hint="eastAsia" w:ascii="黑体" w:hAnsi="黑体" w:eastAsia="黑体" w:cs="黑体"/>
                <w:color w:val="000000"/>
                <w:sz w:val="24"/>
              </w:rPr>
              <w:t>数量指标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黑体" w:hAnsi="黑体" w:eastAsia="黑体" w:cs="黑体"/>
                <w:color w:val="000000"/>
                <w:kern w:val="0"/>
                <w:sz w:val="24"/>
              </w:rPr>
            </w:pPr>
            <w:r>
              <w:rPr>
                <w:rFonts w:hint="eastAsia" w:ascii="黑体" w:hAnsi="黑体" w:eastAsia="黑体" w:cs="黑体"/>
                <w:color w:val="000000"/>
                <w:sz w:val="24"/>
              </w:rPr>
              <w:t>常规照片100张，大场景照片11张，航拍照片12张，版面设计224张</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黑体" w:eastAsia="黑体" w:cs="黑体"/>
                <w:color w:val="000000"/>
                <w:kern w:val="0"/>
                <w:sz w:val="24"/>
              </w:rPr>
            </w:pPr>
            <w:r>
              <w:rPr>
                <w:rFonts w:hint="eastAsia" w:ascii="黑体" w:hAnsi="黑体" w:eastAsia="黑体" w:cs="黑体"/>
                <w:color w:val="000000"/>
                <w:kern w:val="0"/>
                <w:sz w:val="24"/>
              </w:rPr>
              <w:t>35</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黑体" w:eastAsia="黑体" w:cs="黑体"/>
                <w:color w:val="000000"/>
                <w:kern w:val="0"/>
                <w:sz w:val="24"/>
              </w:rPr>
            </w:pPr>
            <w:r>
              <w:rPr>
                <w:rFonts w:hint="eastAsia" w:ascii="黑体" w:hAnsi="黑体" w:eastAsia="黑体" w:cs="黑体"/>
                <w:color w:val="000000"/>
                <w:kern w:val="0"/>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黑体"/>
                <w:color w:val="000000"/>
                <w:kern w:val="0"/>
                <w:sz w:val="24"/>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黑体" w:hAnsi="黑体" w:eastAsia="黑体" w:cs="黑体"/>
                <w:color w:val="000000"/>
                <w:kern w:val="0"/>
                <w:sz w:val="24"/>
              </w:rPr>
            </w:pP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黑体" w:eastAsia="黑体" w:cs="黑体"/>
                <w:color w:val="000000"/>
                <w:kern w:val="0"/>
                <w:sz w:val="24"/>
              </w:rPr>
            </w:pPr>
            <w:r>
              <w:rPr>
                <w:rFonts w:hint="eastAsia" w:ascii="黑体" w:hAnsi="黑体" w:eastAsia="黑体" w:cs="黑体"/>
                <w:color w:val="000000"/>
                <w:kern w:val="0"/>
                <w:sz w:val="24"/>
              </w:rPr>
              <w:t>完成质量</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黑体" w:eastAsia="黑体" w:cs="黑体"/>
                <w:color w:val="000000"/>
                <w:kern w:val="0"/>
                <w:sz w:val="24"/>
              </w:rPr>
            </w:pPr>
            <w:r>
              <w:rPr>
                <w:rFonts w:hint="eastAsia" w:ascii="黑体" w:hAnsi="黑体" w:eastAsia="黑体" w:cs="黑体"/>
                <w:color w:val="000000"/>
                <w:kern w:val="0"/>
                <w:sz w:val="24"/>
              </w:rPr>
              <w:t>10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黑体" w:eastAsia="黑体" w:cs="黑体"/>
                <w:color w:val="000000"/>
                <w:kern w:val="0"/>
                <w:sz w:val="24"/>
              </w:rPr>
            </w:pPr>
            <w:r>
              <w:rPr>
                <w:rFonts w:hint="eastAsia" w:ascii="黑体" w:hAnsi="黑体" w:eastAsia="黑体" w:cs="黑体"/>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黑体"/>
                <w:color w:val="000000"/>
                <w:kern w:val="0"/>
                <w:sz w:val="24"/>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黑体" w:hAnsi="黑体" w:eastAsia="黑体" w:cs="黑体"/>
                <w:color w:val="000000"/>
                <w:kern w:val="0"/>
                <w:sz w:val="24"/>
              </w:rPr>
            </w:pP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黑体" w:eastAsia="黑体" w:cs="黑体"/>
                <w:color w:val="000000"/>
                <w:kern w:val="0"/>
                <w:sz w:val="24"/>
              </w:rPr>
            </w:pPr>
            <w:r>
              <w:rPr>
                <w:rFonts w:hint="eastAsia" w:ascii="黑体" w:hAnsi="黑体" w:eastAsia="黑体" w:cs="黑体"/>
                <w:color w:val="000000"/>
                <w:kern w:val="0"/>
                <w:sz w:val="24"/>
              </w:rPr>
              <w:t>完成时效</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黑体" w:eastAsia="黑体" w:cs="黑体"/>
                <w:color w:val="000000"/>
                <w:kern w:val="0"/>
                <w:sz w:val="24"/>
              </w:rPr>
            </w:pPr>
            <w:r>
              <w:rPr>
                <w:rFonts w:hint="eastAsia" w:ascii="黑体" w:hAnsi="黑体" w:eastAsia="黑体" w:cs="黑体"/>
                <w:color w:val="000000"/>
                <w:kern w:val="0"/>
                <w:sz w:val="24"/>
              </w:rPr>
              <w:t>10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黑体" w:eastAsia="黑体" w:cs="黑体"/>
                <w:color w:val="000000"/>
                <w:kern w:val="0"/>
                <w:sz w:val="24"/>
              </w:rPr>
            </w:pPr>
            <w:r>
              <w:rPr>
                <w:rFonts w:hint="eastAsia" w:ascii="黑体" w:hAnsi="黑体" w:eastAsia="黑体" w:cs="黑体"/>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黑体"/>
                <w:color w:val="000000"/>
                <w:kern w:val="0"/>
                <w:sz w:val="24"/>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黑体" w:hAnsi="黑体" w:eastAsia="黑体" w:cs="黑体"/>
                <w:color w:val="000000"/>
                <w:kern w:val="0"/>
                <w:sz w:val="24"/>
              </w:rPr>
            </w:pP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黑体" w:eastAsia="黑体" w:cs="黑体"/>
                <w:color w:val="000000"/>
                <w:kern w:val="0"/>
                <w:sz w:val="24"/>
              </w:rPr>
            </w:pPr>
            <w:r>
              <w:rPr>
                <w:rFonts w:hint="eastAsia" w:ascii="黑体" w:hAnsi="黑体" w:eastAsia="黑体" w:cs="黑体"/>
                <w:color w:val="000000"/>
                <w:kern w:val="0"/>
                <w:sz w:val="24"/>
              </w:rPr>
              <w:t>完成成本</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黑体" w:eastAsia="黑体" w:cs="黑体"/>
                <w:color w:val="000000"/>
                <w:kern w:val="0"/>
                <w:sz w:val="24"/>
              </w:rPr>
            </w:pPr>
            <w:r>
              <w:rPr>
                <w:rFonts w:hint="eastAsia" w:ascii="黑体" w:hAnsi="黑体" w:eastAsia="黑体" w:cs="黑体"/>
                <w:color w:val="000000"/>
                <w:kern w:val="0"/>
                <w:sz w:val="24"/>
              </w:rPr>
              <w:t>5</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黑体" w:eastAsia="黑体" w:cs="黑体"/>
                <w:color w:val="000000"/>
                <w:kern w:val="0"/>
                <w:sz w:val="24"/>
              </w:rPr>
            </w:pPr>
            <w:r>
              <w:rPr>
                <w:rFonts w:hint="eastAsia" w:ascii="黑体" w:hAnsi="黑体" w:eastAsia="黑体" w:cs="黑体"/>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黑体"/>
                <w:color w:val="000000"/>
                <w:kern w:val="0"/>
                <w:sz w:val="24"/>
              </w:rPr>
            </w:pP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黑体" w:hAnsi="黑体" w:eastAsia="黑体" w:cs="黑体"/>
                <w:color w:val="000000"/>
                <w:kern w:val="0"/>
                <w:sz w:val="24"/>
              </w:rPr>
            </w:pPr>
            <w:r>
              <w:rPr>
                <w:rFonts w:hint="eastAsia" w:ascii="黑体" w:hAnsi="黑体" w:eastAsia="黑体" w:cs="黑体"/>
                <w:color w:val="000000"/>
                <w:sz w:val="24"/>
              </w:rPr>
              <w:t>时效指标</w:t>
            </w:r>
          </w:p>
        </w:tc>
        <w:tc>
          <w:tcPr>
            <w:tcW w:w="3535" w:type="dxa"/>
            <w:tcBorders>
              <w:top w:val="single" w:color="auto" w:sz="4" w:space="0"/>
              <w:left w:val="nil"/>
              <w:right w:val="single" w:color="auto" w:sz="4" w:space="0"/>
            </w:tcBorders>
            <w:vAlign w:val="center"/>
          </w:tcPr>
          <w:p>
            <w:pPr>
              <w:widowControl/>
              <w:tabs>
                <w:tab w:val="left" w:pos="533"/>
              </w:tabs>
              <w:jc w:val="center"/>
              <w:textAlignment w:val="center"/>
              <w:rPr>
                <w:rFonts w:ascii="黑体" w:hAnsi="黑体" w:eastAsia="黑体" w:cs="黑体"/>
                <w:color w:val="000000"/>
                <w:kern w:val="0"/>
                <w:sz w:val="24"/>
              </w:rPr>
            </w:pPr>
            <w:r>
              <w:rPr>
                <w:rFonts w:hint="eastAsia" w:ascii="黑体" w:hAnsi="黑体" w:eastAsia="黑体" w:cs="黑体"/>
                <w:color w:val="000000"/>
                <w:sz w:val="24"/>
              </w:rPr>
              <w:t>项目按期完成率</w:t>
            </w:r>
          </w:p>
        </w:tc>
        <w:tc>
          <w:tcPr>
            <w:tcW w:w="1311" w:type="dxa"/>
            <w:tcBorders>
              <w:top w:val="nil"/>
              <w:left w:val="nil"/>
              <w:bottom w:val="single" w:color="auto" w:sz="4" w:space="0"/>
              <w:right w:val="single" w:color="auto" w:sz="4" w:space="0"/>
            </w:tcBorders>
            <w:vAlign w:val="center"/>
          </w:tcPr>
          <w:p>
            <w:pPr>
              <w:widowControl/>
              <w:spacing w:line="260" w:lineRule="exact"/>
              <w:jc w:val="center"/>
              <w:rPr>
                <w:rFonts w:ascii="黑体" w:hAnsi="黑体" w:eastAsia="黑体" w:cs="黑体"/>
                <w:color w:val="000000"/>
                <w:kern w:val="0"/>
                <w:sz w:val="24"/>
              </w:rPr>
            </w:pPr>
            <w:r>
              <w:rPr>
                <w:rFonts w:hint="eastAsia" w:ascii="黑体" w:hAnsi="黑体" w:eastAsia="黑体" w:cs="黑体"/>
                <w:color w:val="000000"/>
                <w:kern w:val="0"/>
                <w:sz w:val="24"/>
              </w:rPr>
              <w:t>20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黑体" w:eastAsia="黑体" w:cs="黑体"/>
                <w:color w:val="000000"/>
                <w:kern w:val="0"/>
                <w:sz w:val="24"/>
              </w:rPr>
            </w:pPr>
            <w:r>
              <w:rPr>
                <w:rFonts w:hint="eastAsia" w:ascii="黑体" w:hAnsi="黑体" w:eastAsia="黑体" w:cs="黑体"/>
                <w:color w:val="000000"/>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18" w:type="dxa"/>
            <w:tcBorders>
              <w:top w:val="nil"/>
              <w:left w:val="single" w:color="auto" w:sz="4" w:space="0"/>
              <w:bottom w:val="single" w:color="auto" w:sz="4" w:space="0"/>
              <w:right w:val="single" w:color="auto" w:sz="4" w:space="0"/>
            </w:tcBorders>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效益指标</w:t>
            </w: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sz w:val="24"/>
              </w:rPr>
              <w:t>社会效益</w:t>
            </w:r>
          </w:p>
          <w:p>
            <w:pPr>
              <w:widowControl/>
              <w:jc w:val="center"/>
              <w:textAlignment w:val="center"/>
              <w:rPr>
                <w:rFonts w:ascii="黑体" w:hAnsi="黑体" w:eastAsia="黑体" w:cs="黑体"/>
                <w:color w:val="000000"/>
                <w:sz w:val="24"/>
              </w:rPr>
            </w:pPr>
            <w:r>
              <w:rPr>
                <w:rFonts w:hint="eastAsia" w:ascii="黑体" w:hAnsi="黑体" w:eastAsia="黑体" w:cs="黑体"/>
                <w:color w:val="000000"/>
                <w:sz w:val="24"/>
              </w:rPr>
              <w:t>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sz w:val="24"/>
              </w:rPr>
              <w:t>提升群众满意度</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黑体" w:eastAsia="黑体" w:cs="黑体"/>
                <w:color w:val="000000"/>
                <w:kern w:val="0"/>
                <w:sz w:val="24"/>
              </w:rPr>
            </w:pPr>
            <w:r>
              <w:rPr>
                <w:rFonts w:hint="eastAsia" w:ascii="黑体" w:hAnsi="黑体" w:eastAsia="黑体" w:cs="黑体"/>
                <w:color w:val="000000"/>
                <w:kern w:val="0"/>
                <w:sz w:val="24"/>
              </w:rPr>
              <w:t>20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黑体" w:hAnsi="黑体" w:eastAsia="黑体" w:cs="黑体"/>
                <w:color w:val="000000"/>
                <w:kern w:val="0"/>
                <w:sz w:val="24"/>
              </w:rPr>
            </w:pPr>
            <w:r>
              <w:rPr>
                <w:rFonts w:hint="eastAsia" w:ascii="黑体" w:hAnsi="黑体" w:eastAsia="黑体" w:cs="黑体"/>
                <w:color w:val="000000"/>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olor w:val="000000"/>
                <w:kern w:val="0"/>
                <w:sz w:val="20"/>
                <w:szCs w:val="20"/>
              </w:rPr>
            </w:pPr>
            <w:r>
              <w:rPr>
                <w:rFonts w:hint="eastAsia" w:ascii="宋体" w:hAnsi="宋体"/>
                <w:color w:val="000000"/>
                <w:kern w:val="0"/>
                <w:sz w:val="20"/>
                <w:szCs w:val="20"/>
              </w:rPr>
              <w:t>总分</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宋体" w:hAnsi="宋体"/>
                <w:color w:val="000000"/>
                <w:kern w:val="0"/>
              </w:rPr>
            </w:pPr>
            <w:r>
              <w:rPr>
                <w:rFonts w:hint="eastAsia" w:ascii="宋体" w:hAnsi="宋体"/>
                <w:color w:val="000000"/>
                <w:kern w:val="0"/>
              </w:rPr>
              <w:t>100</w:t>
            </w:r>
          </w:p>
        </w:tc>
      </w:tr>
    </w:tbl>
    <w:p>
      <w:pPr>
        <w:spacing w:line="580" w:lineRule="exact"/>
        <w:rPr>
          <w:rFonts w:ascii="仿宋" w:hAnsi="仿宋" w:eastAsia="仿宋" w:cs="仿宋_GB2312"/>
          <w:sz w:val="32"/>
          <w:szCs w:val="32"/>
        </w:rPr>
      </w:pPr>
    </w:p>
    <w:p>
      <w:pPr>
        <w:spacing w:line="550" w:lineRule="exact"/>
        <w:ind w:firstLine="645"/>
        <w:rPr>
          <w:rFonts w:ascii="方正楷体简体" w:hAnsi="仿宋_GB2312" w:eastAsia="方正楷体简体"/>
          <w:sz w:val="32"/>
          <w:szCs w:val="32"/>
        </w:rPr>
      </w:pPr>
      <w:r>
        <w:rPr>
          <w:rFonts w:hint="eastAsia" w:ascii="方正楷体简体" w:hAnsi="仿宋_GB2312" w:eastAsia="方正楷体简体"/>
          <w:sz w:val="32"/>
          <w:szCs w:val="32"/>
        </w:rPr>
        <w:t>（二）绩效分析</w:t>
      </w:r>
    </w:p>
    <w:p>
      <w:pPr>
        <w:spacing w:line="520" w:lineRule="exact"/>
        <w:ind w:left="-105" w:leftChars="-50" w:right="-105" w:rightChars="-50" w:firstLine="640" w:firstLineChars="200"/>
        <w:rPr>
          <w:rFonts w:ascii="方正仿宋简体" w:eastAsia="方正仿宋简体"/>
          <w:sz w:val="32"/>
          <w:szCs w:val="32"/>
        </w:rPr>
      </w:pPr>
      <w:r>
        <w:rPr>
          <w:rFonts w:ascii="方正仿宋简体" w:eastAsia="方正仿宋简体"/>
          <w:sz w:val="32"/>
          <w:szCs w:val="32"/>
        </w:rPr>
        <w:t>1</w:t>
      </w:r>
      <w:r>
        <w:rPr>
          <w:rFonts w:hint="eastAsia" w:ascii="方正仿宋简体" w:eastAsia="方正仿宋简体"/>
          <w:sz w:val="32"/>
          <w:szCs w:val="32"/>
        </w:rPr>
        <w:t>、项目决策</w:t>
      </w:r>
    </w:p>
    <w:p>
      <w:pPr>
        <w:spacing w:line="520" w:lineRule="exact"/>
        <w:ind w:left="-105" w:leftChars="-50" w:right="-105" w:rightChars="-50" w:firstLine="640" w:firstLineChars="200"/>
        <w:rPr>
          <w:rFonts w:ascii="方正仿宋简体" w:eastAsia="方正仿宋简体"/>
          <w:sz w:val="32"/>
          <w:szCs w:val="32"/>
        </w:rPr>
      </w:pPr>
      <w:r>
        <w:rPr>
          <w:rFonts w:hint="eastAsia" w:ascii="方正仿宋简体" w:eastAsia="方正仿宋简体"/>
          <w:sz w:val="32"/>
          <w:szCs w:val="32"/>
        </w:rPr>
        <w:t>（</w:t>
      </w:r>
      <w:r>
        <w:rPr>
          <w:rFonts w:ascii="方正仿宋简体" w:eastAsia="方正仿宋简体"/>
          <w:sz w:val="32"/>
          <w:szCs w:val="32"/>
        </w:rPr>
        <w:t>1</w:t>
      </w:r>
      <w:r>
        <w:rPr>
          <w:rFonts w:hint="eastAsia" w:ascii="方正仿宋简体" w:eastAsia="方正仿宋简体"/>
          <w:sz w:val="32"/>
          <w:szCs w:val="32"/>
        </w:rPr>
        <w:t>）必要性：该项目进一步展示利州率先脱贫摘帽，客观讲述利州区向贫困宣战的鲜活故事和生动实践，展现在脱贫这场大考中的利州答卷，全面展示四年多来利州区脱贫攻坚的成果。</w:t>
      </w:r>
    </w:p>
    <w:p>
      <w:pPr>
        <w:spacing w:line="520" w:lineRule="exact"/>
        <w:ind w:left="-105" w:leftChars="-50" w:right="-105" w:rightChars="-50" w:firstLine="640" w:firstLineChars="200"/>
        <w:rPr>
          <w:rFonts w:ascii="方正仿宋简体" w:eastAsia="方正仿宋简体"/>
          <w:sz w:val="32"/>
          <w:szCs w:val="32"/>
        </w:rPr>
      </w:pPr>
      <w:r>
        <w:rPr>
          <w:rFonts w:hint="eastAsia" w:ascii="方正仿宋简体" w:eastAsia="方正仿宋简体"/>
          <w:sz w:val="32"/>
          <w:szCs w:val="32"/>
        </w:rPr>
        <w:t>（</w:t>
      </w:r>
      <w:r>
        <w:rPr>
          <w:rFonts w:ascii="方正仿宋简体" w:eastAsia="方正仿宋简体"/>
          <w:sz w:val="32"/>
          <w:szCs w:val="32"/>
        </w:rPr>
        <w:t>2</w:t>
      </w:r>
      <w:r>
        <w:rPr>
          <w:rFonts w:hint="eastAsia" w:ascii="方正仿宋简体" w:eastAsia="方正仿宋简体"/>
          <w:sz w:val="32"/>
          <w:szCs w:val="32"/>
        </w:rPr>
        <w:t>）可行性：区委领导高度重视本次展出，亲自安排、亲自部署、亲自督促；展出经费来源由财政专项划拨。</w:t>
      </w:r>
    </w:p>
    <w:p>
      <w:pPr>
        <w:spacing w:line="520" w:lineRule="exact"/>
        <w:ind w:left="-105" w:leftChars="-50" w:right="-105" w:rightChars="-50" w:firstLine="640" w:firstLineChars="200"/>
        <w:rPr>
          <w:rFonts w:ascii="方正仿宋简体" w:eastAsia="方正仿宋简体"/>
          <w:sz w:val="32"/>
          <w:szCs w:val="32"/>
        </w:rPr>
      </w:pPr>
      <w:r>
        <w:rPr>
          <w:rFonts w:ascii="方正仿宋简体" w:eastAsia="方正仿宋简体"/>
          <w:sz w:val="32"/>
          <w:szCs w:val="32"/>
        </w:rPr>
        <w:t>2</w:t>
      </w:r>
      <w:r>
        <w:rPr>
          <w:rFonts w:hint="eastAsia" w:ascii="方正仿宋简体" w:eastAsia="方正仿宋简体"/>
          <w:sz w:val="32"/>
          <w:szCs w:val="32"/>
        </w:rPr>
        <w:t>、项目管理</w:t>
      </w:r>
    </w:p>
    <w:p>
      <w:pPr>
        <w:spacing w:line="520" w:lineRule="exact"/>
        <w:ind w:left="-105" w:leftChars="-50" w:right="-105" w:rightChars="-50" w:firstLine="640" w:firstLineChars="200"/>
        <w:rPr>
          <w:rFonts w:ascii="方正仿宋简体" w:eastAsia="方正仿宋简体"/>
          <w:sz w:val="32"/>
          <w:szCs w:val="32"/>
        </w:rPr>
      </w:pPr>
      <w:r>
        <w:rPr>
          <w:rFonts w:hint="eastAsia" w:ascii="方正仿宋简体" w:eastAsia="方正仿宋简体"/>
          <w:sz w:val="32"/>
          <w:szCs w:val="32"/>
        </w:rPr>
        <w:t>（</w:t>
      </w:r>
      <w:r>
        <w:rPr>
          <w:rFonts w:ascii="方正仿宋简体" w:eastAsia="方正仿宋简体"/>
          <w:sz w:val="32"/>
          <w:szCs w:val="32"/>
        </w:rPr>
        <w:t>1</w:t>
      </w:r>
      <w:r>
        <w:rPr>
          <w:rFonts w:hint="eastAsia" w:ascii="方正仿宋简体" w:eastAsia="方正仿宋简体"/>
          <w:sz w:val="32"/>
          <w:szCs w:val="32"/>
        </w:rPr>
        <w:t>）资金分配情况：资金主要用于展板设计、图片拍摄制作及劳务费用。</w:t>
      </w:r>
    </w:p>
    <w:p>
      <w:pPr>
        <w:spacing w:line="520" w:lineRule="exact"/>
        <w:ind w:left="-105" w:leftChars="-50" w:right="-105" w:rightChars="-50" w:firstLine="640" w:firstLineChars="200"/>
        <w:rPr>
          <w:rFonts w:ascii="仿宋" w:hAnsi="仿宋" w:eastAsia="仿宋" w:cs="仿宋_GB2312"/>
          <w:sz w:val="32"/>
          <w:szCs w:val="32"/>
        </w:rPr>
      </w:pPr>
      <w:r>
        <w:rPr>
          <w:rFonts w:hint="eastAsia" w:ascii="方正仿宋简体" w:eastAsia="方正仿宋简体"/>
          <w:sz w:val="32"/>
          <w:szCs w:val="32"/>
        </w:rPr>
        <w:t>（</w:t>
      </w:r>
      <w:r>
        <w:rPr>
          <w:rFonts w:ascii="方正仿宋简体" w:eastAsia="方正仿宋简体"/>
          <w:sz w:val="32"/>
          <w:szCs w:val="32"/>
        </w:rPr>
        <w:t>2</w:t>
      </w:r>
      <w:r>
        <w:rPr>
          <w:rFonts w:hint="eastAsia" w:ascii="方正仿宋简体" w:eastAsia="方正仿宋简体"/>
          <w:sz w:val="32"/>
          <w:szCs w:val="32"/>
        </w:rPr>
        <w:t>）资金使用情况：</w:t>
      </w:r>
      <w:r>
        <w:rPr>
          <w:rFonts w:hint="eastAsia" w:ascii="仿宋" w:hAnsi="仿宋" w:eastAsia="仿宋" w:cs="仿宋_GB2312"/>
          <w:sz w:val="32"/>
          <w:szCs w:val="32"/>
        </w:rPr>
        <w:t>在资金使用上，按照市、区财政资金管理要求，制定了相应的财务管理制度，做到专款专用、专项核算。</w:t>
      </w:r>
    </w:p>
    <w:p>
      <w:pPr>
        <w:spacing w:line="520" w:lineRule="exact"/>
        <w:ind w:right="-105" w:rightChars="-50" w:firstLine="640" w:firstLineChars="200"/>
        <w:rPr>
          <w:rFonts w:ascii="方正仿宋简体" w:eastAsia="方正仿宋简体"/>
          <w:sz w:val="32"/>
          <w:szCs w:val="32"/>
        </w:rPr>
      </w:pPr>
      <w:r>
        <w:rPr>
          <w:rFonts w:ascii="方正仿宋简体" w:eastAsia="方正仿宋简体"/>
          <w:sz w:val="32"/>
          <w:szCs w:val="32"/>
        </w:rPr>
        <w:t>3</w:t>
      </w:r>
      <w:r>
        <w:rPr>
          <w:rFonts w:hint="eastAsia" w:ascii="方正仿宋简体" w:eastAsia="方正仿宋简体"/>
          <w:sz w:val="32"/>
          <w:szCs w:val="32"/>
        </w:rPr>
        <w:t>、项目绩效</w:t>
      </w:r>
    </w:p>
    <w:p>
      <w:pPr>
        <w:spacing w:line="520" w:lineRule="exact"/>
        <w:ind w:left="-105" w:leftChars="-50" w:right="-105" w:rightChars="-50" w:firstLine="640" w:firstLineChars="200"/>
        <w:rPr>
          <w:rFonts w:ascii="方正仿宋简体" w:eastAsia="方正仿宋简体"/>
          <w:sz w:val="32"/>
          <w:szCs w:val="32"/>
        </w:rPr>
      </w:pPr>
      <w:r>
        <w:rPr>
          <w:rFonts w:hint="eastAsia" w:ascii="方正仿宋简体" w:eastAsia="方正仿宋简体"/>
          <w:sz w:val="32"/>
          <w:szCs w:val="32"/>
        </w:rPr>
        <w:t>（</w:t>
      </w:r>
      <w:r>
        <w:rPr>
          <w:rFonts w:ascii="方正仿宋简体" w:eastAsia="方正仿宋简体"/>
          <w:sz w:val="32"/>
          <w:szCs w:val="32"/>
        </w:rPr>
        <w:t>1</w:t>
      </w:r>
      <w:r>
        <w:rPr>
          <w:rFonts w:hint="eastAsia" w:ascii="方正仿宋简体" w:eastAsia="方正仿宋简体"/>
          <w:sz w:val="32"/>
          <w:szCs w:val="32"/>
        </w:rPr>
        <w:t>）项目目标完成情况（数量、质量、时效、成本）。</w:t>
      </w:r>
    </w:p>
    <w:p>
      <w:pPr>
        <w:spacing w:line="520" w:lineRule="exact"/>
        <w:ind w:left="-105" w:leftChars="-50" w:right="-105" w:rightChars="-50" w:firstLine="640" w:firstLineChars="200"/>
        <w:rPr>
          <w:rFonts w:ascii="方正仿宋简体" w:eastAsia="方正仿宋简体"/>
          <w:sz w:val="32"/>
          <w:szCs w:val="32"/>
        </w:rPr>
      </w:pPr>
      <w:r>
        <w:rPr>
          <w:rFonts w:hint="eastAsia" w:ascii="方正仿宋简体" w:eastAsia="方正仿宋简体"/>
          <w:sz w:val="32"/>
          <w:szCs w:val="32"/>
        </w:rPr>
        <w:t>整个展览分为“殷殷关怀铸深情”、“ 谋篇布局明路径”、“ 弦歌不辍奏华章”、“ 创新实践扶贫路”、“ 新时代新气象新作为”等5大篇章共224块展板229张图片，全景展示了我区3年来脱贫攻坚取得的丰硕成就，内容涵盖了基础设施大提升、稳定增收大提速、人居环境大改善、新村建设大升级、公共服务大转型、新风培育大转变、党建引领大发展等脱贫攻坚的方方面面。展出时间历时一个月。</w:t>
      </w:r>
    </w:p>
    <w:p>
      <w:pPr>
        <w:spacing w:line="520" w:lineRule="exact"/>
        <w:ind w:left="-105" w:leftChars="-50" w:right="-105" w:rightChars="-50" w:firstLine="640" w:firstLineChars="200"/>
        <w:rPr>
          <w:rFonts w:ascii="方正仿宋简体" w:eastAsia="方正仿宋简体"/>
          <w:sz w:val="32"/>
          <w:szCs w:val="32"/>
        </w:rPr>
      </w:pPr>
      <w:r>
        <w:rPr>
          <w:rFonts w:hint="eastAsia" w:ascii="方正仿宋简体" w:eastAsia="方正仿宋简体"/>
          <w:sz w:val="32"/>
          <w:szCs w:val="32"/>
        </w:rPr>
        <w:t>（</w:t>
      </w:r>
      <w:r>
        <w:rPr>
          <w:rFonts w:ascii="方正仿宋简体" w:eastAsia="方正仿宋简体"/>
          <w:sz w:val="32"/>
          <w:szCs w:val="32"/>
        </w:rPr>
        <w:t>2</w:t>
      </w:r>
      <w:r>
        <w:rPr>
          <w:rFonts w:hint="eastAsia" w:ascii="方正仿宋简体" w:eastAsia="方正仿宋简体"/>
          <w:sz w:val="32"/>
          <w:szCs w:val="32"/>
        </w:rPr>
        <w:t>）项目效益情况（经济效益、项目社会效益、生态效益、可持续效益、公平性、资金使用效率、受益群体满意度等）。</w:t>
      </w:r>
    </w:p>
    <w:p>
      <w:pPr>
        <w:spacing w:line="520" w:lineRule="exact"/>
        <w:ind w:left="-105" w:leftChars="-50" w:right="-105" w:rightChars="-50" w:firstLine="640" w:firstLineChars="200"/>
        <w:rPr>
          <w:rFonts w:ascii="方正仿宋简体" w:eastAsia="方正仿宋简体"/>
          <w:sz w:val="32"/>
          <w:szCs w:val="32"/>
        </w:rPr>
      </w:pPr>
      <w:r>
        <w:rPr>
          <w:rFonts w:hint="eastAsia" w:ascii="方正仿宋简体" w:eastAsia="方正仿宋简体"/>
          <w:sz w:val="32"/>
          <w:szCs w:val="32"/>
        </w:rPr>
        <w:t>本次展出展示了利州区立足区情实际和群众需求创新探索，多项创新实践得到省委主要领导肯定批示和中央、省市主流媒体高度关注和广泛宣传报道。</w:t>
      </w:r>
    </w:p>
    <w:p>
      <w:pPr>
        <w:pStyle w:val="3"/>
        <w:rPr>
          <w:rStyle w:val="24"/>
          <w:rFonts w:ascii="仿宋" w:hAnsi="仿宋" w:eastAsia="仿宋"/>
          <w:b w:val="0"/>
          <w:bCs w:val="0"/>
          <w:sz w:val="32"/>
          <w:szCs w:val="32"/>
        </w:rPr>
      </w:pPr>
    </w:p>
    <w:p>
      <w:pPr>
        <w:jc w:val="center"/>
        <w:rPr>
          <w:rFonts w:ascii="仿宋" w:hAnsi="仿宋" w:eastAsia="仿宋" w:cs="仿宋"/>
          <w:b/>
          <w:bCs/>
          <w:sz w:val="44"/>
          <w:szCs w:val="44"/>
        </w:rPr>
      </w:pPr>
      <w:bookmarkStart w:id="60" w:name="_Toc15396618"/>
    </w:p>
    <w:p>
      <w:pPr>
        <w:jc w:val="center"/>
        <w:rPr>
          <w:rFonts w:ascii="仿宋" w:hAnsi="仿宋" w:eastAsia="仿宋" w:cs="仿宋"/>
          <w:b/>
          <w:bCs/>
          <w:sz w:val="44"/>
          <w:szCs w:val="44"/>
        </w:rPr>
      </w:pPr>
    </w:p>
    <w:p>
      <w:pPr>
        <w:jc w:val="center"/>
        <w:rPr>
          <w:rFonts w:ascii="仿宋" w:hAnsi="仿宋" w:eastAsia="仿宋" w:cs="仿宋"/>
          <w:b/>
          <w:bCs/>
          <w:sz w:val="44"/>
          <w:szCs w:val="44"/>
        </w:rPr>
      </w:pPr>
      <w:r>
        <w:rPr>
          <w:rFonts w:hint="eastAsia" w:ascii="仿宋" w:hAnsi="仿宋" w:eastAsia="仿宋" w:cs="仿宋"/>
          <w:b/>
          <w:bCs/>
          <w:sz w:val="44"/>
          <w:szCs w:val="44"/>
        </w:rPr>
        <w:t>2018年中心组学习、专项宣讲、学习资料项目支出绩效评价报告</w:t>
      </w:r>
    </w:p>
    <w:p>
      <w:pPr>
        <w:ind w:firstLine="880" w:firstLineChars="200"/>
        <w:rPr>
          <w:rFonts w:ascii="仿宋" w:hAnsi="仿宋" w:eastAsia="仿宋" w:cs="仿宋"/>
          <w:sz w:val="44"/>
          <w:szCs w:val="44"/>
        </w:rPr>
      </w:pPr>
    </w:p>
    <w:p>
      <w:pPr>
        <w:ind w:firstLine="640" w:firstLineChars="200"/>
        <w:rPr>
          <w:rFonts w:ascii="黑体" w:hAnsi="黑体" w:eastAsia="黑体"/>
          <w:sz w:val="32"/>
          <w:szCs w:val="32"/>
        </w:rPr>
      </w:pPr>
      <w:r>
        <w:rPr>
          <w:rFonts w:ascii="黑体" w:hAnsi="黑体" w:eastAsia="黑体"/>
          <w:sz w:val="32"/>
          <w:szCs w:val="32"/>
        </w:rPr>
        <w:t>一、评价工作开展及项目情况</w:t>
      </w:r>
    </w:p>
    <w:p>
      <w:pPr>
        <w:ind w:firstLine="640" w:firstLineChars="200"/>
        <w:rPr>
          <w:rFonts w:ascii="仿宋" w:hAnsi="仿宋" w:eastAsia="仿宋" w:cs="仿宋"/>
          <w:sz w:val="32"/>
          <w:szCs w:val="32"/>
        </w:rPr>
      </w:pPr>
      <w:r>
        <w:rPr>
          <w:rFonts w:hint="eastAsia" w:ascii="仿宋" w:hAnsi="仿宋" w:eastAsia="仿宋" w:cs="仿宋"/>
          <w:sz w:val="32"/>
          <w:szCs w:val="32"/>
        </w:rPr>
        <w:t>（一）项目选点</w:t>
      </w:r>
    </w:p>
    <w:p>
      <w:pPr>
        <w:ind w:firstLine="640" w:firstLineChars="200"/>
        <w:rPr>
          <w:rFonts w:ascii="仿宋" w:hAnsi="仿宋" w:eastAsia="仿宋" w:cs="仿宋"/>
          <w:sz w:val="32"/>
          <w:szCs w:val="32"/>
        </w:rPr>
      </w:pPr>
      <w:r>
        <w:rPr>
          <w:rFonts w:hint="eastAsia" w:ascii="仿宋" w:hAnsi="仿宋" w:eastAsia="仿宋" w:cs="仿宋"/>
          <w:sz w:val="32"/>
          <w:szCs w:val="32"/>
        </w:rPr>
        <w:t>中心组学习、专项宣讲、学习资料项目已实施多年，本次绩效评价期间为2018年度。</w:t>
      </w:r>
    </w:p>
    <w:p>
      <w:pPr>
        <w:ind w:firstLine="640" w:firstLineChars="200"/>
        <w:rPr>
          <w:rFonts w:ascii="仿宋" w:hAnsi="仿宋" w:eastAsia="仿宋" w:cs="仿宋"/>
          <w:sz w:val="32"/>
          <w:szCs w:val="32"/>
        </w:rPr>
      </w:pPr>
      <w:r>
        <w:rPr>
          <w:rFonts w:hint="eastAsia" w:ascii="仿宋" w:hAnsi="仿宋" w:eastAsia="仿宋" w:cs="仿宋"/>
          <w:sz w:val="32"/>
          <w:szCs w:val="32"/>
        </w:rPr>
        <w:t>《中共中央办公厅关于印发〈中国共产党党委（党组)理论学习中心组学习规则〉的通知》（中办发〔2017〕9号），中央对区委理论学习中心组学习进行了规定；中共广元市利州区委办公室《关于进一步加强和改进党委（党组）中心组学习的实施意见》（广利委办〔2015〕111号）规定，各地各部门（单位）要切实保障党委（党组）中心组学习经费（包括租用会场、聘请讲师、经验交流、编辑购买材料、学习秘书培训等），将党委（党组）中心组学习经费纳入财政预算安排。</w:t>
      </w:r>
    </w:p>
    <w:p>
      <w:pPr>
        <w:ind w:firstLine="640" w:firstLineChars="200"/>
        <w:rPr>
          <w:rFonts w:ascii="仿宋" w:hAnsi="仿宋" w:eastAsia="仿宋" w:cs="仿宋"/>
          <w:sz w:val="32"/>
          <w:szCs w:val="32"/>
        </w:rPr>
      </w:pPr>
      <w:r>
        <w:rPr>
          <w:rFonts w:hint="eastAsia" w:ascii="仿宋" w:hAnsi="仿宋" w:eastAsia="仿宋" w:cs="仿宋"/>
          <w:sz w:val="32"/>
          <w:szCs w:val="32"/>
        </w:rPr>
        <w:t>（二）绩效评价指标体系</w:t>
      </w:r>
    </w:p>
    <w:p>
      <w:pPr>
        <w:ind w:firstLine="640" w:firstLineChars="200"/>
        <w:rPr>
          <w:rFonts w:ascii="仿宋" w:hAnsi="仿宋" w:eastAsia="仿宋" w:cs="仿宋"/>
          <w:sz w:val="32"/>
          <w:szCs w:val="32"/>
        </w:rPr>
      </w:pPr>
      <w:r>
        <w:rPr>
          <w:rFonts w:hint="eastAsia" w:ascii="仿宋" w:hAnsi="仿宋" w:eastAsia="仿宋" w:cs="仿宋"/>
          <w:sz w:val="32"/>
          <w:szCs w:val="32"/>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w:t>
      </w:r>
    </w:p>
    <w:p>
      <w:pPr>
        <w:ind w:firstLine="640" w:firstLineChars="200"/>
        <w:rPr>
          <w:rFonts w:ascii="仿宋" w:hAnsi="仿宋" w:eastAsia="仿宋" w:cs="仿宋"/>
          <w:sz w:val="32"/>
          <w:szCs w:val="32"/>
        </w:rPr>
      </w:pPr>
      <w:r>
        <w:rPr>
          <w:rFonts w:hint="eastAsia" w:ascii="仿宋" w:hAnsi="仿宋" w:eastAsia="仿宋" w:cs="仿宋"/>
          <w:sz w:val="32"/>
          <w:szCs w:val="32"/>
        </w:rPr>
        <w:t>被评价项目绩效评价指标体系设置三个一级指标、八个二级指标。</w:t>
      </w:r>
    </w:p>
    <w:p>
      <w:pPr>
        <w:ind w:firstLine="640" w:firstLineChars="200"/>
        <w:rPr>
          <w:rFonts w:ascii="仿宋" w:hAnsi="仿宋" w:eastAsia="仿宋" w:cs="仿宋"/>
          <w:sz w:val="32"/>
          <w:szCs w:val="32"/>
        </w:rPr>
      </w:pPr>
      <w:r>
        <w:rPr>
          <w:rFonts w:hint="eastAsia" w:ascii="仿宋" w:hAnsi="仿宋" w:eastAsia="仿宋" w:cs="仿宋"/>
          <w:sz w:val="32"/>
          <w:szCs w:val="32"/>
        </w:rPr>
        <w:t>（1）一级指标：项目设置项目完成、项目效益、满意度指标三个。</w:t>
      </w:r>
    </w:p>
    <w:p>
      <w:pPr>
        <w:ind w:firstLine="640" w:firstLineChars="200"/>
        <w:rPr>
          <w:rFonts w:ascii="仿宋" w:hAnsi="仿宋" w:eastAsia="仿宋" w:cs="仿宋"/>
          <w:sz w:val="32"/>
          <w:szCs w:val="32"/>
        </w:rPr>
      </w:pPr>
      <w:r>
        <w:rPr>
          <w:rFonts w:hint="eastAsia" w:ascii="仿宋" w:hAnsi="仿宋" w:eastAsia="仿宋" w:cs="仿宋"/>
          <w:sz w:val="32"/>
          <w:szCs w:val="32"/>
        </w:rPr>
        <w:t>（2）二级指标：项目完成设置数量目标、质量指标、时效指标和成本指标四个，项目效益设置经济效益、社会效益和可持续影响指标三个，满意度指标设置社会满意度指标一个。</w:t>
      </w:r>
    </w:p>
    <w:p>
      <w:pPr>
        <w:ind w:firstLine="640" w:firstLineChars="200"/>
        <w:rPr>
          <w:rFonts w:ascii="仿宋" w:hAnsi="仿宋" w:eastAsia="仿宋" w:cs="仿宋"/>
          <w:sz w:val="32"/>
          <w:szCs w:val="32"/>
        </w:rPr>
      </w:pPr>
      <w:r>
        <w:rPr>
          <w:rFonts w:hint="eastAsia" w:ascii="仿宋" w:hAnsi="仿宋" w:eastAsia="仿宋" w:cs="仿宋"/>
          <w:sz w:val="32"/>
          <w:szCs w:val="32"/>
        </w:rPr>
        <w:t>（三）评价标准和评价方法</w:t>
      </w:r>
    </w:p>
    <w:p>
      <w:pPr>
        <w:ind w:firstLine="640" w:firstLineChars="200"/>
        <w:rPr>
          <w:rFonts w:ascii="仿宋" w:hAnsi="仿宋" w:eastAsia="仿宋" w:cs="仿宋"/>
          <w:sz w:val="32"/>
          <w:szCs w:val="32"/>
        </w:rPr>
      </w:pPr>
      <w:r>
        <w:rPr>
          <w:rFonts w:hint="eastAsia" w:ascii="仿宋" w:hAnsi="仿宋" w:eastAsia="仿宋" w:cs="仿宋"/>
          <w:sz w:val="32"/>
          <w:szCs w:val="32"/>
        </w:rPr>
        <w:t>1.评价标准</w:t>
      </w:r>
    </w:p>
    <w:p>
      <w:pPr>
        <w:ind w:firstLine="640" w:firstLineChars="200"/>
        <w:rPr>
          <w:rFonts w:ascii="仿宋" w:hAnsi="仿宋" w:eastAsia="仿宋" w:cs="仿宋"/>
          <w:sz w:val="32"/>
          <w:szCs w:val="32"/>
        </w:rPr>
      </w:pPr>
      <w:r>
        <w:rPr>
          <w:rFonts w:hint="eastAsia" w:ascii="仿宋" w:hAnsi="仿宋" w:eastAsia="仿宋" w:cs="仿宋"/>
          <w:sz w:val="32"/>
          <w:szCs w:val="32"/>
        </w:rPr>
        <w:t>绩效评价标准是指衡量财政支出绩效目标完成程度的尺度。绩效评价标准具体包括：计划标准、行业标准、历史标准、其他经财政部门确认的标准。</w:t>
      </w:r>
    </w:p>
    <w:p>
      <w:pPr>
        <w:ind w:firstLine="640" w:firstLineChars="200"/>
        <w:rPr>
          <w:rFonts w:ascii="仿宋" w:hAnsi="仿宋" w:eastAsia="仿宋" w:cs="仿宋"/>
          <w:sz w:val="32"/>
          <w:szCs w:val="32"/>
        </w:rPr>
      </w:pPr>
      <w:r>
        <w:rPr>
          <w:rFonts w:hint="eastAsia" w:ascii="仿宋" w:hAnsi="仿宋" w:eastAsia="仿宋" w:cs="仿宋"/>
          <w:sz w:val="32"/>
          <w:szCs w:val="32"/>
        </w:rPr>
        <w:t>2.评价方法</w:t>
      </w:r>
    </w:p>
    <w:p>
      <w:pPr>
        <w:ind w:firstLine="640" w:firstLineChars="200"/>
        <w:rPr>
          <w:rFonts w:ascii="仿宋" w:hAnsi="仿宋" w:eastAsia="仿宋" w:cs="仿宋"/>
          <w:sz w:val="32"/>
          <w:szCs w:val="32"/>
        </w:rPr>
      </w:pPr>
      <w:r>
        <w:rPr>
          <w:rFonts w:hint="eastAsia" w:ascii="仿宋" w:hAnsi="仿宋" w:eastAsia="仿宋" w:cs="仿宋"/>
          <w:sz w:val="32"/>
          <w:szCs w:val="32"/>
        </w:rPr>
        <w:t>绩效评价方法主要采用成本效益分析法、比较法、因素分析法、最低成本法、公众评判法等。</w:t>
      </w:r>
      <w:r>
        <w:rPr>
          <w:rFonts w:hint="eastAsia" w:ascii="仿宋" w:hAnsi="仿宋" w:eastAsia="仿宋" w:cs="仿宋"/>
          <w:sz w:val="32"/>
          <w:szCs w:val="32"/>
        </w:rPr>
        <w:br w:type="textWrapping"/>
      </w:r>
      <w:r>
        <w:rPr>
          <w:rFonts w:hint="eastAsia" w:ascii="仿宋" w:hAnsi="仿宋" w:eastAsia="仿宋" w:cs="仿宋"/>
          <w:sz w:val="32"/>
          <w:szCs w:val="32"/>
        </w:rPr>
        <w:t>项目评价实施方案情况（包括选点、评价指标、评价方法、基础数据表等情况）</w:t>
      </w:r>
    </w:p>
    <w:p>
      <w:pPr>
        <w:ind w:firstLine="640" w:firstLineChars="200"/>
        <w:rPr>
          <w:rFonts w:ascii="仿宋" w:hAnsi="仿宋" w:eastAsia="仿宋"/>
          <w:sz w:val="32"/>
          <w:szCs w:val="32"/>
        </w:rPr>
      </w:pPr>
      <w:r>
        <w:rPr>
          <w:rFonts w:ascii="黑体" w:hAnsi="黑体" w:eastAsia="黑体"/>
          <w:sz w:val="32"/>
          <w:szCs w:val="32"/>
        </w:rPr>
        <w:t>二、评价结论及绩效分析</w:t>
      </w:r>
    </w:p>
    <w:p>
      <w:pPr>
        <w:ind w:firstLine="640" w:firstLineChars="200"/>
        <w:rPr>
          <w:rFonts w:ascii="仿宋" w:hAnsi="仿宋" w:eastAsia="仿宋"/>
          <w:sz w:val="32"/>
          <w:szCs w:val="32"/>
        </w:rPr>
      </w:pPr>
      <w:r>
        <w:rPr>
          <w:rFonts w:ascii="仿宋" w:hAnsi="仿宋" w:eastAsia="仿宋"/>
          <w:sz w:val="32"/>
          <w:szCs w:val="32"/>
        </w:rPr>
        <w:t>（一）评价结论</w:t>
      </w:r>
    </w:p>
    <w:p>
      <w:pPr>
        <w:ind w:firstLine="640" w:firstLineChars="200"/>
        <w:rPr>
          <w:rFonts w:ascii="仿宋" w:hAnsi="仿宋" w:eastAsia="仿宋"/>
          <w:sz w:val="32"/>
          <w:szCs w:val="32"/>
        </w:rPr>
      </w:pPr>
      <w:r>
        <w:rPr>
          <w:rFonts w:hint="eastAsia" w:ascii="仿宋" w:hAnsi="仿宋" w:eastAsia="仿宋"/>
          <w:sz w:val="32"/>
          <w:szCs w:val="32"/>
        </w:rPr>
        <w:t>2018年区委理论学习中心组集中学习22次，印制集中学习会议资料汇编、会议发言材料汇编；区委中心组成员深入基层调研，撰写理论文章、调研报告21篇，在《四川党的建设》《广元日报》等市以上党报党刊刊发7篇。深入开展学习贯彻习近平总书记来川视察重要讲话精神、省委十一届三次全会、市委七届七次全会、区委八届六次全会精神等专题宣讲工作。编印宣讲提纲作为宣讲活动的蓝本，抽调部分区级部门负责同志和理论工作者组建区委宣讲分队，深入全区各地各部门宣讲，实现宣讲全覆盖；承接省委、市委宣讲分队来区宣讲。全区累计宣讲1178场次，覆盖11.1万余人次。全面完成全年目标任务。</w:t>
      </w:r>
    </w:p>
    <w:p>
      <w:pPr>
        <w:jc w:val="center"/>
        <w:rPr>
          <w:rFonts w:hint="eastAsia" w:ascii="黑体" w:hAnsi="黑体" w:eastAsia="黑体" w:cs="黑体"/>
          <w:b/>
          <w:bCs/>
          <w:sz w:val="32"/>
          <w:szCs w:val="32"/>
        </w:rPr>
      </w:pPr>
    </w:p>
    <w:p>
      <w:pPr>
        <w:jc w:val="center"/>
        <w:rPr>
          <w:rFonts w:ascii="黑体" w:hAnsi="黑体" w:eastAsia="黑体" w:cs="黑体"/>
          <w:color w:val="000000"/>
          <w:sz w:val="32"/>
          <w:szCs w:val="32"/>
        </w:rPr>
      </w:pPr>
      <w:r>
        <w:rPr>
          <w:rFonts w:hint="eastAsia" w:ascii="黑体" w:hAnsi="黑体" w:eastAsia="黑体" w:cs="黑体"/>
          <w:b/>
          <w:bCs/>
          <w:sz w:val="32"/>
          <w:szCs w:val="32"/>
        </w:rPr>
        <w:t>中心组学习、专项宣讲、学习资料</w:t>
      </w:r>
      <w:r>
        <w:rPr>
          <w:rFonts w:hint="eastAsia" w:ascii="黑体" w:hAnsi="黑体" w:eastAsia="黑体" w:cs="黑体"/>
          <w:color w:val="000000"/>
          <w:sz w:val="32"/>
          <w:szCs w:val="32"/>
        </w:rPr>
        <w:t>项目支出绩效评价得分表</w:t>
      </w:r>
    </w:p>
    <w:tbl>
      <w:tblPr>
        <w:tblStyle w:val="12"/>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113"/>
        <w:gridCol w:w="3535"/>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项目名称</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仿宋" w:hAnsi="仿宋" w:eastAsia="仿宋" w:cs="仿宋"/>
                <w:b w:val="0"/>
                <w:bCs w:val="0"/>
                <w:sz w:val="28"/>
                <w:szCs w:val="28"/>
              </w:rPr>
              <w:t>中心组学习、专项宣讲、学习资料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一级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211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二级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三级指标</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分值</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18"/>
                <w:szCs w:val="18"/>
              </w:rPr>
            </w:pPr>
            <w:r>
              <w:rPr>
                <w:rFonts w:hint="eastAsia" w:ascii="宋体" w:hAnsi="宋体"/>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18"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项目完成指标</w:t>
            </w: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数量指标</w:t>
            </w:r>
          </w:p>
        </w:tc>
        <w:tc>
          <w:tcPr>
            <w:tcW w:w="3535" w:type="dxa"/>
            <w:tcBorders>
              <w:top w:val="single" w:color="auto" w:sz="4" w:space="0"/>
              <w:left w:val="nil"/>
              <w:bottom w:val="single" w:color="auto" w:sz="4" w:space="0"/>
              <w:right w:val="single" w:color="auto" w:sz="4" w:space="0"/>
            </w:tcBorders>
            <w:vAlign w:val="center"/>
          </w:tcPr>
          <w:p>
            <w:pPr>
              <w:widowControl/>
              <w:textAlignment w:val="center"/>
              <w:rPr>
                <w:rFonts w:ascii="宋体" w:hAnsi="宋体"/>
                <w:color w:val="000000"/>
                <w:kern w:val="0"/>
                <w:sz w:val="20"/>
                <w:szCs w:val="20"/>
              </w:rPr>
            </w:pPr>
            <w:r>
              <w:rPr>
                <w:rFonts w:hint="eastAsia" w:ascii="宋体" w:hAnsi="宋体"/>
                <w:color w:val="000000"/>
                <w:kern w:val="0"/>
                <w:sz w:val="20"/>
                <w:szCs w:val="20"/>
              </w:rPr>
              <w:t>中心组学习全年不少于12次，集中宣讲不少于2次，理论文章不少于5篇</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70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1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2018年12月31日前全面完成</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20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1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提升群众满意度</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10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olor w:val="000000"/>
                <w:kern w:val="0"/>
                <w:sz w:val="20"/>
                <w:szCs w:val="20"/>
              </w:rPr>
            </w:pPr>
            <w:r>
              <w:rPr>
                <w:rFonts w:hint="eastAsia" w:ascii="宋体" w:hAnsi="宋体"/>
                <w:color w:val="000000"/>
                <w:kern w:val="0"/>
                <w:sz w:val="20"/>
                <w:szCs w:val="20"/>
              </w:rPr>
              <w:t>总分</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宋体" w:hAnsi="宋体"/>
                <w:color w:val="000000"/>
                <w:kern w:val="0"/>
              </w:rPr>
            </w:pPr>
            <w:r>
              <w:rPr>
                <w:rFonts w:hint="eastAsia" w:ascii="宋体" w:hAnsi="宋体"/>
                <w:color w:val="000000"/>
                <w:kern w:val="0"/>
              </w:rPr>
              <w:t>100</w:t>
            </w:r>
          </w:p>
        </w:tc>
      </w:tr>
    </w:tbl>
    <w:p>
      <w:pPr>
        <w:spacing w:line="580" w:lineRule="exact"/>
        <w:rPr>
          <w:rFonts w:ascii="仿宋" w:hAnsi="仿宋" w:eastAsia="仿宋" w:cs="仿宋_GB2312"/>
          <w:sz w:val="32"/>
          <w:szCs w:val="32"/>
        </w:rPr>
      </w:pPr>
    </w:p>
    <w:p>
      <w:pPr>
        <w:ind w:firstLine="640" w:firstLineChars="200"/>
        <w:rPr>
          <w:rFonts w:ascii="仿宋" w:hAnsi="仿宋" w:eastAsia="仿宋"/>
          <w:sz w:val="32"/>
          <w:szCs w:val="32"/>
        </w:rPr>
      </w:pPr>
      <w:r>
        <w:rPr>
          <w:rFonts w:ascii="仿宋" w:hAnsi="仿宋" w:eastAsia="仿宋"/>
          <w:sz w:val="32"/>
          <w:szCs w:val="32"/>
        </w:rPr>
        <w:t>（二）绩效分析</w:t>
      </w:r>
    </w:p>
    <w:p>
      <w:pPr>
        <w:ind w:firstLine="640" w:firstLineChars="200"/>
        <w:rPr>
          <w:rFonts w:ascii="仿宋" w:hAnsi="仿宋" w:eastAsia="仿宋"/>
          <w:sz w:val="32"/>
          <w:szCs w:val="32"/>
        </w:rPr>
      </w:pPr>
      <w:r>
        <w:rPr>
          <w:rFonts w:ascii="仿宋" w:hAnsi="仿宋" w:eastAsia="仿宋"/>
          <w:sz w:val="32"/>
          <w:szCs w:val="32"/>
        </w:rPr>
        <w:t>1、项目决策</w:t>
      </w:r>
    </w:p>
    <w:p>
      <w:pPr>
        <w:ind w:firstLine="640" w:firstLineChars="200"/>
        <w:rPr>
          <w:rFonts w:ascii="仿宋" w:hAnsi="仿宋" w:eastAsia="仿宋"/>
          <w:sz w:val="32"/>
          <w:szCs w:val="32"/>
        </w:rPr>
      </w:pPr>
      <w:r>
        <w:rPr>
          <w:rFonts w:ascii="仿宋" w:hAnsi="仿宋" w:eastAsia="仿宋"/>
          <w:sz w:val="32"/>
          <w:szCs w:val="32"/>
        </w:rPr>
        <w:t>（1）必要性：该项目进一步贯彻落实了</w:t>
      </w:r>
      <w:r>
        <w:rPr>
          <w:rFonts w:hint="eastAsia" w:ascii="仿宋" w:hAnsi="仿宋" w:eastAsia="仿宋"/>
          <w:sz w:val="32"/>
          <w:szCs w:val="32"/>
        </w:rPr>
        <w:t>《中共中央办公厅关于印发〈中国共产党党委（党组)理论学习中心组学习规则〉的通知</w:t>
      </w:r>
      <w:r>
        <w:rPr>
          <w:rFonts w:ascii="仿宋" w:hAnsi="仿宋" w:eastAsia="仿宋"/>
          <w:sz w:val="32"/>
          <w:szCs w:val="32"/>
        </w:rPr>
        <w:t>》</w:t>
      </w:r>
      <w:r>
        <w:rPr>
          <w:rFonts w:hint="eastAsia" w:ascii="仿宋" w:hAnsi="仿宋" w:eastAsia="仿宋"/>
          <w:sz w:val="32"/>
          <w:szCs w:val="32"/>
        </w:rPr>
        <w:t>（中办发〔2017〕9号）；中共广元市利州区委办公室《关于进一步加强和改进党委（党组）中心组学习的实施意见》（广利委办〔2015〕111号）规定。同时，全面贯彻落实了省委、市委关于学习贯彻习近平总书记来川视察重要讲话精神、省委十一届三次全会、市委七届七次全会、区委八届六次全会精神等专题宣讲工作的要求。</w:t>
      </w:r>
    </w:p>
    <w:p>
      <w:pPr>
        <w:ind w:firstLine="640" w:firstLineChars="200"/>
        <w:rPr>
          <w:rFonts w:ascii="仿宋" w:hAnsi="仿宋" w:eastAsia="仿宋"/>
          <w:sz w:val="32"/>
          <w:szCs w:val="32"/>
        </w:rPr>
      </w:pPr>
      <w:r>
        <w:rPr>
          <w:rFonts w:ascii="仿宋" w:hAnsi="仿宋" w:eastAsia="仿宋"/>
          <w:sz w:val="32"/>
          <w:szCs w:val="32"/>
        </w:rPr>
        <w:t>（2）可行性：</w:t>
      </w:r>
      <w:r>
        <w:rPr>
          <w:rFonts w:hint="eastAsia" w:ascii="仿宋" w:hAnsi="仿宋" w:eastAsia="仿宋"/>
          <w:sz w:val="32"/>
          <w:szCs w:val="32"/>
        </w:rPr>
        <w:t>区委领导高度重视区委中心组学习与理论宣讲工作，亲自安排、亲自部署、亲自带头学习与宣讲、亲自督促检查；机制健全，根据省委、市委要求，区委出台了中心组学习的相关文件，健全了中心组学习考勤制度、自学制度、发言制度、经验交流制度和月报告、季通报、半年专项检查、年度总结自评等制度；保障有力，为理论学习中心组及时提供学习书籍和学习资料；学习经费来源由财政专项划拨。</w:t>
      </w:r>
    </w:p>
    <w:p>
      <w:pPr>
        <w:ind w:firstLine="640" w:firstLineChars="200"/>
        <w:rPr>
          <w:rFonts w:ascii="仿宋" w:hAnsi="仿宋" w:eastAsia="仿宋"/>
          <w:sz w:val="32"/>
          <w:szCs w:val="32"/>
        </w:rPr>
      </w:pPr>
      <w:r>
        <w:rPr>
          <w:rFonts w:ascii="仿宋" w:hAnsi="仿宋" w:eastAsia="仿宋"/>
          <w:sz w:val="32"/>
          <w:szCs w:val="32"/>
        </w:rPr>
        <w:t>2、项目管理</w:t>
      </w:r>
    </w:p>
    <w:p>
      <w:pPr>
        <w:ind w:firstLine="640" w:firstLineChars="200"/>
        <w:rPr>
          <w:rFonts w:ascii="仿宋" w:hAnsi="仿宋" w:eastAsia="仿宋"/>
          <w:sz w:val="32"/>
          <w:szCs w:val="32"/>
        </w:rPr>
      </w:pPr>
      <w:r>
        <w:rPr>
          <w:rFonts w:ascii="仿宋" w:hAnsi="仿宋" w:eastAsia="仿宋"/>
          <w:sz w:val="32"/>
          <w:szCs w:val="32"/>
        </w:rPr>
        <w:t>（1）资金分配情况</w:t>
      </w:r>
      <w:r>
        <w:rPr>
          <w:rFonts w:hint="eastAsia" w:ascii="仿宋" w:hAnsi="仿宋" w:eastAsia="仿宋"/>
          <w:sz w:val="32"/>
          <w:szCs w:val="32"/>
        </w:rPr>
        <w:t>：资金主要用于区委中心组学习、理论宣讲工作，包括租用会场、聘请讲师、经验交流、编辑购买材料、宣讲骨干培训等。</w:t>
      </w:r>
    </w:p>
    <w:p>
      <w:pPr>
        <w:spacing w:line="580" w:lineRule="exact"/>
        <w:ind w:firstLine="640" w:firstLineChars="200"/>
        <w:rPr>
          <w:rFonts w:ascii="仿宋" w:hAnsi="仿宋" w:eastAsia="仿宋" w:cs="仿宋_GB2312"/>
          <w:sz w:val="32"/>
          <w:szCs w:val="32"/>
        </w:rPr>
      </w:pPr>
      <w:r>
        <w:rPr>
          <w:rFonts w:ascii="仿宋" w:hAnsi="仿宋" w:eastAsia="仿宋"/>
          <w:sz w:val="32"/>
          <w:szCs w:val="32"/>
        </w:rPr>
        <w:t>（2）资金使用情况</w:t>
      </w:r>
      <w:r>
        <w:rPr>
          <w:rFonts w:hint="eastAsia" w:ascii="仿宋" w:hAnsi="仿宋" w:eastAsia="仿宋"/>
          <w:sz w:val="32"/>
          <w:szCs w:val="32"/>
        </w:rPr>
        <w:t>：</w:t>
      </w:r>
      <w:r>
        <w:rPr>
          <w:rFonts w:hint="eastAsia" w:ascii="仿宋" w:hAnsi="仿宋" w:eastAsia="仿宋" w:cs="仿宋_GB2312"/>
          <w:sz w:val="32"/>
          <w:szCs w:val="32"/>
        </w:rPr>
        <w:t>在资金使用上，按照市、区财政资金管理要求，制定了相应的财务管理制度，做到专款专用、专项核算。</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ascii="仿宋" w:hAnsi="仿宋" w:eastAsia="仿宋"/>
          <w:sz w:val="32"/>
          <w:szCs w:val="32"/>
        </w:rPr>
        <w:t>3、项目绩效</w:t>
      </w:r>
    </w:p>
    <w:p>
      <w:pPr>
        <w:ind w:firstLine="640" w:firstLineChars="200"/>
        <w:rPr>
          <w:rFonts w:ascii="仿宋" w:hAnsi="仿宋" w:eastAsia="仿宋"/>
          <w:sz w:val="32"/>
          <w:szCs w:val="32"/>
        </w:rPr>
      </w:pPr>
      <w:r>
        <w:rPr>
          <w:rFonts w:ascii="仿宋" w:hAnsi="仿宋" w:eastAsia="仿宋"/>
          <w:sz w:val="32"/>
          <w:szCs w:val="32"/>
        </w:rPr>
        <w:t>（1）项目目标完成情况</w:t>
      </w:r>
      <w:r>
        <w:rPr>
          <w:rFonts w:hint="eastAsia" w:ascii="仿宋" w:hAnsi="仿宋" w:eastAsia="仿宋"/>
          <w:sz w:val="32"/>
          <w:szCs w:val="32"/>
        </w:rPr>
        <w:t>：2018年区委理论学习中心组集中学习22次；区委中心组成员撰写理论文章、调研报告21篇，在《四川党的建设》《广元日报》等市以上党报党刊刊发7篇。深入开展学习贯彻习近平总书记来川视察重要讲话精神、省委十一届三次全会、市委七届七次全会、区委八届六次全会精神等专题宣讲1178场次，覆盖11.1万余人次。全面完成全年目标任务。</w:t>
      </w:r>
    </w:p>
    <w:p>
      <w:pPr>
        <w:ind w:firstLine="640" w:firstLineChars="200"/>
        <w:rPr>
          <w:rFonts w:ascii="仿宋" w:hAnsi="仿宋" w:eastAsia="仿宋"/>
          <w:sz w:val="32"/>
          <w:szCs w:val="32"/>
        </w:rPr>
      </w:pPr>
      <w:r>
        <w:rPr>
          <w:rFonts w:ascii="仿宋" w:hAnsi="仿宋" w:eastAsia="仿宋"/>
          <w:sz w:val="32"/>
          <w:szCs w:val="32"/>
        </w:rPr>
        <w:t>（2）项目效益情况</w:t>
      </w:r>
      <w:r>
        <w:rPr>
          <w:rFonts w:hint="eastAsia" w:ascii="仿宋" w:hAnsi="仿宋" w:eastAsia="仿宋"/>
          <w:sz w:val="32"/>
          <w:szCs w:val="32"/>
        </w:rPr>
        <w:t>：区委理论学习中心组学习，抓住了区委中心组成员这一“关键少数”，充分发挥了其“关键作用”，带动了全区其他党委（党组）中心组的理论学习，带动了全区党员干部的理论武装工作。通过专项宣讲，全区干部群众进一步了解了中央、省委、市委、区委的重大决策部署，进一步坚定了“四个自信”。</w:t>
      </w:r>
    </w:p>
    <w:p>
      <w:pPr>
        <w:ind w:firstLine="640" w:firstLineChars="200"/>
        <w:rPr>
          <w:rFonts w:ascii="黑体" w:hAnsi="黑体" w:eastAsia="黑体"/>
          <w:sz w:val="32"/>
          <w:szCs w:val="32"/>
        </w:rPr>
      </w:pPr>
      <w:r>
        <w:rPr>
          <w:rFonts w:ascii="黑体" w:hAnsi="黑体" w:eastAsia="黑体"/>
          <w:sz w:val="32"/>
          <w:szCs w:val="32"/>
        </w:rPr>
        <w:t>三、存在主要问题</w:t>
      </w:r>
    </w:p>
    <w:p>
      <w:pPr>
        <w:ind w:firstLine="640" w:firstLineChars="200"/>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区委中心组成员在高级别刊物发表高质量理论文章不多，市委考核区委加分不多。</w:t>
      </w:r>
    </w:p>
    <w:p>
      <w:pPr>
        <w:ind w:firstLine="640" w:firstLineChars="200"/>
        <w:rPr>
          <w:rFonts w:ascii="仿宋" w:hAnsi="仿宋" w:eastAsia="仿宋"/>
          <w:sz w:val="32"/>
          <w:szCs w:val="32"/>
        </w:rPr>
      </w:pPr>
      <w:r>
        <w:rPr>
          <w:rFonts w:hint="eastAsia" w:ascii="仿宋" w:hAnsi="仿宋" w:eastAsia="仿宋"/>
          <w:sz w:val="32"/>
          <w:szCs w:val="32"/>
        </w:rPr>
        <w:t>（二）宣讲骨干人员不足,宣讲人员理论水平与宣讲技巧有待提高。</w:t>
      </w:r>
    </w:p>
    <w:p>
      <w:pPr>
        <w:ind w:firstLine="640" w:firstLineChars="200"/>
        <w:rPr>
          <w:rFonts w:ascii="仿宋" w:hAnsi="仿宋" w:eastAsia="仿宋"/>
          <w:sz w:val="32"/>
          <w:szCs w:val="32"/>
        </w:rPr>
      </w:pPr>
      <w:r>
        <w:rPr>
          <w:rFonts w:ascii="黑体" w:hAnsi="黑体" w:eastAsia="黑体"/>
          <w:sz w:val="32"/>
          <w:szCs w:val="32"/>
        </w:rPr>
        <w:t>四、相关措施建议</w:t>
      </w:r>
    </w:p>
    <w:p>
      <w:pPr>
        <w:ind w:firstLine="640" w:firstLineChars="200"/>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加强理论人才的引进与培养。</w:t>
      </w:r>
    </w:p>
    <w:p>
      <w:pPr>
        <w:ind w:firstLine="640" w:firstLineChars="200"/>
        <w:rPr>
          <w:rFonts w:ascii="仿宋" w:hAnsi="仿宋" w:eastAsia="仿宋"/>
          <w:sz w:val="32"/>
          <w:szCs w:val="32"/>
        </w:rPr>
      </w:pPr>
      <w:r>
        <w:rPr>
          <w:rFonts w:ascii="仿宋" w:hAnsi="仿宋" w:eastAsia="仿宋"/>
          <w:sz w:val="32"/>
          <w:szCs w:val="32"/>
        </w:rPr>
        <w:t>（二）</w:t>
      </w:r>
      <w:r>
        <w:rPr>
          <w:rFonts w:hint="eastAsia" w:ascii="仿宋" w:hAnsi="仿宋" w:eastAsia="仿宋"/>
          <w:sz w:val="32"/>
          <w:szCs w:val="32"/>
        </w:rPr>
        <w:t>引导鼓励全区干部深入基层调查研究，撰写高质量的调研报告和理论文章，并加强沟通协调，力争在中央、省级等高级别党报党刊刊发。</w:t>
      </w:r>
    </w:p>
    <w:p>
      <w:pPr>
        <w:spacing w:line="576" w:lineRule="exact"/>
        <w:jc w:val="center"/>
        <w:rPr>
          <w:rFonts w:ascii="方正小标宋简体" w:hAnsi="方正大标宋简体" w:eastAsia="方正小标宋简体"/>
          <w:sz w:val="44"/>
          <w:szCs w:val="44"/>
        </w:rPr>
      </w:pPr>
    </w:p>
    <w:p>
      <w:pPr>
        <w:spacing w:line="576" w:lineRule="exact"/>
        <w:jc w:val="center"/>
        <w:rPr>
          <w:rFonts w:ascii="方正小标宋简体" w:hAnsi="方正大标宋简体" w:eastAsia="方正小标宋简体"/>
          <w:sz w:val="44"/>
          <w:szCs w:val="44"/>
        </w:rPr>
      </w:pPr>
      <w:r>
        <w:rPr>
          <w:rFonts w:ascii="方正小标宋简体" w:hAnsi="方正大标宋简体" w:eastAsia="方正小标宋简体"/>
          <w:sz w:val="44"/>
          <w:szCs w:val="44"/>
        </w:rPr>
        <w:t>2018</w:t>
      </w:r>
      <w:r>
        <w:rPr>
          <w:rFonts w:hint="eastAsia" w:ascii="方正小标宋简体" w:hAnsi="方正大标宋简体" w:eastAsia="方正小标宋简体"/>
          <w:sz w:val="44"/>
          <w:szCs w:val="44"/>
        </w:rPr>
        <w:t>年</w:t>
      </w:r>
      <w:r>
        <w:rPr>
          <w:rFonts w:ascii="方正小标宋简体" w:hAnsi="方正大标宋简体" w:eastAsia="方正小标宋简体"/>
          <w:sz w:val="44"/>
          <w:szCs w:val="44"/>
        </w:rPr>
        <w:t>外宣专版经费项目</w:t>
      </w:r>
      <w:r>
        <w:rPr>
          <w:rFonts w:hint="eastAsia" w:ascii="方正小标宋简体" w:hAnsi="方正大标宋简体" w:eastAsia="方正小标宋简体"/>
          <w:sz w:val="44"/>
          <w:szCs w:val="44"/>
        </w:rPr>
        <w:t>支出绩效评价</w:t>
      </w:r>
    </w:p>
    <w:p>
      <w:pPr>
        <w:spacing w:line="576" w:lineRule="exact"/>
        <w:jc w:val="center"/>
        <w:rPr>
          <w:rFonts w:ascii="方正小标宋简体" w:hAnsi="方正大标宋简体" w:eastAsia="方正小标宋简体"/>
          <w:sz w:val="44"/>
          <w:szCs w:val="44"/>
        </w:rPr>
      </w:pPr>
      <w:r>
        <w:rPr>
          <w:rFonts w:hint="eastAsia" w:ascii="方正小标宋简体" w:hAnsi="方正大标宋简体" w:eastAsia="方正小标宋简体"/>
          <w:sz w:val="44"/>
          <w:szCs w:val="44"/>
        </w:rPr>
        <w:t>报告</w:t>
      </w:r>
    </w:p>
    <w:p>
      <w:pPr>
        <w:spacing w:line="520" w:lineRule="exact"/>
        <w:ind w:left="-105" w:leftChars="-50" w:right="-105" w:rightChars="-50" w:firstLine="560" w:firstLineChars="200"/>
        <w:rPr>
          <w:rFonts w:ascii="宋体" w:hAnsi="宋体"/>
          <w:sz w:val="28"/>
          <w:szCs w:val="28"/>
        </w:rPr>
      </w:pPr>
    </w:p>
    <w:p>
      <w:pPr>
        <w:spacing w:line="576" w:lineRule="exact"/>
        <w:ind w:firstLine="645"/>
        <w:rPr>
          <w:rFonts w:ascii="仿宋" w:hAnsi="仿宋" w:eastAsia="仿宋" w:cs="仿宋"/>
          <w:sz w:val="32"/>
          <w:szCs w:val="32"/>
        </w:rPr>
      </w:pPr>
      <w:r>
        <w:rPr>
          <w:rFonts w:hint="eastAsia" w:ascii="仿宋" w:hAnsi="仿宋" w:eastAsia="仿宋" w:cs="仿宋"/>
          <w:sz w:val="32"/>
          <w:szCs w:val="32"/>
        </w:rPr>
        <w:t>一、评价工作开展及项目情况</w:t>
      </w:r>
    </w:p>
    <w:p>
      <w:pPr>
        <w:spacing w:line="550" w:lineRule="exact"/>
        <w:ind w:firstLine="645"/>
        <w:rPr>
          <w:rFonts w:ascii="仿宋" w:hAnsi="仿宋" w:eastAsia="仿宋" w:cs="仿宋"/>
          <w:sz w:val="32"/>
          <w:szCs w:val="32"/>
        </w:rPr>
      </w:pPr>
      <w:r>
        <w:rPr>
          <w:rFonts w:hint="eastAsia" w:ascii="仿宋" w:hAnsi="仿宋" w:eastAsia="仿宋" w:cs="仿宋"/>
          <w:sz w:val="32"/>
          <w:szCs w:val="32"/>
        </w:rPr>
        <w:t>（一）项目选点</w:t>
      </w:r>
    </w:p>
    <w:p>
      <w:pPr>
        <w:spacing w:line="520" w:lineRule="exact"/>
        <w:ind w:left="-105" w:leftChars="-50" w:right="-105" w:rightChars="-50" w:firstLine="640" w:firstLineChars="200"/>
        <w:rPr>
          <w:rFonts w:ascii="仿宋" w:hAnsi="仿宋" w:eastAsia="仿宋" w:cs="仿宋"/>
          <w:sz w:val="32"/>
          <w:szCs w:val="32"/>
        </w:rPr>
      </w:pPr>
      <w:r>
        <w:rPr>
          <w:rFonts w:hint="eastAsia" w:ascii="仿宋" w:hAnsi="仿宋" w:eastAsia="仿宋" w:cs="仿宋"/>
          <w:sz w:val="32"/>
          <w:szCs w:val="32"/>
        </w:rPr>
        <w:t>按照2018外宣工作年度目标管理，举办重大外宣活动及外宣精品推介。</w:t>
      </w:r>
    </w:p>
    <w:p>
      <w:pPr>
        <w:spacing w:line="550" w:lineRule="exact"/>
        <w:ind w:firstLine="645"/>
        <w:rPr>
          <w:rFonts w:ascii="仿宋" w:hAnsi="仿宋" w:eastAsia="仿宋" w:cs="仿宋"/>
          <w:sz w:val="32"/>
          <w:szCs w:val="32"/>
        </w:rPr>
      </w:pPr>
      <w:r>
        <w:rPr>
          <w:rFonts w:hint="eastAsia" w:ascii="仿宋" w:hAnsi="仿宋" w:eastAsia="仿宋" w:cs="仿宋"/>
          <w:sz w:val="32"/>
          <w:szCs w:val="32"/>
        </w:rPr>
        <w:t>（二）绩效评价指标体系</w:t>
      </w:r>
    </w:p>
    <w:p>
      <w:pPr>
        <w:spacing w:line="520" w:lineRule="exact"/>
        <w:ind w:left="-105" w:leftChars="-50" w:right="-105" w:rightChars="-50" w:firstLine="640" w:firstLineChars="200"/>
        <w:rPr>
          <w:rFonts w:ascii="仿宋" w:hAnsi="仿宋" w:eastAsia="仿宋" w:cs="仿宋"/>
          <w:sz w:val="32"/>
          <w:szCs w:val="32"/>
        </w:rPr>
      </w:pPr>
      <w:r>
        <w:rPr>
          <w:rFonts w:hint="eastAsia" w:ascii="仿宋" w:hAnsi="仿宋" w:eastAsia="仿宋" w:cs="仿宋"/>
          <w:sz w:val="32"/>
          <w:szCs w:val="32"/>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w:t>
      </w:r>
    </w:p>
    <w:p>
      <w:pPr>
        <w:spacing w:line="520" w:lineRule="exact"/>
        <w:ind w:left="-105" w:leftChars="-50" w:right="-105" w:rightChars="-50" w:firstLine="640" w:firstLineChars="200"/>
        <w:rPr>
          <w:rFonts w:ascii="仿宋" w:hAnsi="仿宋" w:eastAsia="仿宋" w:cs="仿宋"/>
          <w:sz w:val="32"/>
          <w:szCs w:val="32"/>
        </w:rPr>
      </w:pPr>
      <w:r>
        <w:rPr>
          <w:rFonts w:hint="eastAsia" w:ascii="仿宋" w:hAnsi="仿宋" w:eastAsia="仿宋" w:cs="仿宋"/>
          <w:sz w:val="32"/>
          <w:szCs w:val="32"/>
        </w:rPr>
        <w:t>被评价项目绩效评价指标体系设置三个一级指标、八个二级指标。</w:t>
      </w:r>
    </w:p>
    <w:p>
      <w:pPr>
        <w:spacing w:line="520" w:lineRule="exact"/>
        <w:ind w:left="-105" w:leftChars="-50" w:right="-105" w:rightChars="-50" w:firstLine="640" w:firstLineChars="200"/>
        <w:rPr>
          <w:rFonts w:ascii="仿宋" w:hAnsi="仿宋" w:eastAsia="仿宋" w:cs="仿宋"/>
          <w:sz w:val="32"/>
          <w:szCs w:val="32"/>
        </w:rPr>
      </w:pPr>
      <w:r>
        <w:rPr>
          <w:rFonts w:hint="eastAsia" w:ascii="仿宋" w:hAnsi="仿宋" w:eastAsia="仿宋" w:cs="仿宋"/>
          <w:sz w:val="32"/>
          <w:szCs w:val="32"/>
        </w:rPr>
        <w:t>（1）一级指标：项目设置项目完成、项目效益、满意度指标三个。</w:t>
      </w:r>
    </w:p>
    <w:p>
      <w:pPr>
        <w:spacing w:line="520" w:lineRule="exact"/>
        <w:ind w:left="-105" w:leftChars="-50" w:right="-105" w:rightChars="-50" w:firstLine="640" w:firstLineChars="200"/>
        <w:rPr>
          <w:rFonts w:ascii="仿宋" w:hAnsi="仿宋" w:eastAsia="仿宋" w:cs="仿宋"/>
          <w:sz w:val="32"/>
          <w:szCs w:val="32"/>
        </w:rPr>
      </w:pPr>
      <w:r>
        <w:rPr>
          <w:rFonts w:hint="eastAsia" w:ascii="仿宋" w:hAnsi="仿宋" w:eastAsia="仿宋" w:cs="仿宋"/>
          <w:sz w:val="32"/>
          <w:szCs w:val="32"/>
        </w:rPr>
        <w:t>（2）二级指标：项目完成设置数量目标、质量指标、时效指标和成本指标四个，项目效益设置经济效益、社会效益和可持续影响指标三个，满意度指标设置社会满意度指标一个。</w:t>
      </w:r>
    </w:p>
    <w:p>
      <w:pPr>
        <w:spacing w:line="550" w:lineRule="exact"/>
        <w:ind w:firstLine="645"/>
        <w:rPr>
          <w:rFonts w:ascii="仿宋" w:hAnsi="仿宋" w:eastAsia="仿宋" w:cs="仿宋"/>
          <w:sz w:val="32"/>
          <w:szCs w:val="32"/>
        </w:rPr>
      </w:pPr>
      <w:r>
        <w:rPr>
          <w:rFonts w:hint="eastAsia" w:ascii="仿宋" w:hAnsi="仿宋" w:eastAsia="仿宋" w:cs="仿宋"/>
          <w:sz w:val="32"/>
          <w:szCs w:val="32"/>
        </w:rPr>
        <w:t>（三）评价标准和评价方法</w:t>
      </w:r>
    </w:p>
    <w:p>
      <w:pPr>
        <w:spacing w:line="520" w:lineRule="exact"/>
        <w:ind w:left="-105" w:leftChars="-50" w:right="-105" w:rightChars="-50" w:firstLine="640" w:firstLineChars="200"/>
        <w:rPr>
          <w:rFonts w:ascii="仿宋" w:hAnsi="仿宋" w:eastAsia="仿宋" w:cs="仿宋"/>
          <w:sz w:val="32"/>
          <w:szCs w:val="32"/>
        </w:rPr>
      </w:pPr>
      <w:r>
        <w:rPr>
          <w:rFonts w:hint="eastAsia" w:ascii="仿宋" w:hAnsi="仿宋" w:eastAsia="仿宋" w:cs="仿宋"/>
          <w:sz w:val="32"/>
          <w:szCs w:val="32"/>
        </w:rPr>
        <w:t>1.评价标准</w:t>
      </w:r>
    </w:p>
    <w:p>
      <w:pPr>
        <w:spacing w:line="520" w:lineRule="exact"/>
        <w:ind w:left="-105" w:leftChars="-50" w:right="-105" w:rightChars="-50" w:firstLine="640" w:firstLineChars="200"/>
        <w:rPr>
          <w:rFonts w:ascii="仿宋" w:hAnsi="仿宋" w:eastAsia="仿宋" w:cs="仿宋"/>
          <w:sz w:val="32"/>
          <w:szCs w:val="32"/>
        </w:rPr>
      </w:pPr>
      <w:r>
        <w:rPr>
          <w:rFonts w:hint="eastAsia" w:ascii="仿宋" w:hAnsi="仿宋" w:eastAsia="仿宋" w:cs="仿宋"/>
          <w:sz w:val="32"/>
          <w:szCs w:val="32"/>
        </w:rPr>
        <w:t>绩效评价标准是指衡量财政支出绩效目标完成程度的尺度。绩效评价标准具体包括：计划标准、行业标准、历史标准、其他经财政部门确认的标准。</w:t>
      </w:r>
    </w:p>
    <w:p>
      <w:pPr>
        <w:spacing w:line="520" w:lineRule="exact"/>
        <w:ind w:left="-105" w:leftChars="-50" w:right="-105" w:rightChars="-50" w:firstLine="640" w:firstLineChars="200"/>
        <w:rPr>
          <w:rFonts w:ascii="仿宋" w:hAnsi="仿宋" w:eastAsia="仿宋" w:cs="仿宋"/>
          <w:sz w:val="32"/>
          <w:szCs w:val="32"/>
        </w:rPr>
      </w:pPr>
      <w:r>
        <w:rPr>
          <w:rFonts w:hint="eastAsia" w:ascii="仿宋" w:hAnsi="仿宋" w:eastAsia="仿宋" w:cs="仿宋"/>
          <w:sz w:val="32"/>
          <w:szCs w:val="32"/>
        </w:rPr>
        <w:t>2.评价方法</w:t>
      </w:r>
    </w:p>
    <w:p>
      <w:pPr>
        <w:spacing w:line="520" w:lineRule="exact"/>
        <w:ind w:left="-105" w:leftChars="-50" w:right="-105" w:rightChars="-50" w:firstLine="640" w:firstLineChars="200"/>
        <w:rPr>
          <w:rFonts w:ascii="仿宋" w:hAnsi="仿宋" w:eastAsia="仿宋" w:cs="仿宋"/>
          <w:sz w:val="32"/>
          <w:szCs w:val="32"/>
        </w:rPr>
      </w:pPr>
      <w:r>
        <w:rPr>
          <w:rFonts w:hint="eastAsia" w:ascii="仿宋" w:hAnsi="仿宋" w:eastAsia="仿宋" w:cs="仿宋"/>
          <w:sz w:val="32"/>
          <w:szCs w:val="32"/>
        </w:rPr>
        <w:t>绩效评价方法主要采用成本效益分析法、比较法、因素分析法、最低成本法、公众评判法等。</w:t>
      </w:r>
    </w:p>
    <w:p>
      <w:pPr>
        <w:spacing w:line="520" w:lineRule="exact"/>
        <w:ind w:left="-105" w:leftChars="-50" w:right="-105" w:rightChars="-50" w:firstLine="640" w:firstLineChars="200"/>
        <w:rPr>
          <w:rFonts w:ascii="仿宋" w:hAnsi="仿宋" w:eastAsia="仿宋" w:cs="仿宋"/>
          <w:sz w:val="32"/>
          <w:szCs w:val="32"/>
        </w:rPr>
      </w:pPr>
      <w:r>
        <w:rPr>
          <w:rFonts w:hint="eastAsia" w:ascii="仿宋" w:hAnsi="仿宋" w:eastAsia="仿宋" w:cs="仿宋"/>
          <w:sz w:val="32"/>
          <w:szCs w:val="32"/>
        </w:rPr>
        <w:t>项目评价实施方案情况（包括选点、评价指标、评价方法、基础数据表等情况）</w:t>
      </w:r>
    </w:p>
    <w:p>
      <w:pPr>
        <w:spacing w:line="576" w:lineRule="exact"/>
        <w:ind w:firstLine="645"/>
        <w:rPr>
          <w:rFonts w:ascii="仿宋" w:hAnsi="仿宋" w:eastAsia="仿宋" w:cs="仿宋"/>
          <w:sz w:val="32"/>
          <w:szCs w:val="32"/>
        </w:rPr>
      </w:pPr>
      <w:r>
        <w:rPr>
          <w:rFonts w:hint="eastAsia" w:ascii="仿宋" w:hAnsi="仿宋" w:eastAsia="仿宋" w:cs="仿宋"/>
          <w:sz w:val="32"/>
          <w:szCs w:val="32"/>
        </w:rPr>
        <w:t>二、评价结论及绩效分析</w:t>
      </w:r>
    </w:p>
    <w:p>
      <w:pPr>
        <w:spacing w:line="550" w:lineRule="exact"/>
        <w:ind w:firstLine="645"/>
        <w:rPr>
          <w:rFonts w:ascii="仿宋" w:hAnsi="仿宋" w:eastAsia="仿宋" w:cs="仿宋"/>
          <w:sz w:val="32"/>
          <w:szCs w:val="32"/>
        </w:rPr>
      </w:pPr>
      <w:r>
        <w:rPr>
          <w:rFonts w:hint="eastAsia" w:ascii="仿宋" w:hAnsi="仿宋" w:eastAsia="仿宋" w:cs="仿宋"/>
          <w:sz w:val="32"/>
          <w:szCs w:val="32"/>
        </w:rPr>
        <w:t>（一）评价结论</w:t>
      </w:r>
    </w:p>
    <w:p>
      <w:pPr>
        <w:spacing w:line="520" w:lineRule="exact"/>
        <w:ind w:left="-105" w:leftChars="-50" w:right="-105" w:rightChars="-50" w:firstLine="640" w:firstLineChars="200"/>
        <w:rPr>
          <w:rFonts w:ascii="仿宋" w:hAnsi="仿宋" w:eastAsia="仿宋" w:cs="仿宋"/>
          <w:sz w:val="32"/>
          <w:szCs w:val="32"/>
        </w:rPr>
      </w:pPr>
      <w:r>
        <w:rPr>
          <w:rFonts w:hint="eastAsia" w:ascii="仿宋" w:hAnsi="仿宋" w:eastAsia="仿宋" w:cs="仿宋"/>
          <w:sz w:val="32"/>
          <w:szCs w:val="32"/>
        </w:rPr>
        <w:t>2018年外宣工作专版经费项目绩效目标完成情况综述。项目全年预算数5万元，执行数为5万元，完成预算的100%。通过项目实施，有效提升了利州知名度和美誉度，为全面建成综合实力一流的现代化市辖区营造了良好的舆论氛围。</w:t>
      </w:r>
    </w:p>
    <w:p>
      <w:pPr>
        <w:jc w:val="center"/>
        <w:rPr>
          <w:rFonts w:ascii="黑体" w:hAnsi="黑体" w:eastAsia="黑体" w:cs="黑体"/>
          <w:color w:val="000000"/>
          <w:sz w:val="32"/>
          <w:szCs w:val="32"/>
        </w:rPr>
      </w:pPr>
      <w:r>
        <w:rPr>
          <w:rFonts w:hint="eastAsia" w:ascii="黑体" w:hAnsi="黑体" w:eastAsia="黑体" w:cs="黑体"/>
          <w:sz w:val="32"/>
          <w:szCs w:val="32"/>
        </w:rPr>
        <w:t>外宣专版经费</w:t>
      </w:r>
      <w:r>
        <w:rPr>
          <w:rFonts w:hint="eastAsia" w:ascii="黑体" w:hAnsi="黑体" w:eastAsia="黑体" w:cs="黑体"/>
          <w:color w:val="000000"/>
          <w:sz w:val="32"/>
          <w:szCs w:val="32"/>
        </w:rPr>
        <w:t>项目支出绩效评价得分表</w:t>
      </w:r>
    </w:p>
    <w:tbl>
      <w:tblPr>
        <w:tblStyle w:val="12"/>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113"/>
        <w:gridCol w:w="3535"/>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项目名称</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8"/>
                <w:szCs w:val="28"/>
              </w:rPr>
            </w:pPr>
            <w:r>
              <w:rPr>
                <w:rFonts w:hint="eastAsia" w:ascii="仿宋" w:hAnsi="仿宋" w:eastAsia="仿宋" w:cs="仿宋"/>
                <w:sz w:val="28"/>
                <w:szCs w:val="28"/>
              </w:rPr>
              <w:t>外宣专版经费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一级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211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二级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三级指标</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分值</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18"/>
                <w:szCs w:val="18"/>
              </w:rPr>
            </w:pPr>
            <w:r>
              <w:rPr>
                <w:rFonts w:hint="eastAsia" w:ascii="宋体" w:hAnsi="宋体"/>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18"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项目完成指标</w:t>
            </w: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数量指标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《月绣月坝》推广及推介和《国际在线》专项宣传</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80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1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项目按期完成率</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10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1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社会满意度</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10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olor w:val="000000"/>
                <w:kern w:val="0"/>
                <w:sz w:val="20"/>
                <w:szCs w:val="20"/>
              </w:rPr>
            </w:pPr>
            <w:r>
              <w:rPr>
                <w:rFonts w:hint="eastAsia" w:ascii="宋体" w:hAnsi="宋体"/>
                <w:color w:val="000000"/>
                <w:kern w:val="0"/>
                <w:sz w:val="20"/>
                <w:szCs w:val="20"/>
              </w:rPr>
              <w:t>总分</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宋体" w:hAnsi="宋体"/>
                <w:color w:val="000000"/>
                <w:kern w:val="0"/>
              </w:rPr>
            </w:pPr>
            <w:r>
              <w:rPr>
                <w:rFonts w:hint="eastAsia" w:ascii="宋体" w:hAnsi="宋体"/>
                <w:color w:val="000000"/>
                <w:kern w:val="0"/>
              </w:rPr>
              <w:t>100</w:t>
            </w:r>
          </w:p>
        </w:tc>
      </w:tr>
    </w:tbl>
    <w:p>
      <w:pPr>
        <w:spacing w:line="580" w:lineRule="exact"/>
        <w:rPr>
          <w:rFonts w:ascii="仿宋" w:hAnsi="仿宋" w:eastAsia="仿宋" w:cs="仿宋_GB2312"/>
          <w:sz w:val="32"/>
          <w:szCs w:val="32"/>
        </w:rPr>
      </w:pPr>
    </w:p>
    <w:p>
      <w:pPr>
        <w:spacing w:line="550" w:lineRule="exact"/>
        <w:ind w:firstLine="645"/>
        <w:rPr>
          <w:rFonts w:ascii="仿宋" w:hAnsi="仿宋" w:eastAsia="仿宋" w:cs="仿宋"/>
          <w:sz w:val="32"/>
          <w:szCs w:val="32"/>
        </w:rPr>
      </w:pPr>
      <w:r>
        <w:rPr>
          <w:rFonts w:hint="eastAsia" w:ascii="仿宋" w:hAnsi="仿宋" w:eastAsia="仿宋" w:cs="仿宋"/>
          <w:sz w:val="32"/>
          <w:szCs w:val="32"/>
        </w:rPr>
        <w:t>（二）绩效分析</w:t>
      </w:r>
    </w:p>
    <w:p>
      <w:pPr>
        <w:spacing w:line="520" w:lineRule="exact"/>
        <w:ind w:left="-105" w:leftChars="-50" w:right="-105" w:rightChars="-50" w:firstLine="640" w:firstLineChars="200"/>
        <w:rPr>
          <w:rFonts w:ascii="仿宋" w:hAnsi="仿宋" w:eastAsia="仿宋" w:cs="仿宋"/>
          <w:sz w:val="32"/>
          <w:szCs w:val="32"/>
        </w:rPr>
      </w:pPr>
      <w:r>
        <w:rPr>
          <w:rFonts w:hint="eastAsia" w:ascii="仿宋" w:hAnsi="仿宋" w:eastAsia="仿宋" w:cs="仿宋"/>
          <w:sz w:val="32"/>
          <w:szCs w:val="32"/>
        </w:rPr>
        <w:t>1、项目决策</w:t>
      </w:r>
    </w:p>
    <w:p>
      <w:pPr>
        <w:spacing w:line="520" w:lineRule="exact"/>
        <w:ind w:left="-105" w:leftChars="-50" w:right="-105" w:rightChars="-50" w:firstLine="640" w:firstLineChars="200"/>
        <w:rPr>
          <w:rFonts w:ascii="仿宋" w:hAnsi="仿宋" w:eastAsia="仿宋" w:cs="仿宋"/>
          <w:sz w:val="32"/>
          <w:szCs w:val="32"/>
        </w:rPr>
      </w:pPr>
      <w:r>
        <w:rPr>
          <w:rFonts w:hint="eastAsia" w:ascii="仿宋" w:hAnsi="仿宋" w:eastAsia="仿宋" w:cs="仿宋"/>
          <w:sz w:val="32"/>
          <w:szCs w:val="32"/>
        </w:rPr>
        <w:t>（1）必要性：该项目进一步展示利州率先脱贫摘帽，客观讲述利州区向贫困宣战的鲜活故事和生动实践，展现在脱贫这场大考中的利州答卷，全面展示四年多来利州区脱贫攻坚的成果。</w:t>
      </w:r>
    </w:p>
    <w:p>
      <w:pPr>
        <w:spacing w:line="520" w:lineRule="exact"/>
        <w:ind w:left="-105" w:leftChars="-50" w:right="-105" w:rightChars="-50" w:firstLine="640" w:firstLineChars="200"/>
        <w:rPr>
          <w:rFonts w:ascii="仿宋" w:hAnsi="仿宋" w:eastAsia="仿宋" w:cs="仿宋"/>
          <w:sz w:val="32"/>
          <w:szCs w:val="32"/>
        </w:rPr>
      </w:pPr>
      <w:r>
        <w:rPr>
          <w:rFonts w:hint="eastAsia" w:ascii="仿宋" w:hAnsi="仿宋" w:eastAsia="仿宋" w:cs="仿宋"/>
          <w:sz w:val="32"/>
          <w:szCs w:val="32"/>
        </w:rPr>
        <w:t>（2）可行性：区委领导高度重视本次展出，亲自安排、亲自部署、亲自督促；展出经费来源由财政专项划拨。</w:t>
      </w:r>
    </w:p>
    <w:p>
      <w:pPr>
        <w:spacing w:line="520" w:lineRule="exact"/>
        <w:ind w:left="-105" w:leftChars="-50" w:right="-105" w:rightChars="-50" w:firstLine="640" w:firstLineChars="200"/>
        <w:rPr>
          <w:rFonts w:ascii="仿宋" w:hAnsi="仿宋" w:eastAsia="仿宋" w:cs="仿宋"/>
          <w:sz w:val="32"/>
          <w:szCs w:val="32"/>
        </w:rPr>
      </w:pPr>
      <w:r>
        <w:rPr>
          <w:rFonts w:hint="eastAsia" w:ascii="仿宋" w:hAnsi="仿宋" w:eastAsia="仿宋" w:cs="仿宋"/>
          <w:sz w:val="32"/>
          <w:szCs w:val="32"/>
        </w:rPr>
        <w:t>2、项目管理</w:t>
      </w:r>
    </w:p>
    <w:p>
      <w:pPr>
        <w:spacing w:line="520" w:lineRule="exact"/>
        <w:ind w:left="-105" w:leftChars="-50" w:right="-105" w:rightChars="-50" w:firstLine="640" w:firstLineChars="200"/>
        <w:rPr>
          <w:rFonts w:ascii="仿宋" w:hAnsi="仿宋" w:eastAsia="仿宋" w:cs="仿宋"/>
          <w:sz w:val="32"/>
          <w:szCs w:val="32"/>
        </w:rPr>
      </w:pPr>
      <w:r>
        <w:rPr>
          <w:rFonts w:hint="eastAsia" w:ascii="仿宋" w:hAnsi="仿宋" w:eastAsia="仿宋" w:cs="仿宋"/>
          <w:sz w:val="32"/>
          <w:szCs w:val="32"/>
        </w:rPr>
        <w:t>（1）资金分配情况：资金用于脱贫攻坚微电影《月绣月坝》的推广及推介。</w:t>
      </w:r>
    </w:p>
    <w:p>
      <w:pPr>
        <w:spacing w:line="520" w:lineRule="exact"/>
        <w:ind w:left="-105" w:leftChars="-50" w:right="-105" w:rightChars="-50" w:firstLine="640" w:firstLineChars="200"/>
        <w:rPr>
          <w:rFonts w:ascii="仿宋" w:hAnsi="仿宋" w:eastAsia="仿宋" w:cs="仿宋"/>
          <w:sz w:val="32"/>
          <w:szCs w:val="32"/>
        </w:rPr>
      </w:pPr>
      <w:r>
        <w:rPr>
          <w:rFonts w:hint="eastAsia" w:ascii="仿宋" w:hAnsi="仿宋" w:eastAsia="仿宋" w:cs="仿宋"/>
          <w:sz w:val="32"/>
          <w:szCs w:val="32"/>
        </w:rPr>
        <w:t>（2）资金使用情况：在资金使用上，按照市、区财政资金管理要求，制定了相应的财务管理制度，做到专款专用、专项核算。其中：《月绣月坝》推广及推介费用30000.00元；《国际在线》专项宣传20000.00元。</w:t>
      </w:r>
    </w:p>
    <w:p>
      <w:pPr>
        <w:spacing w:line="520" w:lineRule="exact"/>
        <w:ind w:left="-105" w:leftChars="-50" w:right="-105" w:rightChars="-50" w:firstLine="640" w:firstLineChars="200"/>
        <w:rPr>
          <w:rFonts w:ascii="仿宋" w:hAnsi="仿宋" w:eastAsia="仿宋" w:cs="仿宋"/>
          <w:sz w:val="32"/>
          <w:szCs w:val="32"/>
        </w:rPr>
      </w:pPr>
      <w:r>
        <w:rPr>
          <w:rFonts w:hint="eastAsia" w:ascii="仿宋" w:hAnsi="仿宋" w:eastAsia="仿宋" w:cs="仿宋"/>
          <w:sz w:val="32"/>
          <w:szCs w:val="32"/>
        </w:rPr>
        <w:t>3、项目绩效</w:t>
      </w:r>
    </w:p>
    <w:p>
      <w:pPr>
        <w:spacing w:line="520" w:lineRule="exact"/>
        <w:ind w:left="-105" w:leftChars="-50" w:right="-105" w:rightChars="-50" w:firstLine="640" w:firstLineChars="200"/>
        <w:rPr>
          <w:rFonts w:ascii="仿宋" w:hAnsi="仿宋" w:eastAsia="仿宋" w:cs="仿宋"/>
          <w:sz w:val="32"/>
          <w:szCs w:val="32"/>
        </w:rPr>
      </w:pPr>
      <w:r>
        <w:rPr>
          <w:rFonts w:hint="eastAsia" w:ascii="仿宋" w:hAnsi="仿宋" w:eastAsia="仿宋" w:cs="仿宋"/>
          <w:sz w:val="32"/>
          <w:szCs w:val="32"/>
        </w:rPr>
        <w:t>（1）项目目标完成情况（数量、质量、时效、成本）。</w:t>
      </w:r>
    </w:p>
    <w:p>
      <w:pPr>
        <w:spacing w:line="520" w:lineRule="exact"/>
        <w:ind w:left="-105" w:leftChars="-50" w:right="-105" w:rightChars="-50" w:firstLine="640" w:firstLineChars="200"/>
        <w:rPr>
          <w:rFonts w:ascii="仿宋" w:hAnsi="仿宋" w:eastAsia="仿宋" w:cs="仿宋"/>
          <w:sz w:val="32"/>
          <w:szCs w:val="32"/>
        </w:rPr>
      </w:pPr>
      <w:r>
        <w:rPr>
          <w:rFonts w:hint="eastAsia" w:ascii="仿宋" w:hAnsi="仿宋" w:eastAsia="仿宋" w:cs="仿宋"/>
          <w:sz w:val="32"/>
          <w:szCs w:val="32"/>
        </w:rPr>
        <w:t>《云绣月坝》于2017年10月初开始筹备，2018年3月16日开机拍摄，同月23日杀青，既是一部反映广元市利州区三年脱贫攻坚历程的微电影，也是一部展示该区旅游、文化的宣传片。8个多月来，在利州区委、区政府领导下，区委宣传部牵头并带领以区文联、区作协、区文广新局、区广播电视台为主的创作团队，坚持以人民为中心的创作导向，走访了大量奋战在脱贫攻坚一线的优秀干部群众，多次召开协调会，连续5天4夜修改剧本，电影5易其名，剧本11易其稿，样片修改了8版，对台词一字一字地推敲，对镜头一个一个地斟酌，其艰辛与精细正是脱贫攻坚精神在该区文艺创作领域的延伸。</w:t>
      </w:r>
    </w:p>
    <w:p>
      <w:pPr>
        <w:spacing w:line="520" w:lineRule="exact"/>
        <w:ind w:left="-105" w:leftChars="-50" w:right="-105" w:rightChars="-50" w:firstLine="640" w:firstLineChars="200"/>
        <w:rPr>
          <w:rFonts w:ascii="仿宋" w:hAnsi="仿宋" w:eastAsia="仿宋" w:cs="仿宋"/>
          <w:sz w:val="32"/>
          <w:szCs w:val="32"/>
        </w:rPr>
      </w:pPr>
      <w:r>
        <w:rPr>
          <w:rFonts w:hint="eastAsia" w:ascii="仿宋" w:hAnsi="仿宋" w:eastAsia="仿宋" w:cs="仿宋"/>
          <w:sz w:val="32"/>
          <w:szCs w:val="32"/>
        </w:rPr>
        <w:t>（2）项目效益情况（经济效益、项目社会效益、生态效益、可持续效益、公平性、资金使用效率、受益群体满意度等）。</w:t>
      </w:r>
    </w:p>
    <w:p>
      <w:pPr>
        <w:spacing w:line="520" w:lineRule="exact"/>
        <w:ind w:left="-105" w:leftChars="-50" w:right="-105" w:rightChars="-50" w:firstLine="640" w:firstLineChars="200"/>
        <w:rPr>
          <w:rFonts w:ascii="仿宋" w:hAnsi="仿宋" w:eastAsia="仿宋" w:cs="仿宋"/>
          <w:sz w:val="32"/>
          <w:szCs w:val="32"/>
        </w:rPr>
      </w:pPr>
      <w:r>
        <w:rPr>
          <w:rFonts w:hint="eastAsia" w:ascii="仿宋" w:hAnsi="仿宋" w:eastAsia="仿宋" w:cs="仿宋"/>
          <w:sz w:val="32"/>
          <w:szCs w:val="32"/>
        </w:rPr>
        <w:t>《云绣月坝》已在CCTV6电影频道“1905电影网”、腾讯、优酷等电影、视频平台，国际在线、中新网、四川扶贫移民网等网站，利州发布、秒拍等新媒体平台以及电影院共计播放逾50万次，该片斩获中国文化信息协会国际影视文化交流专业委员会等单位主办的“中国梦·扶贫攻坚影像盛典大赛”剧情片类一等奖。入围中国农业电影电视中心（CCTV7农业频道）等单位主办的“第三届美丽乡村国际微电影艺术节”评选。</w:t>
      </w:r>
    </w:p>
    <w:p>
      <w:pPr>
        <w:jc w:val="center"/>
        <w:rPr>
          <w:rFonts w:ascii="仿宋" w:hAnsi="仿宋" w:eastAsia="仿宋" w:cs="仿宋"/>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rPr>
        <w:t>2018年省运会利州区氛围营造项目</w:t>
      </w:r>
    </w:p>
    <w:p>
      <w:pPr>
        <w:jc w:val="center"/>
        <w:rPr>
          <w:rFonts w:ascii="方正小标宋简体" w:eastAsia="方正小标宋简体"/>
          <w:sz w:val="44"/>
          <w:szCs w:val="44"/>
        </w:rPr>
      </w:pPr>
      <w:r>
        <w:rPr>
          <w:rFonts w:hint="eastAsia" w:ascii="方正小标宋简体" w:eastAsia="方正小标宋简体"/>
          <w:sz w:val="44"/>
          <w:szCs w:val="44"/>
        </w:rPr>
        <w:t>支出绩效评价报告</w:t>
      </w:r>
    </w:p>
    <w:p>
      <w:pPr>
        <w:jc w:val="left"/>
      </w:pPr>
    </w:p>
    <w:p>
      <w:pPr>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一、评价工作开展及项目情况</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（一）项目选点</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xml:space="preserve">    利州区迎接省运会氛围营造工作是按照全市省运会工作统一部署实施，本次绩效评价期间为2018年度。</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xml:space="preserve">    本项目主要利州区委宣传部根据《中共广元市委宣传部关于印发＜近期社会氛围营造工作方案＞的通知》（广宣函〔2018〕40号）、《中共广元市委宣传部关于做好四川省第九届残运会暨第四届特奥会社会宣传工作的通知》（广宣函〔2018〕51号）、《中共广元市委宣传部关于进一步加强四川省第十三届运动会第九届残运会暨第四届特奥会社会宣传工作的通知》（广宣函〔2018〕60号）、《中共广元市委宣传部关于印发《四川省第十三届运动会氛围营造方案（二）》的通知》（广宣〔2018〕77号）文件要求，在龙潭万龙路、东坝高速入口、081路口等进出口户外宣传牌、墙体宣传平台设置大型宣传标语23幅，在陵江高速出口、劳动大厦、图腾广场滚动刊播宣传标语3幅1万余次，在区管体育场馆、比赛场地设置宣传画35幅，在东干道821中学门口、市委党校、金海湾、市政府路口等自行车站点设置宣传画6处。各地各部门在办公驻地、学校、医院、社区宣传栏、宣传展板设置宣传画200余幅，在工地建筑围挡设置宣传画320余幅，运用110余块LED屏滚动刊播宣传标语20条38万余次。近期，又按照全市统一安排，对电子显示屏刊播省运会标语再次加密频次，同时在物管小区和开放式小区张贴带有省运会官方微信二维码的宣传海报1800余幅，并安排学校、医院、酒店、宾馆、银行、临街商户等沿街LED屏在8月份集中滚动刊播省运会宣传标语，达到每分钟滚动3次的频次。</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通过项目的实施进一步学习宣传贯彻了省委十一届三次全会和市委七届七次全会精神，突出了喜庆、大气、精美、特色、文明等元素，营造了全民参与省运、全民服务省运的浓厚氛围，展示了良好的主办城市形象。</w:t>
      </w:r>
    </w:p>
    <w:p>
      <w:pPr>
        <w:jc w:val="left"/>
        <w:rPr>
          <w:rFonts w:ascii="黑体" w:hAnsi="黑体" w:eastAsia="黑体" w:cs="黑体"/>
          <w:color w:val="000000"/>
          <w:sz w:val="30"/>
          <w:szCs w:val="30"/>
        </w:rPr>
      </w:pPr>
      <w:r>
        <w:rPr>
          <w:rFonts w:hint="eastAsia" w:ascii="仿宋" w:hAnsi="仿宋" w:eastAsia="仿宋" w:cs="仿宋"/>
          <w:sz w:val="32"/>
          <w:szCs w:val="32"/>
        </w:rPr>
        <w:t>（二）绩效评价指标体系</w:t>
      </w:r>
      <w:r>
        <w:rPr>
          <w:rFonts w:hint="eastAsia" w:ascii="仿宋" w:hAnsi="仿宋" w:eastAsia="仿宋" w:cs="仿宋"/>
          <w:sz w:val="32"/>
          <w:szCs w:val="32"/>
        </w:rPr>
        <w:br w:type="textWrapping"/>
      </w:r>
      <w:r>
        <w:rPr>
          <w:rFonts w:hint="eastAsia" w:ascii="仿宋" w:hAnsi="仿宋" w:eastAsia="仿宋" w:cs="仿宋"/>
          <w:sz w:val="32"/>
          <w:szCs w:val="32"/>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  个性指标由财政部门会同预算部门制定。</w:t>
      </w:r>
      <w:r>
        <w:rPr>
          <w:rFonts w:hint="eastAsia" w:ascii="仿宋" w:hAnsi="仿宋" w:eastAsia="仿宋" w:cs="仿宋"/>
          <w:sz w:val="32"/>
          <w:szCs w:val="32"/>
        </w:rPr>
        <w:br w:type="textWrapping"/>
      </w:r>
      <w:r>
        <w:rPr>
          <w:rFonts w:hint="eastAsia" w:ascii="仿宋" w:hAnsi="仿宋" w:eastAsia="仿宋" w:cs="仿宋"/>
          <w:sz w:val="32"/>
          <w:szCs w:val="32"/>
        </w:rPr>
        <w:t xml:space="preserve">   （三）评价标准和评价方法</w:t>
      </w:r>
      <w:r>
        <w:rPr>
          <w:rFonts w:hint="eastAsia" w:ascii="仿宋" w:hAnsi="仿宋" w:eastAsia="仿宋" w:cs="仿宋"/>
          <w:sz w:val="32"/>
          <w:szCs w:val="32"/>
        </w:rPr>
        <w:br w:type="textWrapping"/>
      </w:r>
      <w:r>
        <w:rPr>
          <w:rFonts w:hint="eastAsia" w:ascii="仿宋" w:hAnsi="仿宋" w:eastAsia="仿宋" w:cs="仿宋"/>
          <w:sz w:val="32"/>
          <w:szCs w:val="32"/>
        </w:rPr>
        <w:t xml:space="preserve">    1.评价标准</w:t>
      </w:r>
      <w:r>
        <w:rPr>
          <w:rFonts w:hint="eastAsia" w:ascii="仿宋" w:hAnsi="仿宋" w:eastAsia="仿宋" w:cs="仿宋"/>
          <w:sz w:val="32"/>
          <w:szCs w:val="32"/>
        </w:rPr>
        <w:br w:type="textWrapping"/>
      </w:r>
      <w:r>
        <w:rPr>
          <w:rFonts w:hint="eastAsia" w:ascii="仿宋" w:hAnsi="仿宋" w:eastAsia="仿宋" w:cs="仿宋"/>
          <w:sz w:val="32"/>
          <w:szCs w:val="32"/>
        </w:rPr>
        <w:t>绩效评价标准是指衡量财政支出绩效目标完成程度的尺度。绩效评价标准具体包括：计划标准、行业标准、历史标准、其他经财政部门确认的标准。</w:t>
      </w:r>
      <w:r>
        <w:rPr>
          <w:rFonts w:hint="eastAsia" w:ascii="仿宋" w:hAnsi="仿宋" w:eastAsia="仿宋" w:cs="仿宋"/>
          <w:sz w:val="32"/>
          <w:szCs w:val="32"/>
        </w:rPr>
        <w:br w:type="textWrapping"/>
      </w:r>
      <w:r>
        <w:rPr>
          <w:rFonts w:hint="eastAsia" w:ascii="仿宋" w:hAnsi="仿宋" w:eastAsia="仿宋" w:cs="仿宋"/>
          <w:sz w:val="32"/>
          <w:szCs w:val="32"/>
        </w:rPr>
        <w:t xml:space="preserve">    2.评价方法</w:t>
      </w:r>
      <w:r>
        <w:rPr>
          <w:rFonts w:hint="eastAsia" w:ascii="仿宋" w:hAnsi="仿宋" w:eastAsia="仿宋" w:cs="仿宋"/>
          <w:sz w:val="32"/>
          <w:szCs w:val="32"/>
        </w:rPr>
        <w:br w:type="textWrapping"/>
      </w:r>
      <w:r>
        <w:rPr>
          <w:rFonts w:hint="eastAsia" w:ascii="仿宋" w:hAnsi="仿宋" w:eastAsia="仿宋" w:cs="仿宋"/>
          <w:sz w:val="32"/>
          <w:szCs w:val="32"/>
        </w:rPr>
        <w:t>绩效评价方法主要采用成本效益分析法、比较法、因素分析法、最低成本法、公众评判法等。</w:t>
      </w:r>
      <w:r>
        <w:rPr>
          <w:rFonts w:hint="eastAsia" w:ascii="仿宋" w:hAnsi="仿宋" w:eastAsia="仿宋" w:cs="仿宋"/>
          <w:sz w:val="32"/>
          <w:szCs w:val="32"/>
        </w:rPr>
        <w:br w:type="textWrapping"/>
      </w:r>
      <w:r>
        <w:rPr>
          <w:rFonts w:hint="eastAsia" w:ascii="仿宋" w:hAnsi="仿宋" w:eastAsia="仿宋" w:cs="仿宋"/>
          <w:sz w:val="32"/>
          <w:szCs w:val="32"/>
        </w:rPr>
        <w:t xml:space="preserve">     二、评价结论及绩效分析</w:t>
      </w:r>
      <w:r>
        <w:rPr>
          <w:rFonts w:hint="eastAsia" w:ascii="仿宋" w:hAnsi="仿宋" w:eastAsia="仿宋" w:cs="仿宋"/>
          <w:sz w:val="32"/>
          <w:szCs w:val="32"/>
        </w:rPr>
        <w:br w:type="textWrapping"/>
      </w:r>
      <w:r>
        <w:rPr>
          <w:rFonts w:hint="eastAsia" w:ascii="仿宋" w:hAnsi="仿宋" w:eastAsia="仿宋" w:cs="仿宋"/>
          <w:sz w:val="32"/>
          <w:szCs w:val="32"/>
        </w:rPr>
        <w:t>（一）评价结论</w:t>
      </w:r>
      <w:r>
        <w:rPr>
          <w:rFonts w:hint="eastAsia" w:ascii="仿宋" w:hAnsi="仿宋" w:eastAsia="仿宋" w:cs="仿宋"/>
          <w:sz w:val="32"/>
          <w:szCs w:val="32"/>
        </w:rPr>
        <w:br w:type="textWrapping"/>
      </w:r>
      <w:r>
        <w:rPr>
          <w:rFonts w:hint="eastAsia" w:ascii="仿宋" w:hAnsi="仿宋" w:eastAsia="仿宋" w:cs="仿宋"/>
          <w:sz w:val="32"/>
          <w:szCs w:val="32"/>
        </w:rPr>
        <w:t xml:space="preserve">    利州区迎接省运会氛围营造项目</w:t>
      </w:r>
      <w:r>
        <w:rPr>
          <w:rFonts w:hint="eastAsia" w:ascii="仿宋" w:hAnsi="仿宋" w:eastAsia="仿宋" w:cs="仿宋"/>
          <w:color w:val="000000" w:themeColor="text1"/>
          <w:sz w:val="32"/>
          <w:szCs w:val="32"/>
        </w:rPr>
        <w:t>营造了全民参与省运、全民服务省运的浓厚氛围，展示了良好的主办城市形象。项目目标明确、资金到位率高、资金使用规范、组织监管</w:t>
      </w:r>
      <w:r>
        <w:rPr>
          <w:rFonts w:hint="eastAsia" w:ascii="仿宋" w:hAnsi="仿宋" w:eastAsia="仿宋" w:cs="仿宋"/>
          <w:sz w:val="32"/>
          <w:szCs w:val="32"/>
        </w:rPr>
        <w:t>体系完善，项目质量达到相关行业标准，符合经济社会发展和客观实际的要求，达到预期绩效目标要求。</w:t>
      </w:r>
      <w:r>
        <w:rPr>
          <w:rFonts w:hint="eastAsia" w:ascii="仿宋" w:hAnsi="仿宋" w:eastAsia="仿宋" w:cs="仿宋"/>
          <w:sz w:val="32"/>
          <w:szCs w:val="32"/>
        </w:rPr>
        <w:br w:type="textWrapping"/>
      </w:r>
      <w:r>
        <w:rPr>
          <w:rFonts w:hint="eastAsia" w:ascii="黑体" w:hAnsi="黑体" w:eastAsia="黑体" w:cs="黑体"/>
          <w:sz w:val="30"/>
          <w:szCs w:val="30"/>
        </w:rPr>
        <w:t>省运会利州区氛围营造</w:t>
      </w:r>
      <w:r>
        <w:rPr>
          <w:rFonts w:hint="eastAsia" w:ascii="黑体" w:hAnsi="黑体" w:eastAsia="黑体" w:cs="黑体"/>
          <w:color w:val="000000"/>
          <w:sz w:val="30"/>
          <w:szCs w:val="30"/>
        </w:rPr>
        <w:t>项目支出绩效评价得分表</w:t>
      </w:r>
    </w:p>
    <w:tbl>
      <w:tblPr>
        <w:tblStyle w:val="12"/>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113"/>
        <w:gridCol w:w="3535"/>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项目名称</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8"/>
                <w:szCs w:val="28"/>
              </w:rPr>
            </w:pPr>
            <w:r>
              <w:rPr>
                <w:rFonts w:hint="eastAsia" w:ascii="黑体" w:hAnsi="黑体" w:eastAsia="黑体" w:cs="黑体"/>
                <w:sz w:val="30"/>
                <w:szCs w:val="30"/>
              </w:rPr>
              <w:t>省运会利州区氛围营造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一级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211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二级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三级指标</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分值</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18"/>
                <w:szCs w:val="18"/>
              </w:rPr>
            </w:pPr>
            <w:r>
              <w:rPr>
                <w:rFonts w:hint="eastAsia" w:ascii="宋体" w:hAnsi="宋体"/>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18"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项目完成指标</w:t>
            </w: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数量指标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利州区辖区省运会及残运会氛围营造</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50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时效指标</w:t>
            </w:r>
          </w:p>
        </w:tc>
        <w:tc>
          <w:tcPr>
            <w:tcW w:w="3535" w:type="dxa"/>
            <w:tcBorders>
              <w:top w:val="single" w:color="auto" w:sz="4" w:space="0"/>
              <w:left w:val="nil"/>
              <w:right w:val="single" w:color="auto" w:sz="4" w:space="0"/>
            </w:tcBorders>
            <w:vAlign w:val="center"/>
          </w:tcPr>
          <w:p>
            <w:pPr>
              <w:widowControl/>
              <w:tabs>
                <w:tab w:val="left" w:pos="533"/>
              </w:tabs>
              <w:jc w:val="center"/>
              <w:textAlignment w:val="center"/>
              <w:rPr>
                <w:rFonts w:ascii="宋体" w:hAnsi="宋体"/>
                <w:color w:val="000000"/>
                <w:kern w:val="0"/>
                <w:sz w:val="20"/>
                <w:szCs w:val="20"/>
              </w:rPr>
            </w:pPr>
            <w:r>
              <w:rPr>
                <w:rFonts w:hint="eastAsia" w:ascii="宋体" w:hAnsi="宋体" w:cs="宋体"/>
                <w:color w:val="000000"/>
                <w:sz w:val="24"/>
              </w:rPr>
              <w:t>2018年8月3日至2018年8月5日</w:t>
            </w:r>
          </w:p>
        </w:tc>
        <w:tc>
          <w:tcPr>
            <w:tcW w:w="1311"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20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1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确保省运会及残运会氛围效果</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20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1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群众知晓率</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10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olor w:val="000000"/>
                <w:kern w:val="0"/>
                <w:sz w:val="20"/>
                <w:szCs w:val="20"/>
              </w:rPr>
            </w:pPr>
            <w:r>
              <w:rPr>
                <w:rFonts w:hint="eastAsia" w:ascii="宋体" w:hAnsi="宋体"/>
                <w:color w:val="000000"/>
                <w:kern w:val="0"/>
                <w:sz w:val="20"/>
                <w:szCs w:val="20"/>
              </w:rPr>
              <w:t>总分</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宋体" w:hAnsi="宋体"/>
                <w:color w:val="000000"/>
                <w:kern w:val="0"/>
              </w:rPr>
            </w:pPr>
            <w:r>
              <w:rPr>
                <w:rFonts w:hint="eastAsia" w:ascii="宋体" w:hAnsi="宋体"/>
                <w:color w:val="000000"/>
                <w:kern w:val="0"/>
              </w:rPr>
              <w:t>100</w:t>
            </w:r>
          </w:p>
        </w:tc>
      </w:tr>
    </w:tbl>
    <w:p>
      <w:pPr>
        <w:spacing w:line="580" w:lineRule="exact"/>
        <w:rPr>
          <w:rFonts w:ascii="仿宋" w:hAnsi="仿宋" w:eastAsia="仿宋" w:cs="仿宋_GB2312"/>
          <w:sz w:val="32"/>
          <w:szCs w:val="32"/>
        </w:rPr>
      </w:pPr>
    </w:p>
    <w:p>
      <w:pPr>
        <w:ind w:firstLine="640" w:firstLineChars="200"/>
        <w:rPr>
          <w:rFonts w:ascii="仿宋" w:hAnsi="仿宋" w:eastAsia="仿宋" w:cs="仿宋"/>
          <w:color w:val="000000" w:themeColor="text1"/>
          <w:sz w:val="32"/>
          <w:szCs w:val="32"/>
        </w:rPr>
      </w:pPr>
      <w:r>
        <w:rPr>
          <w:rFonts w:hint="eastAsia" w:ascii="仿宋" w:hAnsi="仿宋" w:eastAsia="仿宋" w:cs="仿宋"/>
          <w:sz w:val="32"/>
          <w:szCs w:val="32"/>
        </w:rPr>
        <w:t>（二）绩效分析</w:t>
      </w:r>
      <w:r>
        <w:rPr>
          <w:rFonts w:hint="eastAsia" w:ascii="仿宋" w:hAnsi="仿宋" w:eastAsia="仿宋" w:cs="仿宋"/>
          <w:sz w:val="32"/>
          <w:szCs w:val="32"/>
        </w:rPr>
        <w:br w:type="textWrapping"/>
      </w:r>
      <w:r>
        <w:rPr>
          <w:rFonts w:hint="eastAsia" w:ascii="仿宋" w:hAnsi="仿宋" w:eastAsia="仿宋" w:cs="仿宋"/>
          <w:sz w:val="32"/>
          <w:szCs w:val="32"/>
        </w:rPr>
        <w:t>1、项目决策</w:t>
      </w:r>
      <w:r>
        <w:rPr>
          <w:rFonts w:hint="eastAsia" w:ascii="仿宋" w:hAnsi="仿宋" w:eastAsia="仿宋" w:cs="仿宋"/>
          <w:sz w:val="32"/>
          <w:szCs w:val="32"/>
        </w:rPr>
        <w:br w:type="textWrapping"/>
      </w:r>
      <w:r>
        <w:rPr>
          <w:rFonts w:hint="eastAsia" w:ascii="仿宋" w:hAnsi="仿宋" w:eastAsia="仿宋" w:cs="仿宋"/>
          <w:sz w:val="32"/>
          <w:szCs w:val="32"/>
        </w:rPr>
        <w:t>（1）必要性：该项目贯彻落实了</w:t>
      </w:r>
      <w:r>
        <w:rPr>
          <w:rFonts w:hint="eastAsia" w:ascii="仿宋" w:hAnsi="仿宋" w:eastAsia="仿宋" w:cs="仿宋"/>
          <w:color w:val="000000" w:themeColor="text1"/>
          <w:sz w:val="32"/>
          <w:szCs w:val="32"/>
        </w:rPr>
        <w:t>《中共广元市委宣传部关于印发＜近期社会氛围营造工作方案＞的通知》（广宣函〔2018〕40号）、《中共广元市委宣传部关于做好四川省第九届残运会暨第四届特奥会社会宣传工作的通知》（广宣函〔2018〕51号）、《中共广元市委宣传部关于进一步加强四川省第十三届运动会第九届残运会暨第四届特奥会社会宣传工作的通知》（广宣函〔2018〕60号）、《中共广元市委宣传部关于印发《四川省第十三届运动会氛围营造方案（二）》的通知》（广宣〔2018〕77号）文件要求，进一步学习宣传贯彻了省委十一届三次全会和市委七届七次全会精神，突出了喜庆、大气、精美、特色、文明等元素，营造了全民参与省运、全民服务省运的浓厚氛围，展示了良好的主办城市形象。</w:t>
      </w:r>
    </w:p>
    <w:p>
      <w:pPr>
        <w:ind w:firstLine="640" w:firstLineChars="200"/>
        <w:rPr>
          <w:rFonts w:ascii="仿宋" w:hAnsi="仿宋" w:eastAsia="仿宋" w:cs="仿宋"/>
          <w:sz w:val="32"/>
          <w:szCs w:val="32"/>
        </w:rPr>
      </w:pPr>
      <w:r>
        <w:rPr>
          <w:rFonts w:hint="eastAsia" w:ascii="仿宋" w:hAnsi="仿宋" w:eastAsia="仿宋" w:cs="仿宋"/>
          <w:color w:val="000000" w:themeColor="text1"/>
          <w:sz w:val="32"/>
          <w:szCs w:val="32"/>
        </w:rPr>
        <w:t>（2）资金使用情况：</w:t>
      </w:r>
      <w:r>
        <w:rPr>
          <w:rFonts w:hint="eastAsia" w:ascii="仿宋" w:hAnsi="仿宋" w:eastAsia="仿宋" w:cs="仿宋"/>
          <w:sz w:val="32"/>
          <w:szCs w:val="32"/>
        </w:rPr>
        <w:t>在资金使用上，按照市、区财政部门要求，制定了相应的财务管理制度，做到专款专用、专项核算。</w:t>
      </w:r>
    </w:p>
    <w:p>
      <w:pPr>
        <w:ind w:firstLine="640" w:firstLineChars="200"/>
        <w:rPr>
          <w:color w:val="FF0000"/>
        </w:rPr>
      </w:pPr>
      <w:r>
        <w:rPr>
          <w:rFonts w:hint="eastAsia" w:ascii="仿宋" w:hAnsi="仿宋" w:eastAsia="仿宋" w:cs="仿宋"/>
          <w:sz w:val="32"/>
          <w:szCs w:val="32"/>
        </w:rPr>
        <w:t>三、存在主要问题：财政配套压力大，利州区财政收入有限，资金缺口严重，财政压力较大。 </w:t>
      </w:r>
      <w:r>
        <w:rPr>
          <w:rFonts w:hint="eastAsia" w:ascii="仿宋" w:hAnsi="仿宋" w:eastAsia="仿宋" w:cs="仿宋"/>
          <w:sz w:val="32"/>
          <w:szCs w:val="32"/>
        </w:rPr>
        <w:br w:type="textWrapping"/>
      </w:r>
      <w:r>
        <w:rPr>
          <w:rFonts w:hint="eastAsia" w:ascii="仿宋" w:hAnsi="仿宋" w:eastAsia="仿宋" w:cs="仿宋"/>
          <w:sz w:val="32"/>
          <w:szCs w:val="32"/>
        </w:rPr>
        <w:t>（四、相关措施建议：加强上级财政资金支持，确保全区宣传工作正常运行。</w:t>
      </w:r>
      <w:r>
        <w:rPr>
          <w:rFonts w:hint="eastAsia" w:ascii="仿宋" w:hAnsi="仿宋" w:eastAsia="仿宋" w:cs="仿宋"/>
          <w:sz w:val="32"/>
          <w:szCs w:val="32"/>
        </w:rPr>
        <w:br w:type="textWrapping"/>
      </w:r>
    </w:p>
    <w:p/>
    <w:p>
      <w:pPr>
        <w:rPr>
          <w:rFonts w:ascii="仿宋" w:hAnsi="仿宋" w:eastAsia="仿宋" w:cs="仿宋"/>
          <w:sz w:val="32"/>
          <w:szCs w:val="32"/>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6"/>
      <w:bookmarkEnd w:id="60"/>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1"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1"/>
    </w:p>
    <w:p>
      <w:pPr>
        <w:pStyle w:val="3"/>
        <w:rPr>
          <w:rFonts w:ascii="仿宋" w:hAnsi="仿宋" w:eastAsia="仿宋"/>
          <w:color w:val="000000"/>
        </w:rPr>
      </w:pPr>
      <w:bookmarkStart w:id="62"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2"/>
    </w:p>
    <w:p>
      <w:pPr>
        <w:pStyle w:val="3"/>
        <w:rPr>
          <w:rFonts w:ascii="仿宋" w:hAnsi="仿宋" w:eastAsia="仿宋"/>
          <w:color w:val="000000"/>
        </w:rPr>
      </w:pPr>
      <w:bookmarkStart w:id="63"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3"/>
    </w:p>
    <w:p>
      <w:pPr>
        <w:pStyle w:val="3"/>
        <w:rPr>
          <w:rFonts w:ascii="仿宋" w:hAnsi="仿宋" w:eastAsia="仿宋"/>
          <w:b w:val="0"/>
          <w:color w:val="000000"/>
        </w:rPr>
      </w:pPr>
      <w:bookmarkStart w:id="64"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4"/>
    </w:p>
    <w:p>
      <w:pPr>
        <w:pStyle w:val="3"/>
        <w:rPr>
          <w:rFonts w:ascii="仿宋" w:hAnsi="仿宋" w:eastAsia="仿宋"/>
          <w:color w:val="000000"/>
        </w:rPr>
      </w:pPr>
      <w:bookmarkStart w:id="65"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5"/>
    </w:p>
    <w:p>
      <w:pPr>
        <w:pStyle w:val="3"/>
        <w:rPr>
          <w:rFonts w:ascii="仿宋" w:hAnsi="仿宋" w:eastAsia="仿宋"/>
          <w:color w:val="000000"/>
        </w:rPr>
      </w:pPr>
      <w:bookmarkStart w:id="66"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6"/>
    </w:p>
    <w:p>
      <w:pPr>
        <w:pStyle w:val="3"/>
        <w:rPr>
          <w:rFonts w:ascii="仿宋" w:hAnsi="仿宋" w:eastAsia="仿宋"/>
          <w:color w:val="000000"/>
        </w:rPr>
      </w:pPr>
      <w:bookmarkStart w:id="67"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7"/>
    </w:p>
    <w:p>
      <w:pPr>
        <w:pStyle w:val="3"/>
        <w:rPr>
          <w:rFonts w:ascii="仿宋" w:hAnsi="仿宋" w:eastAsia="仿宋"/>
          <w:color w:val="000000"/>
        </w:rPr>
      </w:pPr>
      <w:bookmarkStart w:id="68"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8"/>
    </w:p>
    <w:p>
      <w:pPr>
        <w:pStyle w:val="3"/>
        <w:rPr>
          <w:rFonts w:ascii="仿宋" w:hAnsi="仿宋" w:eastAsia="仿宋"/>
          <w:color w:val="000000"/>
        </w:rPr>
      </w:pPr>
      <w:bookmarkStart w:id="69"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9"/>
    </w:p>
    <w:p>
      <w:pPr>
        <w:pStyle w:val="3"/>
        <w:rPr>
          <w:rFonts w:ascii="仿宋" w:hAnsi="仿宋" w:eastAsia="仿宋"/>
          <w:color w:val="000000"/>
        </w:rPr>
      </w:pPr>
      <w:bookmarkStart w:id="70"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0"/>
    </w:p>
    <w:p>
      <w:pPr>
        <w:pStyle w:val="3"/>
        <w:rPr>
          <w:rFonts w:ascii="仿宋" w:hAnsi="仿宋" w:eastAsia="仿宋"/>
          <w:color w:val="000000"/>
        </w:rPr>
      </w:pPr>
      <w:bookmarkStart w:id="71"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1"/>
    </w:p>
    <w:p>
      <w:pPr>
        <w:pStyle w:val="3"/>
        <w:rPr>
          <w:rFonts w:ascii="仿宋" w:hAnsi="仿宋" w:eastAsia="仿宋"/>
          <w:color w:val="000000"/>
        </w:rPr>
      </w:pPr>
      <w:bookmarkStart w:id="72"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2"/>
    </w:p>
    <w:p>
      <w:pPr>
        <w:pStyle w:val="3"/>
        <w:rPr>
          <w:rFonts w:ascii="仿宋" w:hAnsi="仿宋" w:eastAsia="仿宋"/>
          <w:color w:val="000000" w:themeColor="text1"/>
        </w:rPr>
      </w:pPr>
      <w:bookmarkStart w:id="73"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_GB2312"/>
    <w:panose1 w:val="00000000000000000000"/>
    <w:charset w:val="86"/>
    <w:family w:val="auto"/>
    <w:pitch w:val="default"/>
    <w:sig w:usb0="00000000" w:usb1="00000000" w:usb2="00000010" w:usb3="00000000" w:csb0="0004009F" w:csb1="00000000"/>
  </w:font>
  <w:font w:name="方正大标宋简体">
    <w:altName w:val="宋体"/>
    <w:panose1 w:val="00000000000000000000"/>
    <w:charset w:val="86"/>
    <w:family w:val="auto"/>
    <w:pitch w:val="default"/>
    <w:sig w:usb0="00000000" w:usb1="00000000" w:usb2="0000001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F18606"/>
    <w:multiLevelType w:val="singleLevel"/>
    <w:tmpl w:val="C1F18606"/>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591251A3"/>
    <w:multiLevelType w:val="singleLevel"/>
    <w:tmpl w:val="591251A3"/>
    <w:lvl w:ilvl="0" w:tentative="0">
      <w:start w:val="1"/>
      <w:numFmt w:val="chineseCounting"/>
      <w:suff w:val="nothing"/>
      <w:lvlText w:val="%1、"/>
      <w:lvlJc w:val="left"/>
      <w:rPr>
        <w:rFonts w:hint="eastAsia"/>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7746"/>
    <w:rsid w:val="0057481D"/>
    <w:rsid w:val="0058486E"/>
    <w:rsid w:val="005D1C8B"/>
    <w:rsid w:val="005D5CED"/>
    <w:rsid w:val="005F1A4C"/>
    <w:rsid w:val="00605688"/>
    <w:rsid w:val="006070AF"/>
    <w:rsid w:val="00607E6C"/>
    <w:rsid w:val="006101B1"/>
    <w:rsid w:val="00612C2D"/>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128BF"/>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163"/>
    <w:rsid w:val="00871F71"/>
    <w:rsid w:val="00885AF4"/>
    <w:rsid w:val="008939CD"/>
    <w:rsid w:val="008B768C"/>
    <w:rsid w:val="008C4DB1"/>
    <w:rsid w:val="008C4EAF"/>
    <w:rsid w:val="008C5176"/>
    <w:rsid w:val="008C7FD0"/>
    <w:rsid w:val="008E1DE7"/>
    <w:rsid w:val="008E707C"/>
    <w:rsid w:val="008F3EFD"/>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961A9"/>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650AE"/>
    <w:rsid w:val="00E82267"/>
    <w:rsid w:val="00E82CBC"/>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31A22E7"/>
    <w:rsid w:val="04FB4C3C"/>
    <w:rsid w:val="05F967C0"/>
    <w:rsid w:val="069B35A7"/>
    <w:rsid w:val="07166649"/>
    <w:rsid w:val="07243CE3"/>
    <w:rsid w:val="07A1019E"/>
    <w:rsid w:val="090E4643"/>
    <w:rsid w:val="0A032381"/>
    <w:rsid w:val="0BC727B4"/>
    <w:rsid w:val="0BDF5E67"/>
    <w:rsid w:val="0C8F6FCD"/>
    <w:rsid w:val="0D321895"/>
    <w:rsid w:val="0E09267B"/>
    <w:rsid w:val="0EA10C5D"/>
    <w:rsid w:val="0F320009"/>
    <w:rsid w:val="10C055FF"/>
    <w:rsid w:val="10CC70BA"/>
    <w:rsid w:val="11F640A1"/>
    <w:rsid w:val="1223231E"/>
    <w:rsid w:val="124205B1"/>
    <w:rsid w:val="125C7087"/>
    <w:rsid w:val="1328385D"/>
    <w:rsid w:val="143733B2"/>
    <w:rsid w:val="14475C8D"/>
    <w:rsid w:val="14475F4B"/>
    <w:rsid w:val="14895A38"/>
    <w:rsid w:val="159332DB"/>
    <w:rsid w:val="15AC0577"/>
    <w:rsid w:val="15B275C0"/>
    <w:rsid w:val="162F736B"/>
    <w:rsid w:val="163B6045"/>
    <w:rsid w:val="164679F8"/>
    <w:rsid w:val="16993968"/>
    <w:rsid w:val="16B97302"/>
    <w:rsid w:val="16BB723D"/>
    <w:rsid w:val="17144A67"/>
    <w:rsid w:val="184C2FCF"/>
    <w:rsid w:val="18C113C1"/>
    <w:rsid w:val="18E54860"/>
    <w:rsid w:val="18FD225F"/>
    <w:rsid w:val="19C17E54"/>
    <w:rsid w:val="19F77374"/>
    <w:rsid w:val="1A7A63B4"/>
    <w:rsid w:val="1AA11B12"/>
    <w:rsid w:val="1D9E1CCB"/>
    <w:rsid w:val="1DFD49D9"/>
    <w:rsid w:val="1E46504D"/>
    <w:rsid w:val="1EC62A09"/>
    <w:rsid w:val="1F7A60B2"/>
    <w:rsid w:val="20E47708"/>
    <w:rsid w:val="21574D8A"/>
    <w:rsid w:val="215F2F19"/>
    <w:rsid w:val="21E96B6B"/>
    <w:rsid w:val="21F85EE0"/>
    <w:rsid w:val="230145A8"/>
    <w:rsid w:val="23586276"/>
    <w:rsid w:val="240371BF"/>
    <w:rsid w:val="24947442"/>
    <w:rsid w:val="24F744E9"/>
    <w:rsid w:val="25365C0D"/>
    <w:rsid w:val="25A15393"/>
    <w:rsid w:val="25D61B00"/>
    <w:rsid w:val="26190CE9"/>
    <w:rsid w:val="26F17E3F"/>
    <w:rsid w:val="278B7D5D"/>
    <w:rsid w:val="27C8212D"/>
    <w:rsid w:val="29013C89"/>
    <w:rsid w:val="293A717E"/>
    <w:rsid w:val="29B209BA"/>
    <w:rsid w:val="29FD04D3"/>
    <w:rsid w:val="2A0D2D74"/>
    <w:rsid w:val="2A4272E1"/>
    <w:rsid w:val="2AEC7B10"/>
    <w:rsid w:val="2BEC2C48"/>
    <w:rsid w:val="2C030655"/>
    <w:rsid w:val="2C4E48FB"/>
    <w:rsid w:val="2C6431C2"/>
    <w:rsid w:val="2C6D51B7"/>
    <w:rsid w:val="2C781812"/>
    <w:rsid w:val="2CAA78B0"/>
    <w:rsid w:val="2DC87BB0"/>
    <w:rsid w:val="2E604E0B"/>
    <w:rsid w:val="2F5414F1"/>
    <w:rsid w:val="2FF66458"/>
    <w:rsid w:val="30356401"/>
    <w:rsid w:val="30862D90"/>
    <w:rsid w:val="319F7F4E"/>
    <w:rsid w:val="32170822"/>
    <w:rsid w:val="32835250"/>
    <w:rsid w:val="32BE08EF"/>
    <w:rsid w:val="32DF4F53"/>
    <w:rsid w:val="336C0E0C"/>
    <w:rsid w:val="34C5385F"/>
    <w:rsid w:val="34F65A68"/>
    <w:rsid w:val="353E4608"/>
    <w:rsid w:val="35BB104B"/>
    <w:rsid w:val="377F394C"/>
    <w:rsid w:val="39570B18"/>
    <w:rsid w:val="398702A2"/>
    <w:rsid w:val="3A475EE7"/>
    <w:rsid w:val="3B7E4250"/>
    <w:rsid w:val="3BDB2E4A"/>
    <w:rsid w:val="3D39530D"/>
    <w:rsid w:val="3D6B6A17"/>
    <w:rsid w:val="3D8B52F1"/>
    <w:rsid w:val="3E797AAC"/>
    <w:rsid w:val="3EB67090"/>
    <w:rsid w:val="3F094F72"/>
    <w:rsid w:val="3F5548B7"/>
    <w:rsid w:val="40163FB3"/>
    <w:rsid w:val="41204AF7"/>
    <w:rsid w:val="423A1068"/>
    <w:rsid w:val="43A80369"/>
    <w:rsid w:val="4437661B"/>
    <w:rsid w:val="448A19B7"/>
    <w:rsid w:val="449909A3"/>
    <w:rsid w:val="45F72EF4"/>
    <w:rsid w:val="46876DD0"/>
    <w:rsid w:val="46FA1F0D"/>
    <w:rsid w:val="470872C1"/>
    <w:rsid w:val="475630ED"/>
    <w:rsid w:val="48057CA1"/>
    <w:rsid w:val="48254290"/>
    <w:rsid w:val="485A3EA1"/>
    <w:rsid w:val="48C01BF7"/>
    <w:rsid w:val="48CE2348"/>
    <w:rsid w:val="492312AB"/>
    <w:rsid w:val="49D161A2"/>
    <w:rsid w:val="49D76C99"/>
    <w:rsid w:val="4A2B1FEF"/>
    <w:rsid w:val="4AA524D2"/>
    <w:rsid w:val="4B256019"/>
    <w:rsid w:val="4B987CDD"/>
    <w:rsid w:val="4CC701ED"/>
    <w:rsid w:val="4CD643FA"/>
    <w:rsid w:val="4E5E76EA"/>
    <w:rsid w:val="4E7D142F"/>
    <w:rsid w:val="4ECB77FA"/>
    <w:rsid w:val="4EDE40AC"/>
    <w:rsid w:val="4EE83462"/>
    <w:rsid w:val="4FB45B4E"/>
    <w:rsid w:val="4FBC4839"/>
    <w:rsid w:val="4FEF6207"/>
    <w:rsid w:val="509054D9"/>
    <w:rsid w:val="51AB51B2"/>
    <w:rsid w:val="527F34AE"/>
    <w:rsid w:val="52D44898"/>
    <w:rsid w:val="5307480B"/>
    <w:rsid w:val="53A15A5E"/>
    <w:rsid w:val="53D7092D"/>
    <w:rsid w:val="540E1F96"/>
    <w:rsid w:val="548A42C0"/>
    <w:rsid w:val="54C15979"/>
    <w:rsid w:val="54C8082A"/>
    <w:rsid w:val="55112813"/>
    <w:rsid w:val="561B1A7C"/>
    <w:rsid w:val="56D94561"/>
    <w:rsid w:val="56DC34A0"/>
    <w:rsid w:val="58FC567F"/>
    <w:rsid w:val="59426D92"/>
    <w:rsid w:val="595B5BD7"/>
    <w:rsid w:val="5A280718"/>
    <w:rsid w:val="5A3110D8"/>
    <w:rsid w:val="5AB361F0"/>
    <w:rsid w:val="5AC75156"/>
    <w:rsid w:val="5B3E4619"/>
    <w:rsid w:val="5BD04E8A"/>
    <w:rsid w:val="5C8149AA"/>
    <w:rsid w:val="5C996E8A"/>
    <w:rsid w:val="5D241652"/>
    <w:rsid w:val="5DE77F6C"/>
    <w:rsid w:val="5EE44573"/>
    <w:rsid w:val="5F9C6912"/>
    <w:rsid w:val="605236BE"/>
    <w:rsid w:val="6077397B"/>
    <w:rsid w:val="60DE7E55"/>
    <w:rsid w:val="6199253C"/>
    <w:rsid w:val="61E94157"/>
    <w:rsid w:val="62056A6F"/>
    <w:rsid w:val="62BE6375"/>
    <w:rsid w:val="63171C13"/>
    <w:rsid w:val="639875F7"/>
    <w:rsid w:val="63A960E2"/>
    <w:rsid w:val="641A38D2"/>
    <w:rsid w:val="64C52D63"/>
    <w:rsid w:val="64CF0783"/>
    <w:rsid w:val="64E11C59"/>
    <w:rsid w:val="6A8203A6"/>
    <w:rsid w:val="6AC9783F"/>
    <w:rsid w:val="6BEA7E61"/>
    <w:rsid w:val="6C5D391B"/>
    <w:rsid w:val="6CAD75D6"/>
    <w:rsid w:val="6DD064A8"/>
    <w:rsid w:val="6E88455E"/>
    <w:rsid w:val="70207E47"/>
    <w:rsid w:val="70354AF8"/>
    <w:rsid w:val="70783F89"/>
    <w:rsid w:val="70E35985"/>
    <w:rsid w:val="711F45D9"/>
    <w:rsid w:val="7139397A"/>
    <w:rsid w:val="71414B03"/>
    <w:rsid w:val="71432FDE"/>
    <w:rsid w:val="71E16C00"/>
    <w:rsid w:val="72232A51"/>
    <w:rsid w:val="727E2161"/>
    <w:rsid w:val="736F1172"/>
    <w:rsid w:val="73CA5C7D"/>
    <w:rsid w:val="73CE3402"/>
    <w:rsid w:val="73DB3525"/>
    <w:rsid w:val="744B4B0F"/>
    <w:rsid w:val="75696B5C"/>
    <w:rsid w:val="75A857DA"/>
    <w:rsid w:val="75E665C2"/>
    <w:rsid w:val="761C1E5F"/>
    <w:rsid w:val="763E6871"/>
    <w:rsid w:val="764431AE"/>
    <w:rsid w:val="76CF2AFC"/>
    <w:rsid w:val="77086378"/>
    <w:rsid w:val="77AD6D1A"/>
    <w:rsid w:val="78A53B14"/>
    <w:rsid w:val="78F662F5"/>
    <w:rsid w:val="79027C52"/>
    <w:rsid w:val="79DB42BB"/>
    <w:rsid w:val="79FF7BCE"/>
    <w:rsid w:val="7AE90094"/>
    <w:rsid w:val="7C0B4284"/>
    <w:rsid w:val="7C3F11FC"/>
    <w:rsid w:val="7CD64994"/>
    <w:rsid w:val="7DA61600"/>
    <w:rsid w:val="7E2F2BCC"/>
    <w:rsid w:val="7E4442FF"/>
    <w:rsid w:val="7E7C20B9"/>
    <w:rsid w:val="7EC22B1E"/>
    <w:rsid w:val="7F7E5088"/>
    <w:rsid w:val="FF6785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10"/>
    </mc:Choice>
    <mc:Fallback>
      <c:style val="10"/>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t>收支决算总计变动情况图</a:t>
            </a:r>
            <a:endParaRPr lang="zh-CN"/>
          </a:p>
          <a:p>
            <a:pPr>
              <a:defRPr lang="zh-CN" sz="1800" b="1" i="0" u="none" strike="noStrike" kern="1200" baseline="0">
                <a:solidFill>
                  <a:schemeClr val="tx1"/>
                </a:solidFill>
                <a:latin typeface="+mn-lt"/>
                <a:ea typeface="+mn-ea"/>
                <a:cs typeface="+mn-cs"/>
              </a:defRPr>
            </a:pPr>
            <a:r>
              <a:rPr lang="zh-CN" sz="1000"/>
              <a:t>单位：万元</a:t>
            </a:r>
            <a:endParaRPr lang="zh-CN" sz="1000"/>
          </a:p>
        </c:rich>
      </c:tx>
      <c:layout>
        <c:manualLayout>
          <c:xMode val="edge"/>
          <c:yMode val="edge"/>
          <c:x val="0.284534857836291"/>
          <c:y val="0.029"/>
        </c:manualLayout>
      </c:layout>
      <c:overlay val="false"/>
    </c:title>
    <c:autoTitleDeleted val="false"/>
    <c:plotArea>
      <c:layout/>
      <c:barChart>
        <c:barDir val="col"/>
        <c:grouping val="clustered"/>
        <c:varyColors val="false"/>
        <c:ser>
          <c:idx val="0"/>
          <c:order val="0"/>
          <c:tx>
            <c:strRef>
              <c:f>Sheet1!$A$2</c:f>
              <c:strCache>
                <c:ptCount val="1"/>
                <c:pt idx="0">
                  <c:v>2017</c:v>
                </c:pt>
              </c:strCache>
            </c:strRef>
          </c:tx>
          <c:invertIfNegative val="false"/>
          <c:dLbls>
            <c:dLbl>
              <c:idx val="0"/>
              <c:layout>
                <c:manualLayout>
                  <c:x val="-0.00500375281461094"/>
                  <c:y val="0.113333333333333"/>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
                  <c:y val="0.146666666666667"/>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Sheet1!$B$1:$C$1</c:f>
              <c:strCache>
                <c:ptCount val="2"/>
                <c:pt idx="0">
                  <c:v>收入</c:v>
                </c:pt>
                <c:pt idx="1">
                  <c:v>支出</c:v>
                </c:pt>
              </c:strCache>
            </c:strRef>
          </c:cat>
          <c:val>
            <c:numRef>
              <c:f>Sheet1!$B$2:$C$2</c:f>
              <c:numCache>
                <c:formatCode>General</c:formatCode>
                <c:ptCount val="2"/>
                <c:pt idx="0">
                  <c:v>543.86</c:v>
                </c:pt>
                <c:pt idx="1" c:formatCode="0.00_ ">
                  <c:v>523.12</c:v>
                </c:pt>
              </c:numCache>
            </c:numRef>
          </c:val>
        </c:ser>
        <c:ser>
          <c:idx val="1"/>
          <c:order val="1"/>
          <c:tx>
            <c:strRef>
              <c:f>Sheet1!$A$3</c:f>
              <c:strCache>
                <c:ptCount val="1"/>
                <c:pt idx="0">
                  <c:v>2018</c:v>
                </c:pt>
              </c:strCache>
            </c:strRef>
          </c:tx>
          <c:invertIfNegative val="false"/>
          <c:dLbls>
            <c:dLbl>
              <c:idx val="0"/>
              <c:layout>
                <c:manualLayout>
                  <c:x val="0.00750562922191644"/>
                  <c:y val="0.126666666666667"/>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125093820365275"/>
                  <c:y val="0.166666666666667"/>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Sheet1!$B$1:$C$1</c:f>
              <c:strCache>
                <c:ptCount val="2"/>
                <c:pt idx="0">
                  <c:v>收入</c:v>
                </c:pt>
                <c:pt idx="1">
                  <c:v>支出</c:v>
                </c:pt>
              </c:strCache>
            </c:strRef>
          </c:cat>
          <c:val>
            <c:numRef>
              <c:f>Sheet1!$B$3:$C$3</c:f>
              <c:numCache>
                <c:formatCode>General</c:formatCode>
                <c:ptCount val="2"/>
                <c:pt idx="0">
                  <c:v>569.86</c:v>
                </c:pt>
                <c:pt idx="1">
                  <c:v>590.34</c:v>
                </c:pt>
              </c:numCache>
            </c:numRef>
          </c:val>
        </c:ser>
        <c:dLbls>
          <c:showLegendKey val="false"/>
          <c:showVal val="true"/>
          <c:showCatName val="false"/>
          <c:showSerName val="false"/>
          <c:showPercent val="false"/>
          <c:showBubbleSize val="false"/>
        </c:dLbls>
        <c:gapWidth val="150"/>
        <c:axId val="99110912"/>
        <c:axId val="99153408"/>
      </c:barChart>
      <c:catAx>
        <c:axId val="99110912"/>
        <c:scaling>
          <c:orientation val="minMax"/>
        </c:scaling>
        <c:delete val="false"/>
        <c:axPos val="b"/>
        <c:numFmt formatCode="General" sourceLinked="fals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99153408"/>
        <c:crosses val="autoZero"/>
        <c:auto val="true"/>
        <c:lblAlgn val="ctr"/>
        <c:lblOffset val="100"/>
        <c:noMultiLvlLbl val="false"/>
      </c:catAx>
      <c:valAx>
        <c:axId val="99153408"/>
        <c:scaling>
          <c:orientation val="minMax"/>
        </c:scaling>
        <c:delete val="false"/>
        <c:axPos val="l"/>
        <c:majorGridlines/>
        <c:numFmt formatCode="General"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99110912"/>
        <c:crosses val="autoZero"/>
        <c:crossBetween val="between"/>
      </c:valAx>
    </c:plotArea>
    <c:legend>
      <c:legendPos val="b"/>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t>收入决算结构图</a:t>
            </a:r>
            <a:endParaRPr lang="zh-CN"/>
          </a:p>
          <a:p>
            <a:pPr>
              <a:defRPr lang="zh-CN" sz="1800" b="1" i="0" u="none" strike="noStrike" kern="1200" baseline="0">
                <a:solidFill>
                  <a:schemeClr val="tx1"/>
                </a:solidFill>
                <a:latin typeface="+mn-lt"/>
                <a:ea typeface="+mn-ea"/>
                <a:cs typeface="+mn-cs"/>
              </a:defRPr>
            </a:pPr>
            <a:r>
              <a:rPr lang="zh-CN" sz="1000"/>
              <a:t>单位：万元</a:t>
            </a:r>
            <a:endParaRPr lang="zh-CN" sz="1000"/>
          </a:p>
        </c:rich>
      </c:tx>
      <c:layout/>
      <c:overlay val="false"/>
    </c:title>
    <c:autoTitleDeleted val="false"/>
    <c:plotArea>
      <c:layout/>
      <c:pieChart>
        <c:varyColors val="true"/>
        <c:ser>
          <c:idx val="0"/>
          <c:order val="0"/>
          <c:explosion val="0"/>
          <c:dPt>
            <c:idx val="0"/>
            <c:bubble3D val="false"/>
          </c:dPt>
          <c:dPt>
            <c:idx val="1"/>
            <c:bubble3D val="false"/>
          </c:dPt>
          <c:dLbls>
            <c:spPr>
              <a:noFill/>
              <a:ln>
                <a:noFill/>
              </a:ln>
              <a:effectLst/>
            </c:spPr>
            <c:txPr>
              <a:bodyPr rot="0" spcFirstLastPara="0" vertOverflow="ellipsis" vert="horz" wrap="square" lIns="38100" tIns="19050" rIns="38100" bIns="19050" anchor="ctr" anchorCtr="true"/>
              <a:lstStyle/>
              <a:p>
                <a:pPr>
                  <a:defRPr lang="zh-CN" sz="1000" b="1"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Sheet1!$A$3:$A$4</c:f>
              <c:strCache>
                <c:ptCount val="2"/>
                <c:pt idx="0">
                  <c:v>一般公共预算财政拨款收入</c:v>
                </c:pt>
                <c:pt idx="1">
                  <c:v>政府性基金预算财政拨款收入</c:v>
                </c:pt>
              </c:strCache>
            </c:strRef>
          </c:cat>
          <c:val>
            <c:numRef>
              <c:f>Sheet1!$B$3:$B$4</c:f>
              <c:numCache>
                <c:formatCode>General</c:formatCode>
                <c:ptCount val="2"/>
                <c:pt idx="0">
                  <c:v>569.86</c:v>
                </c:pt>
                <c:pt idx="1">
                  <c:v>0</c:v>
                </c:pt>
              </c:numCache>
            </c:numRef>
          </c:val>
        </c:ser>
        <c:dLbls>
          <c:showLegendKey val="false"/>
          <c:showVal val="true"/>
          <c:showCatName val="false"/>
          <c:showSerName val="false"/>
          <c:showPercent val="false"/>
          <c:showBubbleSize val="false"/>
          <c:showLeaderLines val="true"/>
        </c:dLbls>
        <c:firstSliceAng val="0"/>
      </c:pieChart>
    </c:plotArea>
    <c:legend>
      <c:legendPos val="b"/>
      <c:layout/>
      <c:overlay val="false"/>
      <c:txPr>
        <a:bodyPr rot="0" spcFirstLastPara="0" vertOverflow="ellipsis" vert="horz" wrap="square" anchor="ctr" anchorCtr="true"/>
        <a:lstStyle/>
        <a:p>
          <a:pPr>
            <a:defRPr lang="zh-CN" sz="1000" b="1"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b="1"/>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支出决算结构图</a:t>
            </a:r>
            <a:endParaRPr lang="zh-CN" altLang="en-US"/>
          </a:p>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单位：万元</a:t>
            </a:r>
            <a:endParaRPr lang="zh-CN" altLang="en-US"/>
          </a:p>
        </c:rich>
      </c:tx>
      <c:layout/>
      <c:overlay val="false"/>
      <c:spPr>
        <a:noFill/>
        <a:ln>
          <a:noFill/>
        </a:ln>
        <a:effectLst/>
      </c:spPr>
    </c:title>
    <c:autoTitleDeleted val="false"/>
    <c:plotArea>
      <c:layout/>
      <c:pieChart>
        <c:varyColors val="true"/>
        <c:ser>
          <c:idx val="0"/>
          <c:order val="0"/>
          <c:tx>
            <c:strRef>
              <c:f>Sheet1!$B$1</c:f>
              <c:strCache>
                <c:ptCount val="1"/>
                <c:pt idx="0">
                  <c:v>列1</c:v>
                </c:pt>
              </c:strCache>
            </c:strRef>
          </c:tx>
          <c:explosion val="0"/>
          <c:dPt>
            <c:idx val="0"/>
            <c:bubble3D val="false"/>
            <c:spPr>
              <a:solidFill>
                <a:schemeClr val="accent6"/>
              </a:solidFill>
              <a:ln w="19050">
                <a:solidFill>
                  <a:schemeClr val="lt1"/>
                </a:solidFill>
              </a:ln>
              <a:effectLst/>
            </c:spPr>
          </c:dPt>
          <c:dPt>
            <c:idx val="1"/>
            <c:bubble3D val="false"/>
            <c:spPr>
              <a:noFill/>
              <a:ln w="19050">
                <a:solidFill>
                  <a:schemeClr val="lt1"/>
                </a:solidFill>
              </a:ln>
              <a:effectLst/>
            </c:spPr>
          </c:dPt>
          <c:dPt>
            <c:idx val="2"/>
            <c:bubble3D val="false"/>
            <c:spPr>
              <a:noFill/>
              <a:ln w="19050">
                <a:solidFill>
                  <a:schemeClr val="lt1"/>
                </a:solidFill>
              </a:ln>
              <a:effectLst/>
            </c:spPr>
          </c:dPt>
          <c:dPt>
            <c:idx val="3"/>
            <c:bubble3D val="false"/>
            <c:spPr>
              <a:solidFill>
                <a:schemeClr val="accent1"/>
              </a:solidFill>
              <a:ln w="19050">
                <a:solidFill>
                  <a:schemeClr val="lt1"/>
                </a:solidFill>
              </a:ln>
              <a:effectLst/>
            </c:spPr>
          </c:dPt>
          <c:dLbls>
            <c:dLbl>
              <c:idx val="1"/>
              <c:delete val="true"/>
            </c:dLbl>
            <c:dLbl>
              <c:idx val="2"/>
              <c:delete val="true"/>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基本支出</c:v>
                </c:pt>
                <c:pt idx="3">
                  <c:v>项目支出</c:v>
                </c:pt>
              </c:strCache>
            </c:strRef>
          </c:cat>
          <c:val>
            <c:numRef>
              <c:f>Sheet1!$B$2:$B$5</c:f>
              <c:numCache>
                <c:formatCode>General</c:formatCode>
                <c:ptCount val="4"/>
                <c:pt idx="0">
                  <c:v>499.14</c:v>
                </c:pt>
                <c:pt idx="3">
                  <c:v>91.2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财政拨款收、支决算总计变动情况</a:t>
            </a:r>
            <a:endParaRPr lang="zh-CN" altLang="en-US"/>
          </a:p>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单位：万元</a:t>
            </a:r>
            <a:endParaRPr lang="zh-CN" altLang="en-US"/>
          </a:p>
        </c:rich>
      </c:tx>
      <c:layout/>
      <c:overlay val="false"/>
      <c:spPr>
        <a:noFill/>
        <a:ln>
          <a:noFill/>
        </a:ln>
        <a:effectLst/>
      </c:spPr>
    </c:title>
    <c:autoTitleDeleted val="false"/>
    <c:plotArea>
      <c:layout/>
      <c:barChart>
        <c:barDir val="col"/>
        <c:grouping val="clustered"/>
        <c:varyColors val="false"/>
        <c:ser>
          <c:idx val="0"/>
          <c:order val="0"/>
          <c:tx>
            <c:strRef>
              <c:f>Sheet1!$A$2</c:f>
              <c:strCache>
                <c:ptCount val="1"/>
                <c:pt idx="0">
                  <c:v>2017年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Sheet1!$B$1:$C$1</c:f>
              <c:strCache>
                <c:ptCount val="2"/>
                <c:pt idx="0">
                  <c:v>收入</c:v>
                </c:pt>
                <c:pt idx="1">
                  <c:v>支出</c:v>
                </c:pt>
              </c:strCache>
            </c:strRef>
          </c:cat>
          <c:val>
            <c:numRef>
              <c:f>Sheet1!$B$2:$C$2</c:f>
              <c:numCache>
                <c:formatCode>0.00_ </c:formatCode>
                <c:ptCount val="2"/>
                <c:pt idx="0">
                  <c:v>543.86</c:v>
                </c:pt>
                <c:pt idx="1">
                  <c:v>523.12</c:v>
                </c:pt>
              </c:numCache>
            </c:numRef>
          </c:val>
        </c:ser>
        <c:ser>
          <c:idx val="1"/>
          <c:order val="1"/>
          <c:tx>
            <c:strRef>
              <c:f>Sheet1!$A$3</c:f>
              <c:strCache>
                <c:ptCount val="1"/>
                <c:pt idx="0">
                  <c:v>2018年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Sheet1!$B$1:$C$1</c:f>
              <c:strCache>
                <c:ptCount val="2"/>
                <c:pt idx="0">
                  <c:v>收入</c:v>
                </c:pt>
                <c:pt idx="1">
                  <c:v>支出</c:v>
                </c:pt>
              </c:strCache>
            </c:strRef>
          </c:cat>
          <c:val>
            <c:numRef>
              <c:f>Sheet1!$B$3:$C$3</c:f>
              <c:numCache>
                <c:formatCode>General</c:formatCode>
                <c:ptCount val="2"/>
                <c:pt idx="0">
                  <c:v>569.86</c:v>
                </c:pt>
                <c:pt idx="1">
                  <c:v>590.34</c:v>
                </c:pt>
              </c:numCache>
            </c:numRef>
          </c:val>
        </c:ser>
        <c:dLbls>
          <c:showLegendKey val="false"/>
          <c:showVal val="true"/>
          <c:showCatName val="false"/>
          <c:showSerName val="false"/>
          <c:showPercent val="false"/>
          <c:showBubbleSize val="false"/>
        </c:dLbls>
        <c:gapWidth val="150"/>
        <c:axId val="218388352"/>
        <c:axId val="218414080"/>
      </c:barChart>
      <c:catAx>
        <c:axId val="218388352"/>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18414080"/>
        <c:crosses val="autoZero"/>
        <c:auto val="true"/>
        <c:lblAlgn val="ctr"/>
        <c:lblOffset val="100"/>
        <c:noMultiLvlLbl val="false"/>
      </c:catAx>
      <c:valAx>
        <c:axId val="218414080"/>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0.00_ " sourceLinked="true"/>
        <c:majorTickMark val="none"/>
        <c:minorTickMark val="none"/>
        <c:tickLblPos val="nextTo"/>
        <c:spPr>
          <a:noFill/>
          <a:ln w="9525" cap="flat" cmpd="sng" algn="ctr">
            <a:no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18388352"/>
        <c:crosses val="autoZero"/>
        <c:crossBetween val="between"/>
      </c:valAx>
      <c:spPr>
        <a:noFill/>
        <a:ln>
          <a:noFill/>
        </a:ln>
        <a:effectLst/>
      </c:spPr>
    </c:plotArea>
    <c:legend>
      <c:legendPos val="b"/>
      <c:layout>
        <c:manualLayout>
          <c:xMode val="edge"/>
          <c:yMode val="edge"/>
          <c:x val="0.423125"/>
          <c:y val="0.922"/>
        </c:manualLayout>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一般公共预算财政拨款支出决算变动情况</a:t>
            </a:r>
            <a:endParaRPr lang="zh-CN" altLang="en-US"/>
          </a:p>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单位：万元</a:t>
            </a:r>
            <a:endParaRPr lang="zh-CN" altLang="en-US"/>
          </a:p>
        </c:rich>
      </c:tx>
      <c:layout/>
      <c:overlay val="false"/>
      <c:spPr>
        <a:noFill/>
        <a:ln>
          <a:noFill/>
        </a:ln>
        <a:effectLst/>
      </c:spPr>
    </c:title>
    <c:autoTitleDeleted val="false"/>
    <c:plotArea>
      <c:layout/>
      <c:barChart>
        <c:barDir val="col"/>
        <c:grouping val="stacked"/>
        <c:varyColors val="false"/>
        <c:ser>
          <c:idx val="0"/>
          <c:order val="0"/>
          <c:tx>
            <c:strRef>
              <c:f>Sheet1!$B$1</c:f>
              <c:strCache>
                <c:ptCount val="1"/>
                <c:pt idx="0">
                  <c:v>2018年</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Sheet1!$A$2:$A$5</c:f>
              <c:strCache>
                <c:ptCount val="3"/>
                <c:pt idx="1">
                  <c:v>2018年</c:v>
                </c:pt>
                <c:pt idx="2">
                  <c:v>2017年</c:v>
                </c:pt>
              </c:strCache>
            </c:strRef>
          </c:cat>
          <c:val>
            <c:numRef>
              <c:f>Sheet1!$B$2:$B$5</c:f>
              <c:numCache>
                <c:formatCode>General</c:formatCode>
                <c:ptCount val="4"/>
                <c:pt idx="1">
                  <c:v>590.34</c:v>
                </c:pt>
              </c:numCache>
            </c:numRef>
          </c:val>
        </c:ser>
        <c:ser>
          <c:idx val="1"/>
          <c:order val="1"/>
          <c:tx>
            <c:strRef>
              <c:f>Sheet1!$C$1</c:f>
              <c:strCache>
                <c:ptCount val="1"/>
                <c:pt idx="0">
                  <c:v>2017年</c:v>
                </c:pt>
              </c:strCache>
            </c:strRef>
          </c:tx>
          <c:spPr>
            <a:solidFill>
              <a:schemeClr val="accent6"/>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Sheet1!$A$2:$A$5</c:f>
              <c:strCache>
                <c:ptCount val="3"/>
                <c:pt idx="1">
                  <c:v>2018年</c:v>
                </c:pt>
                <c:pt idx="2">
                  <c:v>2017年</c:v>
                </c:pt>
              </c:strCache>
            </c:strRef>
          </c:cat>
          <c:val>
            <c:numRef>
              <c:f>Sheet1!$C$2:$C$5</c:f>
              <c:numCache>
                <c:formatCode>General</c:formatCode>
                <c:ptCount val="4"/>
                <c:pt idx="2" c:formatCode="0.00_ ">
                  <c:v>523.12</c:v>
                </c:pt>
              </c:numCache>
            </c:numRef>
          </c:val>
        </c:ser>
        <c:ser>
          <c:idx val="2"/>
          <c:order val="2"/>
          <c:tx>
            <c:strRef>
              <c:f>Sheet1!$D$1</c:f>
              <c:strCache>
                <c:ptCount val="1"/>
                <c:pt idx="0">
                  <c:v/>
                </c:pt>
              </c:strCache>
            </c:strRef>
          </c:tx>
          <c:spPr>
            <a:noFill/>
            <a:ln>
              <a:noFill/>
            </a:ln>
            <a:effectLst/>
          </c:spPr>
          <c:invertIfNegative val="false"/>
          <c:dLbls>
            <c:delete val="true"/>
          </c:dLbls>
          <c:cat>
            <c:strRef>
              <c:f>Sheet1!$A$2:$A$5</c:f>
              <c:strCache>
                <c:ptCount val="3"/>
                <c:pt idx="1">
                  <c:v>2018年</c:v>
                </c:pt>
                <c:pt idx="2">
                  <c:v>2017年</c:v>
                </c:pt>
              </c:strCache>
            </c:strRef>
          </c:cat>
          <c:val>
            <c:numRef>
              <c:f>Sheet1!$D$2:$D$5</c:f>
              <c:numCache>
                <c:formatCode>General</c:formatCode>
                <c:ptCount val="4"/>
              </c:numCache>
            </c:numRef>
          </c:val>
        </c:ser>
        <c:dLbls>
          <c:showLegendKey val="false"/>
          <c:showVal val="false"/>
          <c:showCatName val="false"/>
          <c:showSerName val="false"/>
          <c:showPercent val="false"/>
          <c:showBubbleSize val="false"/>
        </c:dLbls>
        <c:gapWidth val="150"/>
        <c:overlap val="100"/>
        <c:axId val="114283648"/>
        <c:axId val="114285184"/>
      </c:barChart>
      <c:catAx>
        <c:axId val="114283648"/>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14285184"/>
        <c:crosses val="autoZero"/>
        <c:auto val="true"/>
        <c:lblAlgn val="ctr"/>
        <c:lblOffset val="100"/>
        <c:noMultiLvlLbl val="false"/>
      </c:catAx>
      <c:valAx>
        <c:axId val="114285184"/>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14283648"/>
        <c:crosses val="autoZero"/>
        <c:crossBetween val="between"/>
      </c:valAx>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一般公共预算财政拨款支出决算结构</a:t>
            </a:r>
            <a:endParaRPr lang="zh-CN" altLang="en-US"/>
          </a:p>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sz="900"/>
              <a:t>（单位：万元）</a:t>
            </a:r>
            <a:endParaRPr lang="zh-CN" altLang="en-US" sz="900"/>
          </a:p>
        </c:rich>
      </c:tx>
      <c:layout>
        <c:manualLayout>
          <c:xMode val="edge"/>
          <c:yMode val="edge"/>
          <c:x val="0.155580386486132"/>
          <c:y val="0.0334190231362468"/>
        </c:manualLayout>
      </c:layout>
      <c:overlay val="false"/>
      <c:spPr>
        <a:noFill/>
        <a:ln>
          <a:noFill/>
        </a:ln>
        <a:effectLst/>
      </c:spPr>
    </c:title>
    <c:autoTitleDeleted val="false"/>
    <c:plotArea>
      <c:layout/>
      <c:pieChart>
        <c:varyColors val="true"/>
        <c:ser>
          <c:idx val="0"/>
          <c:order val="0"/>
          <c:tx>
            <c:strRef>
              <c:f>Sheet1!$B$1</c:f>
              <c:strCache>
                <c:ptCount val="1"/>
                <c:pt idx="0">
                  <c:v>一般公共预算财政拨款支出决算结构</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dLbl>
              <c:idx val="2"/>
              <c:layout>
                <c:manualLayout>
                  <c:x val="-0.0248742929935061"/>
                  <c:y val="-0.082409381025396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283370023664815"/>
                  <c:y val="0.0019972122081684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一般公共服务支出</c:v>
                </c:pt>
                <c:pt idx="1">
                  <c:v>社会保障和就业支出</c:v>
                </c:pt>
                <c:pt idx="2">
                  <c:v>医疗卫生支出</c:v>
                </c:pt>
                <c:pt idx="3">
                  <c:v>农林水支出</c:v>
                </c:pt>
                <c:pt idx="4">
                  <c:v>住房保障支出</c:v>
                </c:pt>
              </c:strCache>
            </c:strRef>
          </c:cat>
          <c:val>
            <c:numRef>
              <c:f>Sheet1!$B$2:$B$6</c:f>
              <c:numCache>
                <c:formatCode>General</c:formatCode>
                <c:ptCount val="5"/>
                <c:pt idx="0">
                  <c:v>500.67</c:v>
                </c:pt>
                <c:pt idx="1">
                  <c:v>44.16</c:v>
                </c:pt>
                <c:pt idx="2">
                  <c:v>17.71</c:v>
                </c:pt>
                <c:pt idx="3">
                  <c:v>0.6</c:v>
                </c:pt>
                <c:pt idx="4">
                  <c:v>27.2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manualLayout>
          <c:xMode val="edge"/>
          <c:yMode val="edge"/>
          <c:x val="0.178694158075601"/>
          <c:y val="0.764609246655718"/>
          <c:w val="0.703321878579613"/>
          <c:h val="0.207228350152546"/>
        </c:manualLayout>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18"/>
    </mc:Choice>
    <mc:Fallback>
      <c:style val="18"/>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sz="1500"/>
              <a:t>“三公”经费财政拨款支出</a:t>
            </a:r>
            <a:endParaRPr lang="zh-CN" sz="1500"/>
          </a:p>
          <a:p>
            <a:pPr>
              <a:defRPr lang="zh-CN" sz="1800" b="1" i="0" u="none" strike="noStrike" kern="1200" baseline="0">
                <a:solidFill>
                  <a:schemeClr val="tx1"/>
                </a:solidFill>
                <a:latin typeface="+mn-lt"/>
                <a:ea typeface="+mn-ea"/>
                <a:cs typeface="+mn-cs"/>
              </a:defRPr>
            </a:pPr>
            <a:r>
              <a:rPr lang="zh-CN" sz="1000"/>
              <a:t>（单位：万元）</a:t>
            </a:r>
            <a:endParaRPr lang="zh-CN" sz="1000"/>
          </a:p>
        </c:rich>
      </c:tx>
      <c:layout>
        <c:manualLayout>
          <c:xMode val="edge"/>
          <c:yMode val="edge"/>
          <c:x val="0.153179190751446"/>
          <c:y val="0.049740932642487"/>
        </c:manualLayout>
      </c:layout>
      <c:overlay val="false"/>
    </c:title>
    <c:autoTitleDeleted val="false"/>
    <c:plotArea>
      <c:layout/>
      <c:pieChart>
        <c:varyColors val="true"/>
        <c:ser>
          <c:idx val="0"/>
          <c:order val="0"/>
          <c:tx>
            <c:strRef>
              <c:f>Sheet1!$B$1</c:f>
              <c:strCache>
                <c:ptCount val="1"/>
                <c:pt idx="0">
                  <c:v>“三公”经费财政拨款支出</c:v>
                </c:pt>
              </c:strCache>
            </c:strRef>
          </c:tx>
          <c:explosion val="0"/>
          <c:dPt>
            <c:idx val="0"/>
            <c:bubble3D val="false"/>
          </c:dPt>
          <c:dPt>
            <c:idx val="1"/>
            <c:bubble3D val="false"/>
          </c:dPt>
          <c:dPt>
            <c:idx val="2"/>
            <c:bubble3D val="false"/>
          </c:dPt>
          <c:dPt>
            <c:idx val="3"/>
            <c:bubble3D val="false"/>
          </c:dPt>
          <c:dLbls>
            <c:dLbl>
              <c:idx val="1"/>
              <c:layout>
                <c:manualLayout>
                  <c:x val="0.0378959353797158"/>
                  <c:y val="0.0132027547073962"/>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Sheet1!$A$2:$A$5</c:f>
              <c:strCache>
                <c:ptCount val="3"/>
                <c:pt idx="0">
                  <c:v>因公出国（境）费用</c:v>
                </c:pt>
                <c:pt idx="1">
                  <c:v>公务用车运行费</c:v>
                </c:pt>
                <c:pt idx="2">
                  <c:v>公务接待费</c:v>
                </c:pt>
              </c:strCache>
            </c:strRef>
          </c:cat>
          <c:val>
            <c:numRef>
              <c:f>Sheet1!$B$2:$B$5</c:f>
              <c:numCache>
                <c:formatCode>General</c:formatCode>
                <c:ptCount val="4"/>
                <c:pt idx="0">
                  <c:v>0</c:v>
                </c:pt>
                <c:pt idx="1">
                  <c:v>0</c:v>
                </c:pt>
                <c:pt idx="2">
                  <c:v>9.99</c:v>
                </c:pt>
              </c:numCache>
            </c:numRef>
          </c:val>
        </c:ser>
        <c:dLbls>
          <c:showLegendKey val="false"/>
          <c:showVal val="true"/>
          <c:showCatName val="false"/>
          <c:showSerName val="false"/>
          <c:showPercent val="false"/>
          <c:showBubbleSize val="false"/>
          <c:showLeaderLines val="true"/>
        </c:dLbls>
        <c:firstSliceAng val="0"/>
      </c:pieChart>
    </c:plotArea>
    <c:legend>
      <c:legendPos val="b"/>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49</Pages>
  <Words>3653</Words>
  <Characters>20826</Characters>
  <Lines>173</Lines>
  <Paragraphs>48</Paragraphs>
  <TotalTime>0</TotalTime>
  <ScaleCrop>false</ScaleCrop>
  <LinksUpToDate>false</LinksUpToDate>
  <CharactersWithSpaces>24431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user</cp:lastModifiedBy>
  <cp:lastPrinted>2019-08-01T08:48:00Z</cp:lastPrinted>
  <dcterms:modified xsi:type="dcterms:W3CDTF">2023-07-13T15:29:36Z</dcterms:modified>
  <dc:title>四川省***</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