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76" w:name="_GoBack"/>
      <w:bookmarkEnd w:id="76"/>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475"/>
      <w:bookmarkStart w:id="2" w:name="_Toc15396597"/>
      <w:bookmarkStart w:id="3" w:name="_Toc15378441"/>
      <w:bookmarkStart w:id="4" w:name="_Toc15377425"/>
      <w:bookmarkStart w:id="5" w:name="_Toc15377193"/>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bookmarkStart w:id="6" w:name="_Toc15377426"/>
      <w:bookmarkStart w:id="7" w:name="_Toc15396476"/>
      <w:bookmarkStart w:id="8" w:name="_Toc15377194"/>
      <w:bookmarkStart w:id="9" w:name="_Toc15396598"/>
      <w:bookmarkStart w:id="10" w:name="_Toc15378442"/>
      <w:r>
        <w:rPr>
          <w:rFonts w:hint="eastAsia" w:ascii="方正小标宋简体" w:hAnsi="宋体" w:eastAsia="方正小标宋简体"/>
          <w:color w:val="000000"/>
          <w:sz w:val="72"/>
          <w:szCs w:val="72"/>
        </w:rPr>
        <w:t xml:space="preserve">              </w:t>
      </w:r>
      <w:r>
        <w:rPr>
          <w:rFonts w:hint="eastAsia" w:ascii="方正小标宋简体" w:hAnsi="宋体" w:eastAsia="方正小标宋简体"/>
          <w:color w:val="000000"/>
          <w:sz w:val="44"/>
          <w:szCs w:val="44"/>
        </w:rPr>
        <w:t>四川省</w:t>
      </w:r>
      <w:bookmarkEnd w:id="0"/>
      <w:bookmarkStart w:id="11" w:name="_Toc15306268"/>
      <w:r>
        <w:rPr>
          <w:rFonts w:hint="eastAsia" w:ascii="方正小标宋简体" w:hAnsi="宋体" w:eastAsia="方正小标宋简体"/>
          <w:color w:val="000000"/>
          <w:sz w:val="44"/>
          <w:szCs w:val="44"/>
        </w:rPr>
        <w:t xml:space="preserve">广元市利州区经济科技和信息化局 </w:t>
      </w:r>
      <w:r>
        <w:rPr>
          <w:rFonts w:hint="eastAsia" w:ascii="方正小标宋简体" w:hAnsi="宋体" w:eastAsia="方正小标宋简体"/>
          <w:color w:val="000000"/>
          <w:sz w:val="48"/>
          <w:szCs w:val="48"/>
        </w:rPr>
        <w:t xml:space="preserve">   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公开时间：2019年8月29日</w:t>
      </w:r>
    </w:p>
    <w:p/>
    <w:p>
      <w:pPr>
        <w:pStyle w:val="10"/>
        <w:rPr>
          <w:rFonts w:cstheme="minorBidi"/>
        </w:rPr>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2018</w:t>
      </w:r>
      <w:r>
        <w:rPr>
          <w:rStyle w:val="15"/>
          <w:rFonts w:hint="eastAsia"/>
        </w:rPr>
        <w:t>年度部门决算情况说明</w:t>
      </w:r>
      <w:r>
        <w:tab/>
      </w:r>
      <w:r>
        <w:fldChar w:fldCharType="begin"/>
      </w:r>
      <w:r>
        <w:instrText xml:space="preserve"> PAGEREF _Toc15396602 \h </w:instrText>
      </w:r>
      <w:r>
        <w:fldChar w:fldCharType="separate"/>
      </w:r>
      <w:r>
        <w:t>7</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hint="eastAsia" w:ascii="仿宋" w:hAnsi="仿宋" w:eastAsia="仿宋"/>
          <w:sz w:val="28"/>
          <w:szCs w:val="28"/>
        </w:rPr>
        <w:t>8</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hint="eastAsia" w:ascii="仿宋" w:hAnsi="仿宋" w:eastAsia="仿宋"/>
          <w:sz w:val="28"/>
          <w:szCs w:val="28"/>
        </w:rPr>
        <w:t>9</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hint="eastAsia" w:ascii="仿宋" w:hAnsi="仿宋" w:eastAsia="仿宋"/>
          <w:sz w:val="28"/>
          <w:szCs w:val="28"/>
        </w:rPr>
        <w:t>9</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hint="eastAsia" w:ascii="仿宋" w:hAnsi="仿宋" w:eastAsia="仿宋"/>
          <w:sz w:val="28"/>
          <w:szCs w:val="28"/>
        </w:rPr>
        <w:t>10</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1</w:t>
      </w:r>
      <w:r>
        <w:rPr>
          <w:rFonts w:hint="eastAsia"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1</w:t>
      </w:r>
      <w:r>
        <w:rPr>
          <w:rFonts w:hint="eastAsia"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w:t>
      </w:r>
      <w:r>
        <w:rPr>
          <w:rFonts w:hint="eastAsia"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w:t>
      </w:r>
      <w:r>
        <w:rPr>
          <w:rFonts w:hint="eastAsia"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ind w:firstLine="315" w:firstLineChars="150"/>
        <w:rPr>
          <w:rStyle w:val="15"/>
          <w:rFonts w:ascii="仿宋" w:hAnsi="仿宋" w:eastAsia="仿宋"/>
          <w:color w:val="auto"/>
          <w:sz w:val="28"/>
          <w:szCs w:val="28"/>
          <w:u w:val="none"/>
        </w:rPr>
      </w:pPr>
      <w:r>
        <w:rPr>
          <w:rFonts w:hint="eastAsia"/>
        </w:rPr>
        <w:t xml:space="preserve"> </w:t>
      </w:r>
      <w:r>
        <w:rPr>
          <w:rStyle w:val="15"/>
          <w:rFonts w:hint="eastAsia" w:ascii="仿宋" w:hAnsi="仿宋" w:eastAsia="仿宋"/>
          <w:color w:val="auto"/>
          <w:sz w:val="28"/>
          <w:szCs w:val="28"/>
          <w:u w:val="none"/>
        </w:rPr>
        <w:t>十、决算绩效说明......................................17</w:t>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w:t>
      </w:r>
      <w:r>
        <w:rPr>
          <w:rFonts w:hint="eastAsia"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fldChar w:fldCharType="begin"/>
      </w:r>
      <w:r>
        <w:instrText xml:space="preserve"> PAGEREF _Toc15396613 \h </w:instrText>
      </w:r>
      <w:r>
        <w:fldChar w:fldCharType="separate"/>
      </w:r>
      <w:r>
        <w:rPr>
          <w:rFonts w:hint="eastAsia"/>
        </w:rPr>
        <w:t>20</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fldChar w:fldCharType="begin"/>
      </w:r>
      <w:r>
        <w:instrText xml:space="preserve"> PAGEREF _Toc15396614 \h </w:instrText>
      </w:r>
      <w:r>
        <w:fldChar w:fldCharType="separate"/>
      </w:r>
      <w:r>
        <w:t>2</w:t>
      </w:r>
      <w:r>
        <w:rPr>
          <w:rFonts w:hint="eastAsia"/>
        </w:rPr>
        <w:t>3</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hint="eastAsia" w:ascii="仿宋" w:hAnsi="仿宋" w:eastAsia="仿宋"/>
          <w:sz w:val="28"/>
          <w:szCs w:val="28"/>
        </w:rPr>
        <w:t>30</w:t>
      </w:r>
      <w:r>
        <w:rPr>
          <w:rFonts w:hint="eastAsia"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rPr>
          <w:rFonts w:hint="eastAsia"/>
        </w:rPr>
        <w:t>42</w:t>
      </w:r>
      <w:r>
        <w:rPr>
          <w:rFonts w:hint="eastAsia"/>
        </w:rP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hint="eastAsia" w:ascii="仿宋" w:hAnsi="仿宋" w:eastAsia="仿宋"/>
          <w:sz w:val="28"/>
          <w:szCs w:val="28"/>
        </w:rPr>
        <w:t>42</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hint="eastAsia" w:ascii="仿宋" w:hAnsi="仿宋" w:eastAsia="仿宋"/>
          <w:sz w:val="28"/>
          <w:szCs w:val="28"/>
        </w:rPr>
        <w:t>42</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hint="eastAsia" w:ascii="仿宋" w:hAnsi="仿宋" w:eastAsia="仿宋"/>
          <w:sz w:val="28"/>
          <w:szCs w:val="28"/>
        </w:rPr>
        <w:t>42</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hint="eastAsia" w:ascii="仿宋" w:hAnsi="仿宋" w:eastAsia="仿宋"/>
          <w:sz w:val="28"/>
          <w:szCs w:val="28"/>
        </w:rPr>
        <w:t>42</w:t>
      </w:r>
      <w:r>
        <w:rPr>
          <w:rFonts w:hint="eastAsia"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hint="eastAsia" w:ascii="仿宋" w:hAnsi="仿宋" w:eastAsia="仿宋"/>
          <w:sz w:val="28"/>
          <w:szCs w:val="28"/>
        </w:rPr>
        <w:t>42</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hint="eastAsia" w:ascii="仿宋" w:hAnsi="仿宋" w:eastAsia="仿宋"/>
          <w:sz w:val="28"/>
          <w:szCs w:val="28"/>
        </w:rPr>
        <w:t>42</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hint="eastAsia" w:ascii="仿宋" w:hAnsi="仿宋" w:eastAsia="仿宋"/>
          <w:sz w:val="28"/>
          <w:szCs w:val="28"/>
        </w:rPr>
        <w:t>42</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hint="eastAsia" w:ascii="仿宋" w:hAnsi="仿宋" w:eastAsia="仿宋"/>
          <w:sz w:val="28"/>
          <w:szCs w:val="28"/>
        </w:rPr>
        <w:t>42</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hint="eastAsia" w:ascii="仿宋" w:hAnsi="仿宋" w:eastAsia="仿宋"/>
          <w:sz w:val="28"/>
          <w:szCs w:val="28"/>
        </w:rPr>
        <w:t>42</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hint="eastAsia" w:ascii="仿宋" w:hAnsi="仿宋" w:eastAsia="仿宋"/>
          <w:sz w:val="28"/>
          <w:szCs w:val="28"/>
        </w:rPr>
        <w:t>42</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hint="eastAsia" w:ascii="仿宋" w:hAnsi="仿宋" w:eastAsia="仿宋"/>
          <w:sz w:val="28"/>
          <w:szCs w:val="28"/>
        </w:rPr>
        <w:t>42</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hint="eastAsia" w:ascii="仿宋" w:hAnsi="仿宋" w:eastAsia="仿宋"/>
          <w:sz w:val="28"/>
          <w:szCs w:val="28"/>
        </w:rPr>
        <w:t>42</w:t>
      </w:r>
      <w:r>
        <w:rPr>
          <w:rFonts w:hint="eastAsia"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hint="eastAsia" w:ascii="仿宋" w:hAnsi="仿宋" w:eastAsia="仿宋"/>
          <w:sz w:val="28"/>
          <w:szCs w:val="28"/>
        </w:rPr>
        <w:t>42</w:t>
      </w:r>
      <w:r>
        <w:rPr>
          <w:rFonts w:hint="eastAsia"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pPr>
        <w:pStyle w:val="2"/>
        <w:jc w:val="center"/>
        <w:rPr>
          <w:rStyle w:val="24"/>
          <w:rFonts w:ascii="黑体" w:hAnsi="黑体" w:eastAsia="黑体"/>
          <w:b w:val="0"/>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bookmarkStart w:id="14" w:name="_Toc15396600"/>
      <w:bookmarkStart w:id="15" w:name="_Toc15377197"/>
    </w:p>
    <w:p>
      <w:pPr>
        <w:pStyle w:val="2"/>
        <w:rPr>
          <w:rStyle w:val="25"/>
          <w:rFonts w:ascii="黑体" w:hAnsi="黑体" w:eastAsia="黑体" w:cs="Times New Roman"/>
          <w:b/>
          <w:bCs w:val="0"/>
          <w:kern w:val="44"/>
          <w:sz w:val="44"/>
          <w:szCs w:val="44"/>
        </w:rPr>
      </w:pPr>
      <w:r>
        <w:rPr>
          <w:rStyle w:val="25"/>
          <w:rFonts w:hint="eastAsia" w:ascii="黑体" w:hAnsi="黑体" w:eastAsia="黑体"/>
          <w:b/>
          <w:bCs w:val="0"/>
        </w:rPr>
        <w:t>一</w:t>
      </w:r>
      <w:r>
        <w:rPr>
          <w:rFonts w:hint="eastAsia" w:ascii="黑体" w:hAnsi="黑体" w:eastAsia="黑体"/>
          <w:b w:val="0"/>
          <w:color w:val="000000"/>
        </w:rPr>
        <w:t>、</w:t>
      </w:r>
      <w:r>
        <w:rPr>
          <w:rStyle w:val="25"/>
          <w:rFonts w:hint="eastAsia" w:ascii="黑体" w:hAnsi="黑体" w:eastAsia="黑体"/>
          <w:b/>
          <w:bCs w:val="0"/>
        </w:rPr>
        <w:t>基</w:t>
      </w:r>
      <w:r>
        <w:rPr>
          <w:rStyle w:val="25"/>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480" w:firstLineChars="150"/>
        <w:outlineLvl w:val="2"/>
        <w:rPr>
          <w:rFonts w:ascii="仿宋" w:hAnsi="仿宋" w:eastAsia="仿宋"/>
          <w:bCs/>
          <w:color w:val="000000"/>
          <w:sz w:val="32"/>
          <w:szCs w:val="32"/>
        </w:rPr>
      </w:pPr>
      <w:bookmarkStart w:id="16" w:name="_Toc15378445"/>
      <w:bookmarkStart w:id="17" w:name="_Toc15377198"/>
      <w:r>
        <w:rPr>
          <w:rFonts w:hint="eastAsia" w:ascii="仿宋" w:hAnsi="仿宋" w:eastAsia="仿宋"/>
          <w:bCs/>
          <w:color w:val="000000"/>
          <w:sz w:val="32"/>
          <w:szCs w:val="32"/>
        </w:rPr>
        <w:t>（一）主要职能：</w:t>
      </w:r>
    </w:p>
    <w:p>
      <w:pPr>
        <w:spacing w:line="576" w:lineRule="exact"/>
        <w:ind w:firstLine="640" w:firstLineChars="200"/>
        <w:rPr>
          <w:rFonts w:ascii="仿宋_GB2312" w:hAnsi="宋体" w:eastAsia="仿宋_GB2312"/>
          <w:sz w:val="32"/>
          <w:szCs w:val="32"/>
        </w:rPr>
      </w:pPr>
      <w:r>
        <w:rPr>
          <w:rFonts w:hint="eastAsia" w:ascii="仿宋_GB2312" w:eastAsia="仿宋_GB2312"/>
          <w:sz w:val="32"/>
          <w:szCs w:val="32"/>
        </w:rPr>
        <w:t>(一）</w:t>
      </w:r>
      <w:r>
        <w:rPr>
          <w:rFonts w:hint="eastAsia" w:ascii="仿宋_GB2312" w:hAnsi="宋体" w:eastAsia="仿宋_GB2312"/>
          <w:sz w:val="32"/>
          <w:szCs w:val="32"/>
        </w:rPr>
        <w:t>贯彻实施国家有关工业经济、科学技术、知识产权、信息化、无线电管理方针、政策和法律、法规；（二）拟订全区工业经济、科学技术、知识产权、信息化和无线电管理的政策规定并组织实施</w:t>
      </w:r>
      <w:r>
        <w:rPr>
          <w:rFonts w:hint="eastAsia" w:ascii="仿宋_GB2312" w:hAnsi="仿宋_GB2312" w:eastAsia="仿宋_GB2312" w:cs="仿宋_GB2312"/>
          <w:sz w:val="32"/>
          <w:szCs w:val="32"/>
        </w:rPr>
        <w:t>和监督检查;</w:t>
      </w:r>
      <w:r>
        <w:rPr>
          <w:rFonts w:hint="eastAsia" w:ascii="仿宋_GB2312" w:hAnsi="宋体" w:eastAsia="仿宋_GB2312"/>
          <w:sz w:val="32"/>
          <w:szCs w:val="32"/>
        </w:rPr>
        <w:t xml:space="preserve"> （三）</w:t>
      </w:r>
      <w:r>
        <w:rPr>
          <w:rFonts w:hint="eastAsia" w:ascii="仿宋_GB2312" w:hAnsi="仿宋_GB2312" w:eastAsia="仿宋_GB2312" w:cs="仿宋_GB2312"/>
          <w:sz w:val="32"/>
          <w:szCs w:val="32"/>
        </w:rPr>
        <w:t>组织推动信息化和工业化融合、工业化与城镇化联动，负责推进全区工业结构调整。</w:t>
      </w:r>
      <w:r>
        <w:rPr>
          <w:rFonts w:hint="eastAsia" w:ascii="仿宋_GB2312" w:hAnsi="宋体" w:eastAsia="仿宋_GB2312"/>
          <w:sz w:val="32"/>
          <w:szCs w:val="32"/>
        </w:rPr>
        <w:t>（四）负责拟订全区新型工业化发展战略和重大政策，组织实施工业强区战略；（五）拟订中、近期经济运行目标、政策并组织实施，协调解决经济运行中的重大问题;（六）负责电力、成品油、天然气等重要物资综合调控、紧急调度和交通运输协调工作,承担年度工业经济目标责任考核；（七）</w:t>
      </w:r>
      <w:r>
        <w:rPr>
          <w:rFonts w:hint="eastAsia" w:ascii="仿宋_GB2312" w:hAnsi="仿宋_GB2312" w:eastAsia="仿宋_GB2312" w:cs="仿宋_GB2312"/>
          <w:sz w:val="32"/>
          <w:szCs w:val="32"/>
        </w:rPr>
        <w:t>负责全区企业技术改造推进工作，组织制订并实施全区企业技术改造投资规划和政策，制订并发布全区企业技术改造投资项目引导目录。提出工业和信息化固定资产投资规模的意见，按照规定权限审批、核准、备案规划内全区企业技术改造项目，组织企业技术改造项目申报国家、省、市有关专项计划并组织实施。</w:t>
      </w:r>
      <w:r>
        <w:rPr>
          <w:rFonts w:hint="eastAsia" w:ascii="仿宋_GB2312" w:hAnsi="宋体" w:eastAsia="仿宋_GB2312"/>
          <w:sz w:val="32"/>
          <w:szCs w:val="32"/>
        </w:rPr>
        <w:t>（八）</w:t>
      </w:r>
      <w:r>
        <w:rPr>
          <w:rFonts w:hint="eastAsia" w:ascii="仿宋_GB2312" w:hAnsi="仿宋_GB2312" w:eastAsia="仿宋_GB2312" w:cs="仿宋_GB2312"/>
          <w:sz w:val="32"/>
          <w:szCs w:val="32"/>
        </w:rPr>
        <w:t>统筹推进全区信息化工作，制订并组织实施相关政策，指导电子政务、企业信息化、电子商务和物联网发展，推动跨行业、跨部门面向社会服务网络的互联互通和信息资源共享。</w:t>
      </w:r>
      <w:r>
        <w:rPr>
          <w:rFonts w:hint="eastAsia" w:ascii="仿宋_GB2312" w:hAnsi="宋体" w:eastAsia="仿宋_GB2312"/>
          <w:sz w:val="32"/>
          <w:szCs w:val="32"/>
        </w:rPr>
        <w:t>（九）</w:t>
      </w:r>
      <w:r>
        <w:rPr>
          <w:rFonts w:hint="eastAsia" w:ascii="仿宋_GB2312" w:hAnsi="仿宋_GB2312" w:eastAsia="仿宋_GB2312" w:cs="仿宋_GB2312"/>
          <w:sz w:val="32"/>
          <w:szCs w:val="32"/>
        </w:rPr>
        <w:t>推进科技体制改革工作，提出合理配置科技人才资源、优化科技人才成长环境的政策措施；会同有关部门拟订全区科技人才队伍建设规划和提出政策建议。负责本部门预算中的科技和知识产权经费预决算及经费使用的监督管理；会同有关部门提出强化科技投入及优化科技资源配置的政策措施建议。</w:t>
      </w:r>
      <w:r>
        <w:rPr>
          <w:rFonts w:hint="eastAsia" w:ascii="仿宋_GB2312" w:hAnsi="宋体" w:eastAsia="仿宋_GB2312"/>
          <w:sz w:val="32"/>
          <w:szCs w:val="32"/>
        </w:rPr>
        <w:t>（十）负责全区防震减灾各项工作。（十一）负责全区知识产权工作，（十二）负责盐业体制工作。</w:t>
      </w:r>
    </w:p>
    <w:bookmarkEnd w:id="16"/>
    <w:bookmarkEnd w:id="17"/>
    <w:p>
      <w:pPr>
        <w:pStyle w:val="5"/>
        <w:adjustRightInd w:val="0"/>
        <w:snapToGrid w:val="0"/>
        <w:spacing w:before="93" w:line="600" w:lineRule="exact"/>
        <w:ind w:firstLine="480" w:firstLineChars="150"/>
        <w:outlineLvl w:val="2"/>
        <w:rPr>
          <w:rFonts w:ascii="仿宋" w:hAnsi="仿宋" w:eastAsia="仿宋"/>
          <w:bCs/>
          <w:color w:val="000000"/>
          <w:sz w:val="32"/>
          <w:szCs w:val="32"/>
        </w:rPr>
      </w:pPr>
      <w:bookmarkStart w:id="18" w:name="_Toc15378446"/>
      <w:bookmarkStart w:id="19" w:name="_Toc15377199"/>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8年重点工作完成情况。</w:t>
      </w:r>
      <w:bookmarkEnd w:id="18"/>
      <w:bookmarkEnd w:id="19"/>
    </w:p>
    <w:p>
      <w:pPr>
        <w:ind w:firstLine="630"/>
        <w:rPr>
          <w:rFonts w:ascii="仿宋_GB2312" w:eastAsia="仿宋_GB2312"/>
          <w:color w:val="000000"/>
          <w:sz w:val="32"/>
          <w:szCs w:val="32"/>
        </w:rPr>
      </w:pPr>
      <w:r>
        <w:rPr>
          <w:rFonts w:hint="eastAsia" w:ascii="仿宋_GB2312" w:eastAsia="仿宋_GB2312"/>
          <w:color w:val="000000"/>
          <w:sz w:val="32"/>
          <w:szCs w:val="32"/>
        </w:rPr>
        <w:t>1、工业经济稳步推进。一是企业效益持续向好。预计全年实现工业税收2.5亿元、规上工业利润总额15.6亿元，分别同比增长196%、79.31%。二是闲置资产充分利用。落实鑫盛三期、泰吉星等优质工业项目9个，盘活闲置土地157亩、厂房33500平方米。三是招商引资初见成效。引进项目到位工业资金6亿元，新入库工业项目7个，即将入库项目4个，即将落地智琦食品、宝隆缝纫机配件等项目6个。四是在建项目推进有序。如大唐风电何家山项目预计春节前实现首台风机发电；中央厨房项目作为全市“大比武”现场会参观点，得到市上及各县区一致好评。五是园区建设加快推进。完成园区开发面积15平方公里，全面建成大石工业园党群活动中心，广元机电产业园成功创建为第二批四川省特色产业基地。六是部门服务企业满意。帮助企业解决遗留问题20余起，解决融资需求1.8亿元，落实电力优惠政策，为昭钢碳素等5户企业节约电费约510万元。</w:t>
      </w:r>
    </w:p>
    <w:p>
      <w:pPr>
        <w:ind w:firstLine="630"/>
        <w:rPr>
          <w:rFonts w:ascii="仿宋_GB2312" w:eastAsia="仿宋_GB2312"/>
          <w:color w:val="000000"/>
          <w:sz w:val="32"/>
          <w:szCs w:val="32"/>
        </w:rPr>
      </w:pPr>
      <w:r>
        <w:rPr>
          <w:rFonts w:hint="eastAsia" w:ascii="仿宋_GB2312" w:eastAsia="仿宋_GB2312"/>
          <w:color w:val="000000"/>
          <w:sz w:val="32"/>
          <w:szCs w:val="32"/>
        </w:rPr>
        <w:t>2、各项业务亮点纷呈。一是科技创新有进步。培育国家高新技术企业5家，承办了全市科技活动周启动仪式，在西部地区国家知识产权强县工程建设工作培训班上进行了交流发言。二是信息化建设有成效。对信号较弱的贫困村、非贫困村和部分城区信号盲区“补点 ”建站，完成25余个小区FTTH补点工程25个，同步提升信息化扶贫和智慧城市建设进度。三是各项保障工作推进良好。扎实开展新划入职能盐业管理相关工作。做好对重点工业企业、危险化学品企业等开展全覆盖检查和安全工作专项整治。结合“5.12”汶川地震十周年和第十个国家防灾减灾日等系列活动，在2018年9月12日陕西省宁强县发生5.3级地震时，响应迅速，上报信息及时。持续做好皇泽禅院道路改建、军民融合产业园基础设施PPP等20余个重点项目工程建设中各类管线迁改及协调等工作。</w:t>
      </w:r>
    </w:p>
    <w:p>
      <w:pPr>
        <w:pStyle w:val="3"/>
        <w:rPr>
          <w:rFonts w:ascii="黑体" w:hAnsi="黑体" w:eastAsia="黑体"/>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ind w:firstLine="630"/>
        <w:rPr>
          <w:rFonts w:ascii="仿宋_GB2312" w:eastAsia="仿宋_GB2312"/>
          <w:sz w:val="32"/>
          <w:szCs w:val="32"/>
        </w:rPr>
      </w:pPr>
      <w:r>
        <w:rPr>
          <w:rFonts w:hint="eastAsia" w:ascii="仿宋_GB2312" w:eastAsia="仿宋_GB2312"/>
          <w:sz w:val="32"/>
          <w:szCs w:val="32"/>
        </w:rPr>
        <w:t>1、区经科信局机关包含下属事业单位经济信息中心，部门决算属1个独立核算机构，与上年同期一样。部门决算单位属于财政拨款经费。</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2、区经科信局内部机构设置情况：内设7个内设机构：办公室（行政审批股）、工业运行与技改创新股（广元市利州区工业工作领导小组办公室、广元市利州区民营经济工作领导小组办公室）、产业园区和能源保障股、信息化股、科技创新和知识产权保护股（广元市利州区知识产权局）、防震减灾股(广元市利州区防震减灾局)、2018年新增盐业管理股。</w:t>
      </w:r>
    </w:p>
    <w:p>
      <w:pPr>
        <w:ind w:firstLine="630"/>
        <w:rPr>
          <w:rFonts w:ascii="仿宋_GB2312" w:eastAsia="仿宋_GB2312"/>
          <w:sz w:val="32"/>
          <w:szCs w:val="32"/>
        </w:rPr>
      </w:pPr>
      <w:r>
        <w:rPr>
          <w:rFonts w:hint="eastAsia" w:ascii="仿宋_GB2312" w:eastAsia="仿宋_GB2312"/>
          <w:sz w:val="32"/>
          <w:szCs w:val="32"/>
        </w:rPr>
        <w:t>3、</w:t>
      </w:r>
      <w:r>
        <w:rPr>
          <w:rFonts w:hint="eastAsia" w:ascii="仿宋_GB2312" w:eastAsia="仿宋_GB2312"/>
          <w:color w:val="000000"/>
          <w:sz w:val="32"/>
          <w:szCs w:val="32"/>
        </w:rPr>
        <w:t>全局人员情况：全局年末实有人数27人，其中：公务员16人、机关工勤2人、</w:t>
      </w:r>
      <w:r>
        <w:rPr>
          <w:rFonts w:hint="eastAsia" w:ascii="仿宋_GB2312" w:eastAsia="仿宋_GB2312"/>
          <w:sz w:val="32"/>
          <w:szCs w:val="32"/>
        </w:rPr>
        <w:t>事业人员9人。公务员人员因盐业体制改革进入1人不变，事业人员增加1人引进人才，调走1人。</w:t>
      </w:r>
    </w:p>
    <w:p>
      <w:pPr>
        <w:pStyle w:val="2"/>
        <w:ind w:right="440"/>
        <w:jc w:val="right"/>
        <w:rPr>
          <w:rStyle w:val="24"/>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2018年度部门决算情况说明</w:t>
      </w:r>
      <w:bookmarkEnd w:id="22"/>
      <w:bookmarkEnd w:id="23"/>
    </w:p>
    <w:p/>
    <w:p>
      <w:pPr>
        <w:pStyle w:val="23"/>
        <w:numPr>
          <w:ilvl w:val="0"/>
          <w:numId w:val="1"/>
        </w:numPr>
        <w:spacing w:line="600" w:lineRule="exact"/>
        <w:ind w:firstLineChars="0"/>
        <w:outlineLvl w:val="1"/>
        <w:rPr>
          <w:rStyle w:val="25"/>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pStyle w:val="23"/>
        <w:spacing w:line="240" w:lineRule="atLeast"/>
        <w:ind w:firstLine="640"/>
        <w:outlineLvl w:val="1"/>
        <w:rPr>
          <w:rFonts w:hint="eastAsia" w:ascii="仿宋" w:hAnsi="仿宋" w:eastAsia="仿宋"/>
          <w:color w:val="000000"/>
          <w:sz w:val="32"/>
          <w:szCs w:val="32"/>
        </w:rPr>
      </w:pPr>
      <w:r>
        <w:rPr>
          <w:rFonts w:hint="eastAsia" w:ascii="仿宋" w:hAnsi="仿宋" w:eastAsia="仿宋"/>
          <w:color w:val="000000"/>
          <w:sz w:val="32"/>
          <w:szCs w:val="32"/>
        </w:rPr>
        <w:t>2018年度收入3795.08万元，上年度收入3306.13万元，收入增加488.95万元，增长14.80%；2018年度支出3495.58万元，上年度支出2774.65万元，增长720.93万元，增长26%；年未结转和结余1289.71万元。主要变动的原因：收入增加是因为2018年项目收入增加；支出增加是因为上年结转项目支出在2018年支出；结余增加是因为从2017年以来工业项目支出按项目实施进度拨款。</w:t>
      </w:r>
    </w:p>
    <w:p>
      <w:pPr>
        <w:pStyle w:val="23"/>
        <w:spacing w:line="240" w:lineRule="atLeast"/>
        <w:ind w:firstLine="640"/>
        <w:outlineLvl w:val="1"/>
        <w:rPr>
          <w:rStyle w:val="25"/>
          <w:rFonts w:ascii="仿宋" w:hAnsi="仿宋" w:eastAsia="仿宋" w:cs="Times New Roman"/>
          <w:b w:val="0"/>
          <w:bCs w:val="0"/>
          <w:color w:val="000000"/>
        </w:rPr>
      </w:pPr>
      <w:r>
        <w:rPr>
          <w:rFonts w:ascii="仿宋" w:hAnsi="仿宋" w:eastAsia="仿宋"/>
          <w:color w:val="000000"/>
          <w:sz w:val="32"/>
          <w:szCs w:val="32"/>
        </w:rPr>
        <w:drawing>
          <wp:inline distT="0" distB="0" distL="0" distR="0">
            <wp:extent cx="4572000" cy="2743200"/>
            <wp:effectExtent l="19050" t="0" r="19050" b="0"/>
            <wp:docPr id="15"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：收、支决算总计变动情况图）（柱状图）</w:t>
      </w:r>
    </w:p>
    <w:p>
      <w:pPr>
        <w:pStyle w:val="23"/>
        <w:numPr>
          <w:ilvl w:val="0"/>
          <w:numId w:val="1"/>
        </w:numPr>
        <w:spacing w:line="600" w:lineRule="exact"/>
        <w:ind w:firstLineChars="0"/>
        <w:outlineLvl w:val="1"/>
        <w:rPr>
          <w:rStyle w:val="25"/>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240" w:lineRule="atLeast"/>
        <w:ind w:firstLine="640" w:firstLineChars="200"/>
        <w:outlineLvl w:val="1"/>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8年本年收入合计3795.08万元，其中：一般公共预算财政拨款收入3719.08万元，占98</w:t>
      </w:r>
      <w:r>
        <w:rPr>
          <w:rFonts w:ascii="仿宋" w:hAnsi="仿宋" w:eastAsia="仿宋"/>
          <w:color w:val="000000"/>
          <w:sz w:val="32"/>
          <w:szCs w:val="32"/>
        </w:rPr>
        <w:t>%</w:t>
      </w:r>
      <w:r>
        <w:rPr>
          <w:rFonts w:hint="eastAsia" w:ascii="仿宋" w:hAnsi="仿宋" w:eastAsia="仿宋"/>
          <w:color w:val="000000"/>
          <w:sz w:val="32"/>
          <w:szCs w:val="32"/>
        </w:rPr>
        <w:t>；政府性基金预算财政拨款收入76万元，占2</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；国有资本经营预算财政拨款收入0万元，占0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；其他收入0万元，占0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240" w:lineRule="atLeast"/>
        <w:ind w:firstLine="640" w:firstLineChars="200"/>
        <w:outlineLvl w:val="1"/>
        <w:rPr>
          <w:rFonts w:ascii="仿宋" w:hAnsi="仿宋" w:eastAsia="仿宋"/>
          <w:color w:val="000000"/>
          <w:sz w:val="32"/>
          <w:szCs w:val="32"/>
        </w:rPr>
      </w:pPr>
      <w:r>
        <w:rPr>
          <w:rFonts w:ascii="仿宋" w:hAnsi="仿宋" w:eastAsia="仿宋"/>
          <w:color w:val="000000"/>
          <w:sz w:val="32"/>
          <w:szCs w:val="32"/>
        </w:rPr>
        <w:drawing>
          <wp:inline distT="0" distB="0" distL="0" distR="0">
            <wp:extent cx="4572000" cy="2743200"/>
            <wp:effectExtent l="19050" t="0" r="19050" b="0"/>
            <wp:docPr id="19"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（图2：收入决算结构图）（饼状图）</w:t>
      </w:r>
    </w:p>
    <w:p>
      <w:pPr>
        <w:pStyle w:val="23"/>
        <w:numPr>
          <w:ilvl w:val="0"/>
          <w:numId w:val="1"/>
        </w:numPr>
        <w:spacing w:line="600" w:lineRule="exact"/>
        <w:ind w:firstLineChars="0"/>
        <w:outlineLvl w:val="1"/>
        <w:rPr>
          <w:rStyle w:val="25"/>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240" w:lineRule="atLeast"/>
        <w:ind w:firstLine="640"/>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8年本年支出合计3495.58万元，其中：基本支出469.84万元，占13.44</w:t>
      </w:r>
      <w:r>
        <w:rPr>
          <w:rFonts w:ascii="仿宋" w:hAnsi="仿宋" w:eastAsia="仿宋"/>
          <w:color w:val="000000"/>
          <w:sz w:val="32"/>
          <w:szCs w:val="32"/>
        </w:rPr>
        <w:t>%</w:t>
      </w:r>
      <w:r>
        <w:rPr>
          <w:rFonts w:hint="eastAsia" w:ascii="仿宋" w:hAnsi="仿宋" w:eastAsia="仿宋"/>
          <w:color w:val="000000"/>
          <w:sz w:val="32"/>
          <w:szCs w:val="32"/>
        </w:rPr>
        <w:t>；项目支出3025.74万元，占86.54</w:t>
      </w:r>
      <w:r>
        <w:rPr>
          <w:rFonts w:ascii="仿宋" w:hAnsi="仿宋" w:eastAsia="仿宋"/>
          <w:color w:val="000000"/>
          <w:sz w:val="32"/>
          <w:szCs w:val="32"/>
        </w:rPr>
        <w:t>%</w:t>
      </w:r>
      <w:r>
        <w:rPr>
          <w:rFonts w:hint="eastAsia" w:ascii="仿宋" w:hAnsi="仿宋" w:eastAsia="仿宋"/>
          <w:color w:val="000000"/>
          <w:sz w:val="32"/>
          <w:szCs w:val="32"/>
        </w:rPr>
        <w:t>。</w:t>
      </w:r>
    </w:p>
    <w:p>
      <w:pPr>
        <w:spacing w:line="240" w:lineRule="atLeast"/>
        <w:ind w:firstLine="640"/>
        <w:rPr>
          <w:rFonts w:ascii="仿宋" w:hAnsi="仿宋" w:eastAsia="仿宋"/>
          <w:color w:val="000000"/>
          <w:sz w:val="32"/>
          <w:szCs w:val="32"/>
        </w:rPr>
      </w:pPr>
      <w:r>
        <w:rPr>
          <w:rFonts w:ascii="仿宋" w:hAnsi="仿宋" w:eastAsia="仿宋"/>
          <w:color w:val="000000"/>
          <w:sz w:val="32"/>
          <w:szCs w:val="32"/>
        </w:rPr>
        <w:drawing>
          <wp:inline distT="0" distB="0" distL="0" distR="0">
            <wp:extent cx="4572000" cy="2743200"/>
            <wp:effectExtent l="19050" t="0" r="19050" b="0"/>
            <wp:docPr id="18"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（图3：支出决算结构图）（饼状图）</w:t>
      </w:r>
    </w:p>
    <w:p>
      <w:pPr>
        <w:spacing w:line="600" w:lineRule="exact"/>
        <w:ind w:firstLine="640" w:firstLineChars="200"/>
        <w:outlineLvl w:val="1"/>
        <w:rPr>
          <w:rStyle w:val="25"/>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pStyle w:val="23"/>
        <w:spacing w:line="240" w:lineRule="atLeast"/>
        <w:ind w:firstLine="640"/>
        <w:outlineLvl w:val="1"/>
        <w:rPr>
          <w:rFonts w:hint="eastAsia" w:ascii="仿宋_GB2312" w:eastAsia="仿宋_GB2312"/>
          <w:sz w:val="28"/>
          <w:szCs w:val="28"/>
        </w:rPr>
      </w:pPr>
      <w:r>
        <w:rPr>
          <w:rFonts w:hint="eastAsia" w:ascii="仿宋" w:hAnsi="仿宋" w:eastAsia="仿宋"/>
          <w:color w:val="000000"/>
          <w:sz w:val="32"/>
          <w:szCs w:val="32"/>
        </w:rPr>
        <w:t>2018年财政拨款收入3795.08万元，上年度收入3306.13万元，收入增加488.95万元，增长14.80%；2018年度财政拨款支出3495.58万元，上年度支出2774.65万元，增长720.93万元，增长26%。主要变动的原因</w:t>
      </w:r>
      <w:r>
        <w:rPr>
          <w:rFonts w:hint="eastAsia" w:ascii="仿宋_GB2312" w:eastAsia="仿宋_GB2312"/>
          <w:sz w:val="28"/>
          <w:szCs w:val="28"/>
        </w:rPr>
        <w:t>：一是2018年工资普遍调资调标、区目标考核奖励及人员调资政策性追加抚恤金、引进人才安家补助增加、二是省级、市级工业发展、中小企业发展、科技、产权等 项目资金增加，其他项目按照区财政预算情况进行执行。</w:t>
      </w:r>
    </w:p>
    <w:p>
      <w:pPr>
        <w:pStyle w:val="23"/>
        <w:spacing w:line="240" w:lineRule="atLeast"/>
        <w:ind w:firstLine="560"/>
        <w:outlineLvl w:val="1"/>
        <w:rPr>
          <w:rFonts w:hint="eastAsia" w:ascii="仿宋_GB2312" w:eastAsia="仿宋_GB2312"/>
          <w:sz w:val="28"/>
          <w:szCs w:val="28"/>
        </w:rPr>
      </w:pPr>
    </w:p>
    <w:p>
      <w:pPr>
        <w:pStyle w:val="23"/>
        <w:spacing w:line="240" w:lineRule="atLeast"/>
        <w:ind w:firstLine="560"/>
        <w:outlineLvl w:val="1"/>
        <w:rPr>
          <w:rFonts w:hint="eastAsia" w:ascii="仿宋_GB2312" w:eastAsia="仿宋_GB2312"/>
          <w:sz w:val="28"/>
          <w:szCs w:val="28"/>
        </w:rPr>
      </w:pPr>
      <w:r>
        <w:rPr>
          <w:rFonts w:ascii="仿宋_GB2312" w:eastAsia="仿宋_GB2312"/>
          <w:sz w:val="28"/>
          <w:szCs w:val="28"/>
        </w:rPr>
        <w:drawing>
          <wp:inline distT="0" distB="0" distL="0" distR="0">
            <wp:extent cx="4572000" cy="2743200"/>
            <wp:effectExtent l="19050" t="0" r="19050" b="0"/>
            <wp:docPr id="2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23"/>
        <w:spacing w:line="240" w:lineRule="atLeast"/>
        <w:ind w:firstLine="640"/>
        <w:outlineLvl w:val="1"/>
        <w:rPr>
          <w:rFonts w:ascii="黑体" w:hAnsi="黑体" w:eastAsia="黑体" w:cstheme="majorBidi"/>
          <w:bCs/>
          <w:sz w:val="32"/>
          <w:szCs w:val="32"/>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（图4：财政拨款收、支决算总计变动情况）（柱状图）</w:t>
      </w:r>
    </w:p>
    <w:p>
      <w:pPr>
        <w:spacing w:line="600" w:lineRule="exact"/>
        <w:ind w:firstLine="640" w:firstLineChars="200"/>
        <w:outlineLvl w:val="1"/>
        <w:rPr>
          <w:rStyle w:val="25"/>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2"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240" w:lineRule="atLeast"/>
        <w:ind w:firstLine="640" w:firstLineChars="200"/>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8年一般公共预算财政拨款支出3495.58万元，占本年支出合计的100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7年支出2774.65相比，一般公共预算财政拨款增加720.93万元，增长25.95</w:t>
      </w:r>
      <w:r>
        <w:rPr>
          <w:rFonts w:ascii="仿宋" w:hAnsi="仿宋" w:eastAsia="仿宋"/>
          <w:color w:val="000000"/>
          <w:sz w:val="32"/>
          <w:szCs w:val="32"/>
        </w:rPr>
        <w:t>%</w:t>
      </w:r>
      <w:r>
        <w:rPr>
          <w:rFonts w:hint="eastAsia" w:ascii="仿宋" w:hAnsi="仿宋" w:eastAsia="仿宋"/>
          <w:color w:val="000000"/>
          <w:sz w:val="32"/>
          <w:szCs w:val="32"/>
        </w:rPr>
        <w:t>。主要变动原因是2017年项目结余在2018年支出，2018年项目增多，项目资金增加。</w:t>
      </w:r>
    </w:p>
    <w:p>
      <w:pPr>
        <w:spacing w:line="240" w:lineRule="atLeast"/>
        <w:ind w:firstLine="640" w:firstLineChars="200"/>
        <w:rPr>
          <w:rFonts w:hint="eastAsia" w:ascii="仿宋" w:hAnsi="仿宋" w:eastAsia="仿宋"/>
          <w:color w:val="000000"/>
          <w:sz w:val="32"/>
          <w:szCs w:val="32"/>
        </w:rPr>
      </w:pPr>
      <w:r>
        <w:rPr>
          <w:rFonts w:ascii="仿宋" w:hAnsi="仿宋" w:eastAsia="仿宋"/>
          <w:color w:val="000000"/>
          <w:sz w:val="32"/>
          <w:szCs w:val="32"/>
        </w:rPr>
        <w:drawing>
          <wp:inline distT="0" distB="0" distL="0" distR="0">
            <wp:extent cx="4514850" cy="2495550"/>
            <wp:effectExtent l="19050" t="0" r="19050" b="0"/>
            <wp:docPr id="21"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240" w:lineRule="atLeast"/>
        <w:rPr>
          <w:rFonts w:ascii="仿宋" w:hAnsi="仿宋" w:eastAsia="仿宋"/>
          <w:color w:val="000000"/>
          <w:sz w:val="32"/>
          <w:szCs w:val="32"/>
        </w:rPr>
      </w:pPr>
    </w:p>
    <w:p>
      <w:pPr>
        <w:spacing w:line="240" w:lineRule="atLeas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（图5：一般公共预算财政拨款支出决算变动情况）（柱状图）</w:t>
      </w:r>
    </w:p>
    <w:p>
      <w:pPr>
        <w:spacing w:line="600" w:lineRule="exact"/>
        <w:ind w:firstLine="642"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240" w:lineRule="atLeast"/>
        <w:ind w:firstLine="641"/>
        <w:rPr>
          <w:rFonts w:hint="eastAsia"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8年一般公共预算财</w:t>
      </w:r>
      <w:r>
        <w:rPr>
          <w:rFonts w:hint="eastAsia" w:ascii="仿宋" w:hAnsi="仿宋" w:eastAsia="仿宋"/>
          <w:color w:val="000000" w:themeColor="text1"/>
          <w:sz w:val="32"/>
          <w:szCs w:val="32"/>
          <w14:textFill>
            <w14:solidFill>
              <w14:schemeClr w14:val="tx1"/>
            </w14:solidFill>
          </w14:textFill>
        </w:rPr>
        <w:t>政拨款支出3495.58万元，主要用于以下方面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color w:val="000000" w:themeColor="text1"/>
          <w:sz w:val="32"/>
          <w:szCs w:val="32"/>
          <w14:textFill>
            <w14:solidFill>
              <w14:schemeClr w14:val="tx1"/>
            </w14:solidFill>
          </w14:textFill>
        </w:rPr>
        <w:t>支出139万元，占3.98</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科学技术（类）</w:t>
      </w:r>
      <w:r>
        <w:rPr>
          <w:rFonts w:hint="eastAsia" w:ascii="仿宋" w:hAnsi="仿宋" w:eastAsia="仿宋"/>
          <w:color w:val="000000" w:themeColor="text1"/>
          <w:sz w:val="32"/>
          <w:szCs w:val="32"/>
          <w14:textFill>
            <w14:solidFill>
              <w14:schemeClr w14:val="tx1"/>
            </w14:solidFill>
          </w14:textFill>
        </w:rPr>
        <w:t>支出962.40万元，占27.53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支出39.5万元，占1.13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医疗卫生与计划生育（类）</w:t>
      </w:r>
      <w:r>
        <w:rPr>
          <w:rFonts w:hint="eastAsia" w:ascii="仿宋" w:hAnsi="仿宋" w:eastAsia="仿宋"/>
          <w:color w:val="000000" w:themeColor="text1"/>
          <w:sz w:val="32"/>
          <w:szCs w:val="32"/>
          <w14:textFill>
            <w14:solidFill>
              <w14:schemeClr w14:val="tx1"/>
            </w14:solidFill>
          </w14:textFill>
        </w:rPr>
        <w:t>支出15.69万元，占0.45</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农林水（类）</w:t>
      </w:r>
      <w:r>
        <w:rPr>
          <w:rFonts w:hint="eastAsia" w:ascii="仿宋" w:hAnsi="仿宋" w:eastAsia="仿宋"/>
          <w:color w:val="000000" w:themeColor="text1"/>
          <w:sz w:val="32"/>
          <w:szCs w:val="32"/>
          <w14:textFill>
            <w14:solidFill>
              <w14:schemeClr w14:val="tx1"/>
            </w14:solidFill>
          </w14:textFill>
        </w:rPr>
        <w:t>支出182.50万元，占5.22%；</w:t>
      </w:r>
      <w:r>
        <w:rPr>
          <w:rFonts w:hint="eastAsia" w:ascii="仿宋" w:hAnsi="仿宋" w:eastAsia="仿宋"/>
          <w:b/>
          <w:color w:val="000000" w:themeColor="text1"/>
          <w:sz w:val="32"/>
          <w:szCs w:val="32"/>
          <w14:textFill>
            <w14:solidFill>
              <w14:schemeClr w14:val="tx1"/>
            </w14:solidFill>
          </w14:textFill>
        </w:rPr>
        <w:t>资源勘探信息等（类）</w:t>
      </w:r>
      <w:r>
        <w:rPr>
          <w:rFonts w:hint="eastAsia" w:ascii="仿宋" w:hAnsi="仿宋" w:eastAsia="仿宋"/>
          <w:color w:val="000000" w:themeColor="text1"/>
          <w:sz w:val="32"/>
          <w:szCs w:val="32"/>
          <w14:textFill>
            <w14:solidFill>
              <w14:schemeClr w14:val="tx1"/>
            </w14:solidFill>
          </w14:textFill>
        </w:rPr>
        <w:t>支出2034.04万元，占58.19%；</w:t>
      </w:r>
      <w:r>
        <w:rPr>
          <w:rFonts w:hint="eastAsia" w:ascii="仿宋" w:hAnsi="仿宋" w:eastAsia="仿宋"/>
          <w:b/>
          <w:color w:val="000000" w:themeColor="text1"/>
          <w:sz w:val="32"/>
          <w:szCs w:val="32"/>
          <w14:textFill>
            <w14:solidFill>
              <w14:schemeClr w14:val="tx1"/>
            </w14:solidFill>
          </w14:textFill>
        </w:rPr>
        <w:t>国土海洋气象等（类）</w:t>
      </w:r>
      <w:r>
        <w:rPr>
          <w:rFonts w:hint="eastAsia" w:ascii="仿宋" w:hAnsi="仿宋" w:eastAsia="仿宋"/>
          <w:color w:val="000000" w:themeColor="text1"/>
          <w:sz w:val="32"/>
          <w:szCs w:val="32"/>
          <w14:textFill>
            <w14:solidFill>
              <w14:schemeClr w14:val="tx1"/>
            </w14:solidFill>
          </w14:textFill>
        </w:rPr>
        <w:t>支出2.20万元，占0.06%；</w:t>
      </w:r>
      <w:r>
        <w:rPr>
          <w:rFonts w:hint="eastAsia" w:ascii="仿宋" w:hAnsi="仿宋" w:eastAsia="仿宋"/>
          <w:b/>
          <w:color w:val="000000" w:themeColor="text1"/>
          <w:sz w:val="32"/>
          <w:szCs w:val="32"/>
          <w14:textFill>
            <w14:solidFill>
              <w14:schemeClr w14:val="tx1"/>
            </w14:solidFill>
          </w14:textFill>
        </w:rPr>
        <w:t>住房保障（类）</w:t>
      </w:r>
      <w:r>
        <w:rPr>
          <w:rFonts w:hint="eastAsia" w:ascii="仿宋" w:hAnsi="仿宋" w:eastAsia="仿宋"/>
          <w:color w:val="000000" w:themeColor="text1"/>
          <w:sz w:val="32"/>
          <w:szCs w:val="32"/>
          <w14:textFill>
            <w14:solidFill>
              <w14:schemeClr w14:val="tx1"/>
            </w14:solidFill>
          </w14:textFill>
        </w:rPr>
        <w:t>支出20.24万元，占0.58</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其他（类）</w:t>
      </w:r>
      <w:r>
        <w:rPr>
          <w:rFonts w:hint="eastAsia" w:ascii="仿宋" w:hAnsi="仿宋" w:eastAsia="仿宋"/>
          <w:color w:val="000000" w:themeColor="text1"/>
          <w:sz w:val="32"/>
          <w:szCs w:val="32"/>
          <w14:textFill>
            <w14:solidFill>
              <w14:schemeClr w14:val="tx1"/>
            </w14:solidFill>
          </w14:textFill>
        </w:rPr>
        <w:t>支出100万元，占2.86%。</w:t>
      </w:r>
    </w:p>
    <w:p>
      <w:pPr>
        <w:spacing w:line="240" w:lineRule="atLeast"/>
        <w:ind w:firstLine="641"/>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drawing>
          <wp:inline distT="0" distB="0" distL="0" distR="0">
            <wp:extent cx="4819650" cy="2809875"/>
            <wp:effectExtent l="19050" t="0" r="19050" b="0"/>
            <wp:docPr id="22"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240" w:lineRule="atLeast"/>
        <w:ind w:firstLine="641"/>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spacing w:line="600" w:lineRule="exact"/>
        <w:ind w:firstLine="642"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2" w:firstLineChars="200"/>
        <w:outlineLvl w:val="2"/>
        <w:rPr>
          <w:rFonts w:ascii="仿宋" w:hAnsi="仿宋" w:eastAsia="仿宋"/>
          <w:color w:val="FF0000"/>
          <w:sz w:val="32"/>
          <w:szCs w:val="32"/>
        </w:rPr>
      </w:pPr>
      <w:bookmarkStart w:id="37" w:name="_Toc15378460"/>
      <w:bookmarkStart w:id="38" w:name="_Toc15377444"/>
      <w:bookmarkStart w:id="39" w:name="_Toc15377213"/>
      <w:r>
        <w:rPr>
          <w:rFonts w:hint="eastAsia" w:ascii="仿宋" w:hAnsi="仿宋" w:eastAsia="仿宋"/>
          <w:b/>
          <w:color w:val="000000" w:themeColor="text1"/>
          <w:sz w:val="32"/>
          <w:szCs w:val="32"/>
          <w14:textFill>
            <w14:solidFill>
              <w14:schemeClr w14:val="tx1"/>
            </w14:solidFill>
          </w14:textFill>
        </w:rPr>
        <w:t>2018年一般公共预算支出决算数为3495.58</w:t>
      </w:r>
      <w:r>
        <w:rPr>
          <w:rFonts w:hint="eastAsia" w:ascii="仿宋" w:hAnsi="仿宋" w:eastAsia="仿宋"/>
          <w:color w:val="000000" w:themeColor="text1"/>
          <w:sz w:val="32"/>
          <w:szCs w:val="32"/>
          <w14:textFill>
            <w14:solidFill>
              <w14:schemeClr w14:val="tx1"/>
            </w14:solidFill>
          </w14:textFill>
        </w:rPr>
        <w:t>，</w:t>
      </w:r>
      <w:r>
        <w:rPr>
          <w:rStyle w:val="14"/>
          <w:rFonts w:hint="eastAsia" w:ascii="仿宋" w:hAnsi="仿宋" w:eastAsia="仿宋"/>
          <w:bCs/>
          <w:color w:val="000000" w:themeColor="text1"/>
          <w:sz w:val="32"/>
          <w:szCs w:val="32"/>
          <w14:textFill>
            <w14:solidFill>
              <w14:schemeClr w14:val="tx1"/>
            </w14:solidFill>
          </w14:textFill>
        </w:rPr>
        <w:t>完成</w:t>
      </w:r>
      <w:r>
        <w:rPr>
          <w:rStyle w:val="14"/>
          <w:rFonts w:hint="eastAsia" w:ascii="仿宋" w:hAnsi="仿宋" w:eastAsia="仿宋"/>
          <w:bCs/>
          <w:color w:val="000000"/>
          <w:sz w:val="32"/>
          <w:szCs w:val="32"/>
        </w:rPr>
        <w:t>预算100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7"/>
      <w:bookmarkEnd w:id="38"/>
      <w:bookmarkEnd w:id="39"/>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1、一般公共服务支出（类）知识产权事务（款）专利试点和产业化推进（项）</w:t>
      </w:r>
      <w:r>
        <w:rPr>
          <w:rFonts w:hint="eastAsia" w:ascii="仿宋_GB2312" w:eastAsia="仿宋_GB2312"/>
          <w:sz w:val="32"/>
          <w:szCs w:val="32"/>
        </w:rPr>
        <w:t>2018年决算数为111元，完成预算100%。</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2、一般公共服务支出（类）知识产权事务（款）其他知识产权事务支出（项）</w:t>
      </w:r>
      <w:r>
        <w:rPr>
          <w:rFonts w:hint="eastAsia" w:ascii="仿宋_GB2312" w:eastAsia="仿宋_GB2312"/>
          <w:sz w:val="32"/>
          <w:szCs w:val="32"/>
        </w:rPr>
        <w:t>2018年决算数为28元，完成预算100%。</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3、科学技术支出（类）科学技术管理事务（款）行政运行（项）</w:t>
      </w:r>
      <w:r>
        <w:rPr>
          <w:rFonts w:hint="eastAsia" w:ascii="仿宋_GB2312" w:eastAsia="仿宋_GB2312"/>
          <w:sz w:val="32"/>
          <w:szCs w:val="32"/>
        </w:rPr>
        <w:t>2018年决算数为76.47万元，完成预算100%。</w:t>
      </w:r>
    </w:p>
    <w:p>
      <w:pPr>
        <w:spacing w:line="600" w:lineRule="exact"/>
        <w:ind w:firstLine="642" w:firstLineChars="200"/>
        <w:rPr>
          <w:rFonts w:ascii="仿宋_GB2312" w:eastAsia="仿宋_GB2312"/>
          <w:b/>
          <w:sz w:val="32"/>
          <w:szCs w:val="32"/>
        </w:rPr>
      </w:pPr>
      <w:r>
        <w:rPr>
          <w:rFonts w:hint="eastAsia" w:ascii="仿宋_GB2312" w:eastAsia="仿宋_GB2312"/>
          <w:b/>
          <w:sz w:val="32"/>
          <w:szCs w:val="32"/>
        </w:rPr>
        <w:t>4、科学技术支出（类）应用研究（款）其他应用研究支出（项）</w:t>
      </w:r>
      <w:r>
        <w:rPr>
          <w:rFonts w:hint="eastAsia" w:ascii="仿宋_GB2312" w:eastAsia="仿宋_GB2312"/>
          <w:sz w:val="32"/>
          <w:szCs w:val="32"/>
        </w:rPr>
        <w:t>2018年决算数为10万元，完成预算100%</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5、科学技术支出（类）技术研究与开发（款）</w:t>
      </w:r>
      <w:r>
        <w:rPr>
          <w:rFonts w:hint="eastAsia" w:ascii="仿宋_GB2312" w:hAnsi="宋体" w:eastAsia="仿宋_GB2312" w:cs="宋体"/>
          <w:kern w:val="0"/>
          <w:sz w:val="28"/>
          <w:szCs w:val="28"/>
        </w:rPr>
        <w:t>应用技术研究与开发（项）</w:t>
      </w:r>
      <w:r>
        <w:rPr>
          <w:rFonts w:hint="eastAsia" w:ascii="仿宋_GB2312" w:eastAsia="仿宋_GB2312"/>
          <w:sz w:val="32"/>
          <w:szCs w:val="32"/>
        </w:rPr>
        <w:t>2018年决算数为60万元，完成预算100%。</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6、科学技术支出（类）技术研究与开发（款）科技成果转化与扩散（项）</w:t>
      </w:r>
      <w:r>
        <w:rPr>
          <w:rFonts w:hint="eastAsia" w:ascii="仿宋_GB2312" w:eastAsia="仿宋_GB2312"/>
          <w:sz w:val="32"/>
          <w:szCs w:val="32"/>
        </w:rPr>
        <w:t>2018年决算数为150万元，完成预算100%。</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7、科学技术支出（类）技术研究与开发（款）其他技术研究与开发支出（项）</w:t>
      </w:r>
      <w:r>
        <w:rPr>
          <w:rFonts w:hint="eastAsia" w:ascii="仿宋_GB2312" w:eastAsia="仿宋_GB2312"/>
          <w:sz w:val="32"/>
          <w:szCs w:val="32"/>
        </w:rPr>
        <w:t>2018年决算数为150万元，完成预算100%。</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8、科学技术支出（类）科学条件与服务（款）其他科学条件与服务支出（项）</w:t>
      </w:r>
      <w:r>
        <w:rPr>
          <w:rFonts w:hint="eastAsia" w:ascii="仿宋_GB2312" w:eastAsia="仿宋_GB2312"/>
          <w:sz w:val="32"/>
          <w:szCs w:val="32"/>
        </w:rPr>
        <w:t>2018年决算数为50万元，完成预算100%。</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9、科学技术支出（类）科学技术普及（款）其他科学技术普及支出（项）</w:t>
      </w:r>
      <w:r>
        <w:rPr>
          <w:rFonts w:hint="eastAsia" w:ascii="仿宋_GB2312" w:eastAsia="仿宋_GB2312"/>
          <w:sz w:val="32"/>
          <w:szCs w:val="32"/>
        </w:rPr>
        <w:t>2018年决算数为4万元，完成预算100%。</w:t>
      </w:r>
    </w:p>
    <w:p>
      <w:pPr>
        <w:spacing w:line="600" w:lineRule="exact"/>
        <w:ind w:firstLine="642" w:firstLineChars="200"/>
        <w:rPr>
          <w:rStyle w:val="14"/>
          <w:rFonts w:ascii="仿宋" w:hAnsi="仿宋" w:eastAsia="仿宋"/>
          <w:b w:val="0"/>
          <w:bCs/>
          <w:sz w:val="32"/>
          <w:szCs w:val="32"/>
        </w:rPr>
      </w:pPr>
      <w:r>
        <w:rPr>
          <w:rFonts w:hint="eastAsia" w:ascii="仿宋_GB2312" w:eastAsia="仿宋_GB2312"/>
          <w:b/>
          <w:sz w:val="32"/>
          <w:szCs w:val="32"/>
        </w:rPr>
        <w:t>10、科学技术支出（类）其他科学技术支出（款）其他科学技术支出（项）</w:t>
      </w:r>
      <w:r>
        <w:rPr>
          <w:rFonts w:hint="eastAsia" w:ascii="仿宋_GB2312" w:eastAsia="仿宋_GB2312"/>
          <w:sz w:val="32"/>
          <w:szCs w:val="32"/>
        </w:rPr>
        <w:t>2018年决算数为461.93万元，完成预算84.60%。</w:t>
      </w:r>
      <w:r>
        <w:rPr>
          <w:rStyle w:val="14"/>
          <w:rFonts w:hint="eastAsia" w:ascii="仿宋" w:hAnsi="仿宋" w:eastAsia="仿宋"/>
          <w:b w:val="0"/>
          <w:bCs/>
          <w:sz w:val="32"/>
          <w:szCs w:val="32"/>
        </w:rPr>
        <w:t>决算数小于预算数的主要原因是资金下达时间较晚。</w:t>
      </w:r>
    </w:p>
    <w:p>
      <w:pPr>
        <w:spacing w:line="600" w:lineRule="exact"/>
        <w:ind w:firstLine="642" w:firstLineChars="200"/>
        <w:rPr>
          <w:rFonts w:ascii="仿宋_GB2312" w:eastAsia="仿宋_GB2312"/>
          <w:sz w:val="32"/>
          <w:szCs w:val="32"/>
        </w:rPr>
      </w:pPr>
      <w:r>
        <w:rPr>
          <w:rStyle w:val="14"/>
          <w:rFonts w:hint="eastAsia" w:ascii="仿宋_GB2312" w:eastAsia="仿宋_GB2312"/>
          <w:sz w:val="32"/>
          <w:szCs w:val="32"/>
        </w:rPr>
        <w:t>11、社会保障和就业支出（类）行政事业单位离退休（款）  机关事业单位基本养老保险缴费支出（项）:</w:t>
      </w:r>
      <w:r>
        <w:rPr>
          <w:rFonts w:hint="eastAsia" w:ascii="仿宋_GB2312" w:eastAsia="仿宋_GB2312"/>
          <w:sz w:val="32"/>
          <w:szCs w:val="32"/>
        </w:rPr>
        <w:t>2018年决算数为34.69万元，完成预算100%。</w:t>
      </w:r>
    </w:p>
    <w:p>
      <w:pPr>
        <w:spacing w:line="600" w:lineRule="exact"/>
        <w:ind w:firstLine="642" w:firstLineChars="200"/>
        <w:rPr>
          <w:rFonts w:ascii="仿宋_GB2312" w:eastAsia="仿宋_GB2312"/>
          <w:sz w:val="32"/>
          <w:szCs w:val="32"/>
        </w:rPr>
      </w:pPr>
      <w:r>
        <w:rPr>
          <w:rStyle w:val="14"/>
          <w:rFonts w:hint="eastAsia" w:ascii="仿宋_GB2312" w:eastAsia="仿宋_GB2312"/>
          <w:sz w:val="32"/>
          <w:szCs w:val="32"/>
        </w:rPr>
        <w:t>12、社会保障和就业支出（类）行政事业单位离退休（款）  机关事业单位职业年金缴费支出（项）:</w:t>
      </w:r>
      <w:r>
        <w:rPr>
          <w:rFonts w:hint="eastAsia" w:ascii="仿宋_GB2312" w:eastAsia="仿宋_GB2312"/>
          <w:sz w:val="32"/>
          <w:szCs w:val="32"/>
        </w:rPr>
        <w:t>2018年决算数为4.81万元，完成预算100%。</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13、</w:t>
      </w:r>
      <w:r>
        <w:rPr>
          <w:rStyle w:val="14"/>
          <w:rFonts w:hint="eastAsia" w:ascii="仿宋_GB2312" w:eastAsia="仿宋_GB2312"/>
          <w:sz w:val="32"/>
          <w:szCs w:val="32"/>
        </w:rPr>
        <w:t>医疗卫生与计划生育支出（类）医疗保障（款）行政单位医疗（项）:</w:t>
      </w:r>
      <w:r>
        <w:rPr>
          <w:rFonts w:hint="eastAsia" w:ascii="仿宋_GB2312" w:eastAsia="仿宋_GB2312"/>
          <w:sz w:val="32"/>
          <w:szCs w:val="32"/>
        </w:rPr>
        <w:t>2018年决算数为15.69万元，完成预算100%。</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14、农林水支出（类）农业（款）科技转化与推广服务（项）</w:t>
      </w:r>
      <w:r>
        <w:rPr>
          <w:rFonts w:hint="eastAsia" w:ascii="仿宋_GB2312" w:eastAsia="仿宋_GB2312"/>
          <w:sz w:val="32"/>
          <w:szCs w:val="32"/>
        </w:rPr>
        <w:t>2018年决算数为50万元，完成预算100%。</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15、农林水支出（类）农业（款）农业组织化与产业化经营（项）</w:t>
      </w:r>
      <w:r>
        <w:rPr>
          <w:rFonts w:hint="eastAsia" w:ascii="仿宋_GB2312" w:eastAsia="仿宋_GB2312"/>
          <w:sz w:val="32"/>
          <w:szCs w:val="32"/>
        </w:rPr>
        <w:t>2018年决算数为131万元，完成预算100%。</w:t>
      </w:r>
    </w:p>
    <w:p>
      <w:pPr>
        <w:spacing w:line="600" w:lineRule="exact"/>
        <w:ind w:firstLine="642" w:firstLineChars="200"/>
        <w:rPr>
          <w:rFonts w:ascii="仿宋" w:hAnsi="仿宋" w:eastAsia="仿宋"/>
          <w:bCs/>
          <w:sz w:val="32"/>
          <w:szCs w:val="32"/>
        </w:rPr>
      </w:pPr>
      <w:r>
        <w:rPr>
          <w:rFonts w:hint="eastAsia" w:ascii="仿宋_GB2312" w:eastAsia="仿宋_GB2312"/>
          <w:b/>
          <w:sz w:val="32"/>
          <w:szCs w:val="32"/>
        </w:rPr>
        <w:t>16、农林水支出（类）扶贫（款）其他扶贫支出（项）</w:t>
      </w:r>
      <w:r>
        <w:rPr>
          <w:rFonts w:hint="eastAsia" w:ascii="仿宋_GB2312" w:eastAsia="仿宋_GB2312"/>
          <w:sz w:val="32"/>
          <w:szCs w:val="32"/>
        </w:rPr>
        <w:t>2018年决算数为1.5万元，完成预算100%。</w:t>
      </w:r>
      <w:r>
        <w:rPr>
          <w:rFonts w:hint="eastAsia" w:ascii="仿宋_GB2312" w:eastAsia="仿宋_GB2312"/>
          <w:b/>
          <w:sz w:val="32"/>
          <w:szCs w:val="32"/>
        </w:rPr>
        <w:br w:type="textWrapping"/>
      </w:r>
      <w:r>
        <w:rPr>
          <w:rFonts w:hint="eastAsia" w:ascii="仿宋_GB2312" w:eastAsia="仿宋_GB2312"/>
          <w:b/>
          <w:sz w:val="32"/>
          <w:szCs w:val="32"/>
        </w:rPr>
        <w:t xml:space="preserve">     17、资源勘探信息等支出（类）制造业（款）其他制造业支出（项）</w:t>
      </w:r>
      <w:r>
        <w:rPr>
          <w:rFonts w:hint="eastAsia" w:ascii="仿宋_GB2312" w:eastAsia="仿宋_GB2312"/>
          <w:sz w:val="32"/>
          <w:szCs w:val="32"/>
        </w:rPr>
        <w:t>2018年决算数为815.20万元，完成预算46.85%。</w:t>
      </w:r>
      <w:r>
        <w:rPr>
          <w:rStyle w:val="14"/>
          <w:rFonts w:hint="eastAsia" w:ascii="仿宋" w:hAnsi="仿宋" w:eastAsia="仿宋"/>
          <w:b w:val="0"/>
          <w:bCs/>
          <w:sz w:val="32"/>
          <w:szCs w:val="32"/>
        </w:rPr>
        <w:t>决算数小于预算数的主要原因：一是资金下达时间较晚，二是所有工业企业项目资金按项目实施进度拨款。</w:t>
      </w:r>
    </w:p>
    <w:p>
      <w:pPr>
        <w:spacing w:line="600" w:lineRule="exact"/>
        <w:ind w:firstLine="803" w:firstLineChars="250"/>
        <w:rPr>
          <w:rFonts w:ascii="仿宋_GB2312" w:eastAsia="仿宋_GB2312"/>
          <w:sz w:val="32"/>
          <w:szCs w:val="32"/>
        </w:rPr>
      </w:pPr>
      <w:r>
        <w:rPr>
          <w:rFonts w:hint="eastAsia" w:ascii="仿宋_GB2312" w:eastAsia="仿宋_GB2312"/>
          <w:b/>
          <w:sz w:val="32"/>
          <w:szCs w:val="32"/>
        </w:rPr>
        <w:t>18、资源勘探信息等支出（类）工业和信息产业监管（款）行政运行（项）</w:t>
      </w:r>
      <w:r>
        <w:rPr>
          <w:rFonts w:hint="eastAsia" w:ascii="仿宋_GB2312" w:eastAsia="仿宋_GB2312"/>
          <w:sz w:val="32"/>
          <w:szCs w:val="32"/>
        </w:rPr>
        <w:t>2018年决算数为317.94万元，完成预算90.17%。</w:t>
      </w:r>
      <w:r>
        <w:rPr>
          <w:rStyle w:val="14"/>
          <w:rFonts w:hint="eastAsia" w:ascii="仿宋" w:hAnsi="仿宋" w:eastAsia="仿宋"/>
          <w:b w:val="0"/>
          <w:bCs/>
          <w:sz w:val="32"/>
          <w:szCs w:val="32"/>
        </w:rPr>
        <w:t>决算数小于预算数的主要原因是相关行政运行支出未支付完。</w:t>
      </w:r>
    </w:p>
    <w:p>
      <w:pPr>
        <w:spacing w:line="600" w:lineRule="exact"/>
        <w:ind w:firstLine="803" w:firstLineChars="250"/>
        <w:rPr>
          <w:rFonts w:ascii="仿宋_GB2312" w:eastAsia="仿宋_GB2312"/>
          <w:sz w:val="32"/>
          <w:szCs w:val="32"/>
        </w:rPr>
      </w:pPr>
      <w:r>
        <w:rPr>
          <w:rFonts w:hint="eastAsia" w:ascii="仿宋_GB2312" w:eastAsia="仿宋_GB2312"/>
          <w:b/>
          <w:sz w:val="32"/>
          <w:szCs w:val="32"/>
        </w:rPr>
        <w:t>19、资源勘探信息等支出（类）工业和信息产业监管（款）一般行政管理事务（项）</w:t>
      </w:r>
      <w:r>
        <w:rPr>
          <w:rFonts w:hint="eastAsia" w:ascii="仿宋_GB2312" w:eastAsia="仿宋_GB2312"/>
          <w:sz w:val="32"/>
          <w:szCs w:val="32"/>
        </w:rPr>
        <w:t>2018年决算数为18.4万元，完成预算100%。</w:t>
      </w:r>
    </w:p>
    <w:p>
      <w:pPr>
        <w:spacing w:line="600" w:lineRule="exact"/>
        <w:ind w:firstLine="803" w:firstLineChars="250"/>
        <w:rPr>
          <w:rFonts w:ascii="仿宋_GB2312" w:eastAsia="仿宋_GB2312"/>
          <w:b/>
          <w:sz w:val="32"/>
          <w:szCs w:val="32"/>
        </w:rPr>
      </w:pPr>
      <w:r>
        <w:rPr>
          <w:rFonts w:hint="eastAsia" w:ascii="仿宋_GB2312" w:eastAsia="仿宋_GB2312"/>
          <w:b/>
          <w:sz w:val="32"/>
          <w:szCs w:val="32"/>
        </w:rPr>
        <w:t>20、资源勘探信息等支出（类）工业和信息产业监管（款）其他工业和信息产业监管支出（项）</w:t>
      </w:r>
      <w:r>
        <w:rPr>
          <w:rFonts w:hint="eastAsia" w:ascii="仿宋_GB2312" w:eastAsia="仿宋_GB2312"/>
          <w:sz w:val="32"/>
          <w:szCs w:val="32"/>
        </w:rPr>
        <w:t>2018年决算数为234万元，完成预算90%。</w:t>
      </w:r>
      <w:r>
        <w:rPr>
          <w:rStyle w:val="14"/>
          <w:rFonts w:hint="eastAsia" w:ascii="仿宋" w:hAnsi="仿宋" w:eastAsia="仿宋"/>
          <w:b w:val="0"/>
          <w:bCs/>
          <w:sz w:val="32"/>
          <w:szCs w:val="32"/>
        </w:rPr>
        <w:t>决算数小于预算数的主要原因是项目资金10%尾款验收后付清。</w:t>
      </w:r>
    </w:p>
    <w:p>
      <w:pPr>
        <w:spacing w:line="600" w:lineRule="exact"/>
        <w:ind w:firstLine="803" w:firstLineChars="250"/>
        <w:rPr>
          <w:rFonts w:ascii="仿宋_GB2312" w:eastAsia="仿宋_GB2312"/>
          <w:sz w:val="32"/>
          <w:szCs w:val="32"/>
        </w:rPr>
      </w:pPr>
      <w:r>
        <w:rPr>
          <w:rFonts w:hint="eastAsia" w:ascii="仿宋_GB2312" w:eastAsia="仿宋_GB2312"/>
          <w:b/>
          <w:sz w:val="32"/>
          <w:szCs w:val="32"/>
        </w:rPr>
        <w:t>21、资源勘探信息等支出（类）支持中小企业发展和管理支出（款）中小企业发展专项（项）</w:t>
      </w:r>
      <w:r>
        <w:rPr>
          <w:rFonts w:hint="eastAsia" w:ascii="仿宋_GB2312" w:eastAsia="仿宋_GB2312"/>
          <w:sz w:val="32"/>
          <w:szCs w:val="32"/>
        </w:rPr>
        <w:t>2018年决算数为648.50万元，完成预算84.55%。</w:t>
      </w:r>
      <w:r>
        <w:rPr>
          <w:rStyle w:val="14"/>
          <w:rFonts w:hint="eastAsia" w:ascii="仿宋" w:hAnsi="仿宋" w:eastAsia="仿宋"/>
          <w:b w:val="0"/>
          <w:bCs/>
          <w:sz w:val="32"/>
          <w:szCs w:val="32"/>
        </w:rPr>
        <w:t>决算数小于预算数的主要原因是项目资金按项目实施进度拨款。</w:t>
      </w:r>
    </w:p>
    <w:p>
      <w:pPr>
        <w:spacing w:line="600" w:lineRule="exact"/>
        <w:ind w:firstLine="803" w:firstLineChars="250"/>
        <w:rPr>
          <w:rFonts w:ascii="仿宋_GB2312" w:eastAsia="仿宋_GB2312"/>
          <w:sz w:val="32"/>
          <w:szCs w:val="32"/>
        </w:rPr>
      </w:pPr>
      <w:r>
        <w:rPr>
          <w:rFonts w:hint="eastAsia" w:ascii="仿宋_GB2312" w:eastAsia="仿宋_GB2312"/>
          <w:b/>
          <w:sz w:val="32"/>
          <w:szCs w:val="32"/>
        </w:rPr>
        <w:t>22、国土海洋气象等支出（类）地震事务（款）其他地震事务支出（项）</w:t>
      </w:r>
      <w:r>
        <w:rPr>
          <w:rFonts w:hint="eastAsia" w:ascii="仿宋_GB2312" w:eastAsia="仿宋_GB2312"/>
          <w:sz w:val="32"/>
          <w:szCs w:val="32"/>
        </w:rPr>
        <w:t>2018年决算数为2.2万元，完成预算100%。</w:t>
      </w:r>
    </w:p>
    <w:p>
      <w:pPr>
        <w:spacing w:line="600" w:lineRule="exact"/>
        <w:ind w:firstLine="642" w:firstLineChars="200"/>
        <w:rPr>
          <w:rFonts w:ascii="仿宋_GB2312" w:eastAsia="仿宋_GB2312"/>
          <w:sz w:val="32"/>
          <w:szCs w:val="32"/>
        </w:rPr>
      </w:pPr>
      <w:r>
        <w:rPr>
          <w:rStyle w:val="14"/>
          <w:rFonts w:hint="eastAsia" w:ascii="仿宋_GB2312" w:eastAsia="仿宋_GB2312"/>
          <w:sz w:val="32"/>
          <w:szCs w:val="32"/>
        </w:rPr>
        <w:t>23、住房保障支出（类）住房改革支出（款）住房公积金（项）:</w:t>
      </w:r>
      <w:r>
        <w:rPr>
          <w:rFonts w:hint="eastAsia" w:ascii="仿宋_GB2312" w:eastAsia="仿宋_GB2312"/>
          <w:sz w:val="32"/>
          <w:szCs w:val="32"/>
        </w:rPr>
        <w:t>2018年决算数为20.24万元，完成预算100%。</w:t>
      </w:r>
    </w:p>
    <w:p>
      <w:pPr>
        <w:spacing w:line="600" w:lineRule="exact"/>
        <w:ind w:firstLine="642" w:firstLineChars="200"/>
        <w:rPr>
          <w:rFonts w:ascii="仿宋_GB2312" w:eastAsia="仿宋_GB2312"/>
          <w:b/>
          <w:sz w:val="32"/>
          <w:szCs w:val="32"/>
        </w:rPr>
      </w:pPr>
      <w:r>
        <w:rPr>
          <w:rFonts w:hint="eastAsia" w:ascii="仿宋_GB2312" w:eastAsia="仿宋_GB2312"/>
          <w:b/>
          <w:sz w:val="32"/>
          <w:szCs w:val="32"/>
        </w:rPr>
        <w:t>24、其他支出（类）其他支出（款）其他支出（项）：</w:t>
      </w:r>
      <w:r>
        <w:rPr>
          <w:rFonts w:hint="eastAsia" w:ascii="仿宋_GB2312" w:eastAsia="仿宋_GB2312"/>
          <w:sz w:val="32"/>
          <w:szCs w:val="32"/>
        </w:rPr>
        <w:t>2018年决算数为100万元，完成预算80%。</w:t>
      </w:r>
      <w:r>
        <w:rPr>
          <w:rStyle w:val="14"/>
          <w:rFonts w:hint="eastAsia" w:ascii="仿宋" w:hAnsi="仿宋" w:eastAsia="仿宋"/>
          <w:b w:val="0"/>
          <w:bCs/>
          <w:sz w:val="32"/>
          <w:szCs w:val="32"/>
        </w:rPr>
        <w:t>决算数小于预算数的主要原因是项目资金按项目实施进度拨款。</w:t>
      </w:r>
    </w:p>
    <w:p>
      <w:pPr>
        <w:tabs>
          <w:tab w:val="right" w:pos="8306"/>
        </w:tabs>
        <w:spacing w:line="600" w:lineRule="exact"/>
        <w:ind w:firstLine="640"/>
        <w:outlineLvl w:val="1"/>
        <w:rPr>
          <w:rStyle w:val="25"/>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8年一般公共预算财政拨款基本支出469.84万元，其中：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400.59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69.25万元，主要包括：办公费、印刷费、咨询费、手续费、水费、电费、邮电费、物业管理费、差旅费、因公出国（境）费用、维修（护）费、租赁费、会议费、培训费、公务接待费、劳务费、委托业务费、工会经费、福利费、其他交通费、税金及附加费用、其他商品和服务支出、办公设备购置、其他资本性支出等。</w:t>
      </w:r>
    </w:p>
    <w:p>
      <w:pPr>
        <w:spacing w:line="600" w:lineRule="exact"/>
        <w:ind w:firstLine="640"/>
        <w:outlineLvl w:val="1"/>
        <w:rPr>
          <w:rStyle w:val="25"/>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8年“三公”经费财政拨款支出决算为8.742万元，完成预算91</w:t>
      </w:r>
      <w:r>
        <w:rPr>
          <w:rFonts w:ascii="仿宋" w:hAnsi="仿宋" w:eastAsia="仿宋"/>
          <w:color w:val="000000"/>
          <w:sz w:val="32"/>
          <w:szCs w:val="32"/>
        </w:rPr>
        <w:t>%</w:t>
      </w:r>
      <w:r>
        <w:rPr>
          <w:rFonts w:hint="eastAsia" w:ascii="仿宋" w:hAnsi="仿宋" w:eastAsia="仿宋"/>
          <w:color w:val="000000"/>
          <w:sz w:val="32"/>
          <w:szCs w:val="32"/>
        </w:rPr>
        <w:t>，决算数小于预算数的主要原因是公务接待费用减少。</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240" w:lineRule="atLeast"/>
        <w:ind w:firstLine="641"/>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；公务用车购置及运行维护费支出决算0万元，占0</w:t>
      </w:r>
      <w:r>
        <w:rPr>
          <w:rFonts w:ascii="仿宋" w:hAnsi="仿宋" w:eastAsia="仿宋"/>
          <w:color w:val="000000"/>
          <w:sz w:val="32"/>
          <w:szCs w:val="32"/>
        </w:rPr>
        <w:t>%</w:t>
      </w:r>
      <w:r>
        <w:rPr>
          <w:rFonts w:hint="eastAsia" w:ascii="仿宋" w:hAnsi="仿宋" w:eastAsia="仿宋"/>
          <w:color w:val="000000"/>
          <w:sz w:val="32"/>
          <w:szCs w:val="32"/>
        </w:rPr>
        <w:t>；公务接待费支出决算8.742万元，占91</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240" w:lineRule="atLeast"/>
        <w:ind w:firstLine="641"/>
        <w:rPr>
          <w:rFonts w:ascii="仿宋" w:hAnsi="仿宋" w:eastAsia="仿宋"/>
          <w:color w:val="000000"/>
          <w:sz w:val="32"/>
          <w:szCs w:val="32"/>
        </w:rPr>
      </w:pPr>
      <w:r>
        <w:rPr>
          <w:rFonts w:ascii="仿宋" w:hAnsi="仿宋" w:eastAsia="仿宋"/>
          <w:color w:val="000000"/>
          <w:sz w:val="32"/>
          <w:szCs w:val="32"/>
        </w:rPr>
        <w:drawing>
          <wp:inline distT="0" distB="0" distL="0" distR="0">
            <wp:extent cx="4572000" cy="2085975"/>
            <wp:effectExtent l="19050" t="0" r="19050" b="0"/>
            <wp:docPr id="23"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240" w:lineRule="atLeast"/>
        <w:ind w:firstLine="641"/>
        <w:rPr>
          <w:rFonts w:ascii="仿宋" w:hAnsi="仿宋" w:eastAsia="仿宋"/>
          <w:color w:val="000000"/>
          <w:sz w:val="32"/>
          <w:szCs w:val="32"/>
        </w:rPr>
      </w:pPr>
      <w:r>
        <w:rPr>
          <w:rFonts w:hint="eastAsia" w:ascii="仿宋" w:hAnsi="仿宋" w:eastAsia="仿宋"/>
          <w:color w:val="000000"/>
          <w:sz w:val="32"/>
          <w:szCs w:val="32"/>
        </w:rPr>
        <w:t>（图8：“三公”经费财政拨款支出结构）（饼状图）</w:t>
      </w:r>
    </w:p>
    <w:p>
      <w:pPr>
        <w:spacing w:line="240" w:lineRule="atLeast"/>
        <w:ind w:firstLine="641"/>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w:t>
      </w:r>
      <w:r>
        <w:rPr>
          <w:rStyle w:val="14"/>
          <w:rFonts w:hint="eastAsia" w:ascii="仿宋" w:hAnsi="仿宋" w:eastAsia="仿宋"/>
          <w:b w:val="0"/>
          <w:bCs/>
          <w:color w:val="000000"/>
          <w:sz w:val="32"/>
          <w:szCs w:val="32"/>
        </w:rPr>
        <w:t>完成预算0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2017年，2018年均无因公出国（境）经费支出。</w:t>
      </w:r>
    </w:p>
    <w:p>
      <w:pPr>
        <w:spacing w:line="240" w:lineRule="atLeast"/>
        <w:ind w:firstLine="641"/>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0万元,</w:t>
      </w:r>
      <w:r>
        <w:rPr>
          <w:rStyle w:val="14"/>
          <w:rFonts w:hint="eastAsia" w:ascii="仿宋" w:hAnsi="仿宋" w:eastAsia="仿宋"/>
          <w:b w:val="0"/>
          <w:bCs/>
          <w:color w:val="000000"/>
          <w:sz w:val="32"/>
          <w:szCs w:val="32"/>
        </w:rPr>
        <w:t>完成预算0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rPr>
        <w:t>8.742万元，</w:t>
      </w:r>
      <w:r>
        <w:rPr>
          <w:rStyle w:val="14"/>
          <w:rFonts w:hint="eastAsia" w:ascii="仿宋" w:hAnsi="仿宋" w:eastAsia="仿宋"/>
          <w:b w:val="0"/>
          <w:bCs/>
          <w:color w:val="000000"/>
          <w:sz w:val="32"/>
          <w:szCs w:val="32"/>
        </w:rPr>
        <w:t>完成预算91</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7年减少0.94万元，下降9.7</w:t>
      </w:r>
      <w:r>
        <w:rPr>
          <w:rFonts w:ascii="仿宋_GB2312" w:eastAsia="仿宋_GB2312"/>
          <w:color w:val="000000"/>
          <w:sz w:val="32"/>
          <w:szCs w:val="32"/>
        </w:rPr>
        <w:t>%</w:t>
      </w:r>
      <w:r>
        <w:rPr>
          <w:rFonts w:hint="eastAsia" w:ascii="仿宋_GB2312" w:eastAsia="仿宋_GB2312"/>
          <w:color w:val="000000"/>
          <w:sz w:val="32"/>
          <w:szCs w:val="32"/>
        </w:rPr>
        <w:t>。主要原因是公务接待经费开支减少降低。</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主要用于执行公务、开展业务活动开支的交通费、住宿费、用餐费等。国内公务接待136批次，1190人次（不包括陪同人员），共计支出8.742万元，</w:t>
      </w:r>
      <w:r>
        <w:rPr>
          <w:rFonts w:ascii="仿宋_GB2312" w:eastAsia="仿宋_GB2312"/>
          <w:color w:val="000000"/>
          <w:sz w:val="32"/>
          <w:szCs w:val="32"/>
        </w:rPr>
        <w:t xml:space="preserve"> </w:t>
      </w:r>
    </w:p>
    <w:p>
      <w:pPr>
        <w:spacing w:line="600" w:lineRule="exact"/>
        <w:ind w:firstLine="642" w:firstLineChars="200"/>
        <w:rPr>
          <w:rFonts w:ascii="仿宋_GB2312" w:eastAsia="仿宋_GB2312"/>
          <w:color w:val="000000" w:themeColor="text1"/>
          <w:sz w:val="32"/>
          <w:szCs w:val="32"/>
          <w14:textFill>
            <w14:solidFill>
              <w14:schemeClr w14:val="tx1"/>
            </w14:solidFill>
          </w14:textFill>
        </w:rPr>
      </w:pPr>
      <w:r>
        <w:rPr>
          <w:rFonts w:hint="eastAsia" w:ascii="仿宋" w:hAnsi="仿宋" w:eastAsia="仿宋"/>
          <w:b/>
          <w:color w:val="000000"/>
          <w:sz w:val="32"/>
          <w:szCs w:val="32"/>
        </w:rPr>
        <w:t>外事接待支出</w:t>
      </w:r>
      <w:r>
        <w:rPr>
          <w:rFonts w:hint="eastAsia" w:ascii="仿宋" w:hAnsi="仿宋" w:eastAsia="仿宋"/>
          <w:color w:val="000000"/>
          <w:sz w:val="32"/>
          <w:szCs w:val="32"/>
        </w:rPr>
        <w:t>0</w:t>
      </w:r>
      <w:r>
        <w:rPr>
          <w:rFonts w:hint="eastAsia" w:ascii="仿宋_GB2312" w:eastAsia="仿宋_GB2312"/>
          <w:color w:val="000000"/>
          <w:sz w:val="32"/>
          <w:szCs w:val="32"/>
        </w:rPr>
        <w:t>万元，</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其他国内公务接待支出</w:t>
      </w:r>
      <w:r>
        <w:rPr>
          <w:rFonts w:hint="eastAsia" w:ascii="仿宋" w:hAnsi="仿宋" w:eastAsia="仿宋"/>
          <w:color w:val="000000"/>
          <w:sz w:val="32"/>
          <w:szCs w:val="32"/>
        </w:rPr>
        <w:t>0</w:t>
      </w:r>
      <w:r>
        <w:rPr>
          <w:rFonts w:hint="eastAsia" w:ascii="仿宋_GB2312" w:eastAsia="仿宋_GB2312"/>
          <w:color w:val="000000"/>
          <w:sz w:val="32"/>
          <w:szCs w:val="32"/>
        </w:rPr>
        <w:t>万元。</w:t>
      </w:r>
      <w:bookmarkStart w:id="46" w:name="_Toc15377218"/>
      <w:bookmarkStart w:id="47" w:name="_Toc15396610"/>
    </w:p>
    <w:p>
      <w:pPr>
        <w:spacing w:line="600"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8年政府性基金预算拨款支出0万元。</w:t>
      </w:r>
    </w:p>
    <w:p>
      <w:pPr>
        <w:numPr>
          <w:ilvl w:val="0"/>
          <w:numId w:val="2"/>
        </w:numPr>
        <w:spacing w:line="600" w:lineRule="exact"/>
        <w:ind w:firstLine="640"/>
        <w:outlineLvl w:val="1"/>
        <w:rPr>
          <w:rStyle w:val="25"/>
          <w:rFonts w:ascii="黑体" w:hAnsi="黑体" w:eastAsia="黑体"/>
          <w:b w:val="0"/>
        </w:rPr>
      </w:pPr>
      <w:bookmarkStart w:id="48" w:name="_Toc15377219"/>
      <w:bookmarkStart w:id="49" w:name="_Toc15396611"/>
      <w:r>
        <w:rPr>
          <w:rStyle w:val="25"/>
          <w:rFonts w:hint="eastAsia" w:ascii="黑体" w:hAnsi="黑体" w:eastAsia="黑体"/>
          <w:b w:val="0"/>
        </w:rPr>
        <w:t>国有资本经营预算支出决算情况说明</w:t>
      </w:r>
      <w:bookmarkEnd w:id="48"/>
      <w:bookmarkEnd w:id="49"/>
    </w:p>
    <w:p>
      <w:pPr>
        <w:spacing w:line="600" w:lineRule="exact"/>
        <w:ind w:firstLine="640"/>
        <w:rPr>
          <w:rFonts w:hint="eastAsia"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8年国有资本经营预算拨款支出0万元。</w:t>
      </w:r>
    </w:p>
    <w:p>
      <w:pPr>
        <w:spacing w:line="600" w:lineRule="exact"/>
        <w:ind w:firstLine="640"/>
        <w:rPr>
          <w:rStyle w:val="25"/>
          <w:rFonts w:ascii="黑体" w:hAnsi="黑体" w:eastAsia="黑体"/>
        </w:rPr>
      </w:pPr>
      <w:r>
        <w:rPr>
          <w:rStyle w:val="25"/>
          <w:rFonts w:hint="eastAsia" w:ascii="黑体" w:hAnsi="黑体" w:eastAsia="黑体"/>
        </w:rPr>
        <w:t>十、决算绩效说明</w:t>
      </w:r>
    </w:p>
    <w:p>
      <w:pPr>
        <w:numPr>
          <w:ilvl w:val="0"/>
          <w:numId w:val="3"/>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预算绩效管理工作开展情况。</w:t>
      </w:r>
    </w:p>
    <w:p>
      <w:pPr>
        <w:spacing w:line="580" w:lineRule="exact"/>
        <w:ind w:firstLine="800" w:firstLineChars="2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第二批省级科技计划项目：“火眼”周界监视雷达成果转化项目、基于认知的低空微弱目标探测技术研究、质子、重离子加速器项目；省级军用技术再研发和军民结合产业化项目；第二批工业发展资金淘汰落后产能方向项目等5个项目开展了预算事前绩效评估，对5个项目编制了绩效目标，预算执行过程中，选取5个项目开展绩效监控，年终执行完毕后，对5个项目开展了绩效目标完成情况梳理填报。</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年部门整体支出开展绩效自评，从评价情况来看</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我单位严格执行财务制度，按时发放在职人员的工资，保障了干部队伍的稳定，按时支付各项费用，按部门预算科学合理使用财政资金，充分发挥资金利用效率，保证了局机关的正常运转。同时强化内部管理，提高工作效率，积极发挥预算、计划的导向作用。</w:t>
      </w:r>
    </w:p>
    <w:p>
      <w:pPr>
        <w:spacing w:line="58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（二）项目绩效目标完成情况：</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本部门在</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年度部门决算中反映“其他应用研究支出支出”“应用技术研究与开发支出”“科技成果转化与扩散支出”“其他制造业支出”“其他工业和信息产业监管支出”5个项目绩效目标实际完成情况。</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其他应用研究支出支出”“应用技术研究与开发支出”“科技成果转化与扩散支出”3个项目支出都是科学技术（类）支出，绩效目标完成情况综述：科学技术项目资金实行的资金先拨付，项目结题后验收。3个项目全年预算数190万元，执行数为190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 xml:space="preserve">。“火眼”周界监视雷达成果转化项目项目符合省级科技成果转化示范类项目规范，项目申报合理。基于认知的低空微弱目标探测技术研究项目符合省级科技应用基础研究类项目规范，项目申报合理；质子、重离子加速器项目符合省级科技应用基础研究类项目规范，项目申报合理。 </w:t>
      </w:r>
    </w:p>
    <w:p>
      <w:pPr>
        <w:spacing w:line="576" w:lineRule="exact"/>
        <w:ind w:firstLine="640" w:firstLineChars="200"/>
        <w:rPr>
          <w:rFonts w:hint="eastAsia" w:ascii="黑体" w:hAnsi="黑体" w:eastAsia="黑体" w:cstheme="majorBidi"/>
          <w:color w:val="000000" w:themeColor="text1"/>
          <w:sz w:val="28"/>
          <w:szCs w:val="28"/>
          <w14:textFill>
            <w14:solidFill>
              <w14:schemeClr w14:val="tx1"/>
            </w14:solidFill>
          </w14:textFill>
        </w:rPr>
      </w:pPr>
      <w:r>
        <w:rPr>
          <w:rFonts w:hint="eastAsia" w:ascii="仿宋_GB2312" w:hAnsi="仿宋_GB2312" w:eastAsia="仿宋_GB2312" w:cs="仿宋_GB2312"/>
          <w:sz w:val="32"/>
          <w:szCs w:val="32"/>
        </w:rPr>
        <w:t>2、“其他制造业支出”项目支出第二批工业发展资金淘汰落后产能方向项目，其中包括二个企业：</w:t>
      </w:r>
      <w:r>
        <w:rPr>
          <w:rStyle w:val="25"/>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广元市帆舟食品有限责任公司主要淘汰非标苕皮成型蒸煮灶生产线七条、苕皮输送线一条、巴氏杀菌流水线1条、DZ600/24SA真空包装机4台等配套设备；广元市金山食品有限公司主要淘汰琥珀桃仁生产线1条，冷却塔2台、6T-430杀菌釜1台、300L夹层锅5个、ZK-3C2制冷压缩机1台、Z-0.17/7-C空压机1台、WO36/8空压机1台、LHC1-0.69锅炉1台、TF-X-355M-6三相同步发电机1台、6160A-8柴油机1台。</w:t>
      </w:r>
      <w:r>
        <w:rPr>
          <w:rFonts w:hint="eastAsia" w:asciiTheme="minorEastAsia" w:hAnsiTheme="minorEastAsia" w:eastAsiaTheme="minorEastAsia" w:cstheme="minorEastAsia"/>
          <w:sz w:val="28"/>
          <w:szCs w:val="28"/>
        </w:rPr>
        <w:t>项目资金使用符合</w:t>
      </w:r>
      <w:r>
        <w:rPr>
          <w:rStyle w:val="25"/>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淘汰落后和过剩产能</w:t>
      </w:r>
      <w:r>
        <w:rPr>
          <w:rFonts w:hint="eastAsia" w:asciiTheme="minorEastAsia" w:hAnsiTheme="minorEastAsia" w:eastAsiaTheme="minorEastAsia" w:cstheme="minorEastAsia"/>
          <w:sz w:val="28"/>
          <w:szCs w:val="28"/>
        </w:rPr>
        <w:t>资金项目申报内容，申报目标合理可行。</w:t>
      </w:r>
      <w:r>
        <w:rPr>
          <w:rFonts w:hint="eastAsia" w:ascii="仿宋_GB2312" w:hAnsi="仿宋_GB2312" w:eastAsia="仿宋_GB2312" w:cs="仿宋_GB2312"/>
          <w:sz w:val="32"/>
          <w:szCs w:val="32"/>
        </w:rPr>
        <w:t>。该项目全年预算数20万元，执行数为20万元，完成预算的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r>
        <w:rPr>
          <w:rStyle w:val="25"/>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资金拨付率达100%；</w:t>
      </w:r>
      <w:r>
        <w:rPr>
          <w:rFonts w:hint="eastAsia" w:asciiTheme="minorEastAsia" w:hAnsiTheme="minorEastAsia" w:eastAsiaTheme="minorEastAsia" w:cstheme="minorEastAsia"/>
          <w:spacing w:val="-8"/>
          <w:sz w:val="28"/>
          <w:szCs w:val="28"/>
        </w:rPr>
        <w:t>项目资金达到专款专用。</w:t>
      </w:r>
    </w:p>
    <w:p>
      <w:pPr>
        <w:spacing w:line="576" w:lineRule="exact"/>
        <w:ind w:firstLine="64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仿宋_GB2312" w:hAnsi="仿宋_GB2312" w:eastAsia="仿宋_GB2312" w:cs="仿宋_GB2312"/>
          <w:sz w:val="32"/>
          <w:szCs w:val="32"/>
        </w:rPr>
        <w:t>3、“其他工业和信息产业监管支出”为省级军用技术再研发和军民结合产业化项目 ，共3个项目 DBF要</w:t>
      </w:r>
      <w:r>
        <w:rPr>
          <w:rStyle w:val="25"/>
          <w:rFonts w:hint="eastAsia" w:asciiTheme="minorEastAsia" w:hAnsiTheme="minorEastAsia" w:eastAsiaTheme="minorEastAsia" w:cstheme="minorEastAsia"/>
          <w:b w:val="0"/>
          <w:bCs w:val="0"/>
          <w:color w:val="000000" w:themeColor="text1"/>
          <w14:textFill>
            <w14:solidFill>
              <w14:schemeClr w14:val="tx1"/>
            </w14:solidFill>
          </w14:textFill>
        </w:rPr>
        <w:t>地监视雷达</w:t>
      </w:r>
      <w:r>
        <w:rPr>
          <w:rStyle w:val="25"/>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现已竣工，该企业正在申请验收；无人驾驶新能源隧道牵引机车研制及快脉冲技术用大尺寸非晶态夹膜磁芯项目按进度研究。项目资金使用符合省级军民融合产业发展专项资金项目申报内容，申报目标合理可行。</w:t>
      </w:r>
      <w:r>
        <w:rPr>
          <w:rFonts w:hint="eastAsia" w:ascii="仿宋_GB2312" w:hAnsi="仿宋_GB2312" w:eastAsia="仿宋_GB2312" w:cs="仿宋_GB2312"/>
          <w:sz w:val="32"/>
          <w:szCs w:val="32"/>
        </w:rPr>
        <w:t>。该项目全年预算数260万元，执行数为234万元，完成预算的90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Style w:val="25"/>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资金拨付率达90%；</w:t>
      </w:r>
      <w:r>
        <w:rPr>
          <w:rFonts w:hint="eastAsia" w:asciiTheme="minorEastAsia" w:hAnsiTheme="minorEastAsia" w:eastAsiaTheme="minorEastAsia" w:cstheme="minorEastAsia"/>
          <w:spacing w:val="-8"/>
          <w:sz w:val="28"/>
          <w:szCs w:val="28"/>
        </w:rPr>
        <w:t>项目资金达到专款专用。</w:t>
      </w:r>
    </w:p>
    <w:p>
      <w:pPr>
        <w:spacing w:line="580" w:lineRule="exact"/>
        <w:ind w:left="643"/>
        <w:rPr>
          <w:rFonts w:ascii="仿宋" w:hAnsi="仿宋" w:eastAsia="仿宋" w:cs="仿宋_GB2312"/>
          <w:sz w:val="32"/>
          <w:szCs w:val="32"/>
        </w:rPr>
      </w:pPr>
      <w:r>
        <w:rPr>
          <w:rFonts w:hint="eastAsia" w:ascii="仿宋" w:hAnsi="仿宋" w:eastAsia="仿宋" w:cs="楷体_GB2312"/>
          <w:b/>
          <w:bCs/>
          <w:sz w:val="32"/>
          <w:szCs w:val="32"/>
        </w:rPr>
        <w:t>（三）部门开展绩效评价结果。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年部门整体支出绩效评价情况开展自评，</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部门自行组织对组织对第二批省级科技计划项目：“火眼”周界监视雷达成果转化项目、基于认知的低空微弱目标探测技术研究、质子、重离子加速器项目；省级军用技术再研发和军民结合产业化项目；第二批工业发展资金淘汰落后产能方向项目等5个项目开展了绩效评价，报告见附件。</w:t>
      </w:r>
    </w:p>
    <w:p>
      <w:pPr>
        <w:spacing w:line="600" w:lineRule="exact"/>
        <w:ind w:firstLine="800" w:firstLineChars="250"/>
        <w:outlineLvl w:val="1"/>
        <w:rPr>
          <w:rStyle w:val="25"/>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5"/>
          <w:rFonts w:hint="eastAsia" w:ascii="黑体" w:hAnsi="黑体" w:eastAsia="黑体"/>
        </w:rPr>
        <w:t>一、</w:t>
      </w:r>
      <w:r>
        <w:rPr>
          <w:rStyle w:val="25"/>
          <w:rFonts w:hint="eastAsia" w:ascii="黑体" w:hAnsi="黑体" w:eastAsia="黑体"/>
          <w:b w:val="0"/>
        </w:rPr>
        <w:t>其他重要事项的情况说明</w:t>
      </w:r>
      <w:bookmarkEnd w:id="50"/>
      <w:bookmarkEnd w:id="51"/>
    </w:p>
    <w:p>
      <w:pPr>
        <w:spacing w:line="600" w:lineRule="exact"/>
        <w:ind w:firstLine="642"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rPr>
        <w:t>8年，区经科信机关运行经费支出69.25万元，比</w:t>
      </w:r>
      <w:r>
        <w:rPr>
          <w:rFonts w:ascii="仿宋_GB2312" w:eastAsia="仿宋_GB2312"/>
          <w:color w:val="000000"/>
          <w:sz w:val="32"/>
          <w:szCs w:val="32"/>
        </w:rPr>
        <w:t>201</w:t>
      </w:r>
      <w:r>
        <w:rPr>
          <w:rFonts w:hint="eastAsia" w:ascii="仿宋_GB2312" w:eastAsia="仿宋_GB2312"/>
          <w:color w:val="000000"/>
          <w:sz w:val="32"/>
          <w:szCs w:val="32"/>
        </w:rPr>
        <w:t>7年增加9.35万元，增长13.5</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14:textFill>
            <w14:solidFill>
              <w14:schemeClr w14:val="tx1"/>
            </w14:solidFill>
          </w14:textFill>
        </w:rPr>
        <w:t>主要原因是新进人员2名，新购办公设备；因协调相关工作，出差开会使印刷费用、差旅费用增加。</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CS05</w:t>
      </w:r>
      <w:r>
        <w:rPr>
          <w:rFonts w:hint="eastAsia" w:ascii="仿宋" w:hAnsi="仿宋" w:eastAsia="仿宋"/>
          <w:b/>
          <w:color w:val="000000"/>
          <w:sz w:val="32"/>
          <w:szCs w:val="32"/>
        </w:rPr>
        <w:t>表）</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8年，政府采购支出总额0万元，。</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CS06</w:t>
      </w:r>
      <w:r>
        <w:rPr>
          <w:rFonts w:hint="eastAsia" w:ascii="仿宋" w:hAnsi="仿宋" w:eastAsia="仿宋"/>
          <w:b/>
          <w:color w:val="000000"/>
          <w:sz w:val="32"/>
          <w:szCs w:val="32"/>
        </w:rPr>
        <w:t>表）</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日，因公车改革，区经信局共有车辆0辆。</w:t>
      </w:r>
    </w:p>
    <w:p>
      <w:pPr>
        <w:autoSpaceDE w:val="0"/>
        <w:autoSpaceDN w:val="0"/>
        <w:adjustRightInd w:val="0"/>
        <w:spacing w:line="600" w:lineRule="exact"/>
        <w:ind w:firstLine="642" w:firstLineChars="200"/>
        <w:jc w:val="left"/>
        <w:outlineLvl w:val="2"/>
        <w:rPr>
          <w:rFonts w:hint="eastAsia"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CS05</w:t>
      </w:r>
      <w:r>
        <w:rPr>
          <w:rFonts w:hint="eastAsia" w:ascii="仿宋" w:hAnsi="仿宋" w:eastAsia="仿宋"/>
          <w:b/>
          <w:color w:val="000000"/>
          <w:sz w:val="32"/>
          <w:szCs w:val="32"/>
        </w:rPr>
        <w:t>表，按部门决算报表填报数据罗列车辆情况。）</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p>
    <w:p>
      <w:pPr>
        <w:numPr>
          <w:ilvl w:val="0"/>
          <w:numId w:val="4"/>
        </w:numPr>
        <w:spacing w:line="600" w:lineRule="exact"/>
        <w:ind w:firstLine="662" w:firstLineChars="150"/>
        <w:jc w:val="center"/>
        <w:outlineLvl w:val="0"/>
        <w:rPr>
          <w:rStyle w:val="24"/>
          <w:rFonts w:ascii="黑体" w:hAnsi="黑体" w:eastAsia="黑体"/>
          <w:b w:val="0"/>
        </w:rPr>
      </w:pPr>
      <w:bookmarkStart w:id="55" w:name="_Toc15377225"/>
      <w:bookmarkStart w:id="56" w:name="_Toc15396613"/>
      <w:r>
        <w:rPr>
          <w:rFonts w:hint="eastAsia" w:ascii="黑体" w:hAnsi="黑体" w:eastAsia="黑体"/>
          <w:b/>
          <w:color w:val="000000"/>
          <w:sz w:val="44"/>
          <w:szCs w:val="44"/>
        </w:rPr>
        <w:t>名</w:t>
      </w:r>
      <w:r>
        <w:rPr>
          <w:rStyle w:val="24"/>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2"/>
        <w:spacing w:line="560" w:lineRule="exact"/>
        <w:ind w:firstLine="662" w:firstLineChars="150"/>
        <w:rPr>
          <w:rFonts w:ascii="仿宋_GB2312" w:eastAsia="仿宋_GB2312"/>
          <w:b/>
          <w:sz w:val="32"/>
          <w:szCs w:val="32"/>
        </w:rPr>
      </w:pPr>
      <w:r>
        <w:rPr>
          <w:rFonts w:hint="eastAsia" w:ascii="宋体"/>
          <w:b/>
          <w:sz w:val="44"/>
          <w:szCs w:val="44"/>
        </w:rPr>
        <w:t xml:space="preserve"> </w:t>
      </w:r>
      <w:r>
        <w:rPr>
          <w:rFonts w:ascii="仿宋_GB2312" w:eastAsia="仿宋_GB2312"/>
          <w:b/>
          <w:sz w:val="32"/>
          <w:szCs w:val="32"/>
        </w:rPr>
        <w:t>1.</w:t>
      </w:r>
      <w:r>
        <w:rPr>
          <w:rFonts w:hint="eastAsia" w:ascii="仿宋_GB2312" w:eastAsia="仿宋_GB2312"/>
          <w:b/>
          <w:sz w:val="32"/>
          <w:szCs w:val="32"/>
        </w:rPr>
        <w:t>财政拨款收入：指单位从同级财政部门取得的财政预算资金。</w:t>
      </w:r>
    </w:p>
    <w:p>
      <w:pPr>
        <w:pStyle w:val="22"/>
        <w:spacing w:line="560" w:lineRule="exact"/>
        <w:ind w:firstLine="642" w:firstLineChars="200"/>
        <w:rPr>
          <w:rFonts w:ascii="仿宋_GB2312" w:eastAsia="仿宋_GB2312"/>
          <w:b/>
          <w:sz w:val="32"/>
          <w:szCs w:val="32"/>
        </w:rPr>
      </w:pPr>
      <w:r>
        <w:rPr>
          <w:rFonts w:hint="eastAsia" w:ascii="仿宋_GB2312" w:eastAsia="仿宋_GB2312"/>
          <w:b/>
          <w:sz w:val="32"/>
          <w:szCs w:val="32"/>
        </w:rPr>
        <w:t>2</w:t>
      </w:r>
      <w:r>
        <w:rPr>
          <w:rFonts w:ascii="仿宋_GB2312" w:eastAsia="仿宋_GB2312"/>
          <w:b/>
          <w:sz w:val="32"/>
          <w:szCs w:val="32"/>
        </w:rPr>
        <w:t>.</w:t>
      </w:r>
      <w:r>
        <w:rPr>
          <w:rFonts w:hint="eastAsia" w:ascii="仿宋_GB2312" w:eastAsia="仿宋_GB2312"/>
          <w:b/>
          <w:sz w:val="32"/>
          <w:szCs w:val="32"/>
        </w:rPr>
        <w:t>年初结转和结余：指以前年度尚未完成、结转到本年按有关规定继续使用的资金。</w:t>
      </w:r>
      <w:r>
        <w:rPr>
          <w:rFonts w:ascii="仿宋_GB2312" w:eastAsia="仿宋_GB2312"/>
          <w:b/>
          <w:sz w:val="32"/>
          <w:szCs w:val="32"/>
        </w:rPr>
        <w:t xml:space="preserve"> </w:t>
      </w:r>
    </w:p>
    <w:p>
      <w:pPr>
        <w:pStyle w:val="22"/>
        <w:spacing w:line="560" w:lineRule="exact"/>
        <w:ind w:firstLine="642" w:firstLineChars="200"/>
        <w:rPr>
          <w:rFonts w:ascii="仿宋_GB2312" w:eastAsia="仿宋_GB2312"/>
          <w:b/>
          <w:sz w:val="32"/>
          <w:szCs w:val="32"/>
        </w:rPr>
      </w:pPr>
      <w:r>
        <w:rPr>
          <w:rFonts w:hint="eastAsia" w:ascii="仿宋_GB2312" w:eastAsia="仿宋_GB2312"/>
          <w:b/>
          <w:sz w:val="32"/>
          <w:szCs w:val="32"/>
        </w:rPr>
        <w:t>3、年末结转和结余：指单位按有关规定结转到下年或以后年度继续使用的资金。</w:t>
      </w:r>
    </w:p>
    <w:p>
      <w:pPr>
        <w:pStyle w:val="22"/>
        <w:spacing w:line="560" w:lineRule="exact"/>
        <w:ind w:firstLine="642" w:firstLineChars="200"/>
        <w:rPr>
          <w:rFonts w:ascii="仿宋_GB2312" w:eastAsia="仿宋_GB2312"/>
          <w:b/>
          <w:sz w:val="32"/>
          <w:szCs w:val="32"/>
        </w:rPr>
      </w:pPr>
      <w:r>
        <w:rPr>
          <w:rFonts w:hint="eastAsia" w:ascii="仿宋_GB2312" w:eastAsia="仿宋_GB2312"/>
          <w:b/>
          <w:sz w:val="32"/>
          <w:szCs w:val="32"/>
        </w:rPr>
        <w:t>4、一般公共服务支出（类）知识产权事务（款）专利试点和产业化推进（项）支出：指涉及知识产权专利试点和产业化推进支出。</w:t>
      </w:r>
    </w:p>
    <w:p>
      <w:pPr>
        <w:pStyle w:val="22"/>
        <w:spacing w:line="560" w:lineRule="exact"/>
        <w:ind w:firstLine="642" w:firstLineChars="200"/>
        <w:rPr>
          <w:rFonts w:ascii="仿宋_GB2312" w:eastAsia="仿宋_GB2312"/>
          <w:b/>
          <w:sz w:val="32"/>
          <w:szCs w:val="32"/>
        </w:rPr>
      </w:pPr>
      <w:r>
        <w:rPr>
          <w:rFonts w:hint="eastAsia" w:ascii="仿宋_GB2312" w:eastAsia="仿宋_GB2312"/>
          <w:b/>
          <w:sz w:val="32"/>
          <w:szCs w:val="32"/>
        </w:rPr>
        <w:t>5、科学技术支出（类）应用研究（款）其他应用研究（项）支出：指涉及科技技术研究项目支出。</w:t>
      </w:r>
    </w:p>
    <w:p>
      <w:pPr>
        <w:pStyle w:val="22"/>
        <w:spacing w:line="560" w:lineRule="exact"/>
        <w:ind w:firstLine="642" w:firstLineChars="200"/>
        <w:rPr>
          <w:rFonts w:ascii="仿宋_GB2312" w:eastAsia="仿宋_GB2312"/>
          <w:b/>
          <w:sz w:val="32"/>
          <w:szCs w:val="32"/>
        </w:rPr>
      </w:pPr>
      <w:r>
        <w:rPr>
          <w:rFonts w:hint="eastAsia" w:ascii="仿宋_GB2312" w:eastAsia="仿宋_GB2312"/>
          <w:b/>
          <w:sz w:val="32"/>
          <w:szCs w:val="32"/>
        </w:rPr>
        <w:t>6、科学技术支出（类）技术研究与开发（款）科技成果转化与扩散（项）支出：指涉及科技技术研究项目支出。</w:t>
      </w:r>
    </w:p>
    <w:p>
      <w:pPr>
        <w:pStyle w:val="22"/>
        <w:spacing w:line="560" w:lineRule="exact"/>
        <w:ind w:firstLine="642" w:firstLineChars="200"/>
        <w:rPr>
          <w:rFonts w:ascii="仿宋_GB2312" w:eastAsia="仿宋_GB2312"/>
          <w:b/>
          <w:sz w:val="32"/>
          <w:szCs w:val="32"/>
        </w:rPr>
      </w:pPr>
      <w:r>
        <w:rPr>
          <w:rFonts w:hint="eastAsia" w:ascii="仿宋_GB2312" w:eastAsia="仿宋_GB2312"/>
          <w:b/>
          <w:sz w:val="32"/>
          <w:szCs w:val="32"/>
        </w:rPr>
        <w:t>7、城乡社区支出（类）国有土地使用权出让及对应专项债务收入安排的支出（款）土地开发（项）支出：指土地开发费用的开支。</w:t>
      </w:r>
    </w:p>
    <w:p>
      <w:pPr>
        <w:ind w:firstLine="642" w:firstLineChars="200"/>
        <w:rPr>
          <w:rFonts w:ascii="仿宋_GB2312" w:eastAsia="仿宋_GB2312"/>
          <w:b/>
          <w:color w:val="000000"/>
          <w:sz w:val="32"/>
          <w:szCs w:val="32"/>
        </w:rPr>
      </w:pPr>
      <w:r>
        <w:rPr>
          <w:rFonts w:hint="eastAsia" w:ascii="仿宋_GB2312" w:eastAsia="仿宋_GB2312"/>
          <w:b/>
          <w:color w:val="000000"/>
          <w:sz w:val="32"/>
          <w:szCs w:val="32"/>
        </w:rPr>
        <w:t>8</w:t>
      </w:r>
      <w:r>
        <w:rPr>
          <w:rFonts w:ascii="仿宋_GB2312" w:eastAsia="仿宋_GB2312"/>
          <w:b/>
          <w:color w:val="000000"/>
          <w:sz w:val="32"/>
          <w:szCs w:val="32"/>
        </w:rPr>
        <w:t>.</w:t>
      </w:r>
      <w:r>
        <w:rPr>
          <w:rFonts w:hint="eastAsia" w:ascii="仿宋_GB2312" w:eastAsia="仿宋_GB2312"/>
          <w:b/>
          <w:color w:val="000000"/>
          <w:sz w:val="32"/>
          <w:szCs w:val="32"/>
        </w:rPr>
        <w:t>农林水支出（类）农业（款）农业组织化与产业化经营（项）：指用于农业项目改革创新方面的支出。</w:t>
      </w:r>
    </w:p>
    <w:p>
      <w:pPr>
        <w:ind w:firstLine="642" w:firstLineChars="200"/>
        <w:rPr>
          <w:rFonts w:ascii="仿宋_GB2312" w:eastAsia="仿宋_GB2312"/>
          <w:b/>
          <w:color w:val="000000"/>
          <w:sz w:val="32"/>
          <w:szCs w:val="32"/>
        </w:rPr>
      </w:pPr>
      <w:r>
        <w:rPr>
          <w:rFonts w:hint="eastAsia" w:ascii="仿宋_GB2312" w:eastAsia="仿宋_GB2312"/>
          <w:b/>
          <w:color w:val="000000"/>
          <w:sz w:val="32"/>
          <w:szCs w:val="32"/>
        </w:rPr>
        <w:t>9</w:t>
      </w:r>
      <w:r>
        <w:rPr>
          <w:rFonts w:ascii="仿宋_GB2312" w:eastAsia="仿宋_GB2312"/>
          <w:b/>
          <w:color w:val="000000"/>
          <w:sz w:val="32"/>
          <w:szCs w:val="32"/>
        </w:rPr>
        <w:t>.</w:t>
      </w:r>
      <w:r>
        <w:rPr>
          <w:rFonts w:hint="eastAsia" w:ascii="仿宋_GB2312" w:eastAsia="仿宋_GB2312"/>
          <w:b/>
          <w:color w:val="000000"/>
          <w:sz w:val="32"/>
          <w:szCs w:val="32"/>
        </w:rPr>
        <w:t>农林水支出（类）扶贫（款）其他扶贫支出（项）：指其他用于扶贫方面的支出。</w:t>
      </w:r>
    </w:p>
    <w:p>
      <w:pPr>
        <w:spacing w:line="600" w:lineRule="exact"/>
        <w:ind w:firstLine="642" w:firstLineChars="200"/>
        <w:rPr>
          <w:rStyle w:val="14"/>
          <w:rFonts w:ascii="仿宋" w:hAnsi="仿宋" w:eastAsia="仿宋" w:cs="仿宋"/>
          <w:b w:val="0"/>
          <w:color w:val="000000"/>
          <w:sz w:val="32"/>
          <w:szCs w:val="32"/>
        </w:rPr>
      </w:pPr>
      <w:r>
        <w:rPr>
          <w:rStyle w:val="14"/>
          <w:rFonts w:hint="eastAsia" w:ascii="仿宋" w:hAnsi="仿宋" w:eastAsia="仿宋" w:cs="仿宋"/>
          <w:color w:val="000000"/>
          <w:sz w:val="32"/>
          <w:szCs w:val="32"/>
        </w:rPr>
        <w:t>10、社会保障和就业支出（类）行政事业单位离退休（款）机关事业单位基本养老保险缴费支出（项）: 指机类事业单位实施养老保险制度由单位缴纳的基本养老保险费支出。</w:t>
      </w:r>
    </w:p>
    <w:p>
      <w:pPr>
        <w:spacing w:line="600" w:lineRule="exact"/>
        <w:ind w:firstLine="642" w:firstLineChars="200"/>
        <w:rPr>
          <w:rStyle w:val="14"/>
          <w:rFonts w:ascii="仿宋" w:hAnsi="仿宋" w:eastAsia="仿宋" w:cs="仿宋"/>
          <w:b w:val="0"/>
          <w:color w:val="000000"/>
          <w:sz w:val="32"/>
          <w:szCs w:val="32"/>
        </w:rPr>
      </w:pPr>
      <w:r>
        <w:rPr>
          <w:rStyle w:val="14"/>
          <w:rFonts w:hint="eastAsia" w:ascii="仿宋" w:hAnsi="仿宋" w:eastAsia="仿宋" w:cs="仿宋"/>
          <w:color w:val="000000"/>
          <w:sz w:val="32"/>
          <w:szCs w:val="32"/>
        </w:rPr>
        <w:t>7、社会保障和就业支出（类）行政事业单位离退休（款）机关事业单位职业年金缴费支出（项）: 机关事业单位实施养老保险制度由单位实际缴纳的职业年金支出。</w:t>
      </w:r>
    </w:p>
    <w:p>
      <w:pPr>
        <w:spacing w:line="600" w:lineRule="exact"/>
        <w:ind w:firstLine="642" w:firstLineChars="200"/>
        <w:rPr>
          <w:rStyle w:val="14"/>
          <w:rFonts w:ascii="仿宋" w:hAnsi="仿宋" w:eastAsia="仿宋" w:cs="仿宋"/>
          <w:b w:val="0"/>
          <w:color w:val="000000"/>
          <w:sz w:val="32"/>
          <w:szCs w:val="32"/>
        </w:rPr>
      </w:pPr>
      <w:r>
        <w:rPr>
          <w:rStyle w:val="14"/>
          <w:rFonts w:hint="eastAsia" w:ascii="仿宋" w:hAnsi="仿宋" w:eastAsia="仿宋" w:cs="仿宋"/>
          <w:color w:val="000000"/>
          <w:sz w:val="32"/>
          <w:szCs w:val="32"/>
        </w:rPr>
        <w:t>8.医疗卫生与计划生育支出（类）行政事业单位医疗（款）事业单位医疗（项）: 指财政部门集中安排和事业单位基本医疗保险缴费经费。</w:t>
      </w:r>
    </w:p>
    <w:p>
      <w:pPr>
        <w:spacing w:line="600" w:lineRule="exact"/>
        <w:ind w:firstLine="642" w:firstLineChars="200"/>
        <w:rPr>
          <w:rStyle w:val="14"/>
          <w:rFonts w:ascii="仿宋" w:hAnsi="仿宋" w:eastAsia="仿宋" w:cs="仿宋"/>
          <w:b w:val="0"/>
          <w:color w:val="000000"/>
          <w:sz w:val="32"/>
          <w:szCs w:val="32"/>
        </w:rPr>
      </w:pPr>
      <w:r>
        <w:rPr>
          <w:rStyle w:val="14"/>
          <w:rFonts w:hint="eastAsia" w:ascii="仿宋" w:hAnsi="仿宋" w:eastAsia="仿宋" w:cs="仿宋"/>
          <w:color w:val="000000"/>
          <w:sz w:val="32"/>
          <w:szCs w:val="32"/>
        </w:rPr>
        <w:t>9、资源勘探信息等支出（类）制造业（款）其他制造业（项）: 指其他用于制造业方面的支出。</w:t>
      </w:r>
    </w:p>
    <w:p>
      <w:pPr>
        <w:spacing w:line="600" w:lineRule="exact"/>
        <w:ind w:firstLine="642" w:firstLineChars="200"/>
        <w:rPr>
          <w:rStyle w:val="14"/>
          <w:rFonts w:ascii="仿宋" w:hAnsi="仿宋" w:eastAsia="仿宋" w:cs="仿宋"/>
          <w:b w:val="0"/>
          <w:color w:val="000000"/>
          <w:sz w:val="32"/>
          <w:szCs w:val="32"/>
        </w:rPr>
      </w:pPr>
      <w:r>
        <w:rPr>
          <w:rStyle w:val="14"/>
          <w:rFonts w:hint="eastAsia" w:ascii="仿宋" w:hAnsi="仿宋" w:eastAsia="仿宋" w:cs="仿宋"/>
          <w:color w:val="000000"/>
          <w:sz w:val="32"/>
          <w:szCs w:val="32"/>
        </w:rPr>
        <w:t>10.资源勘探信息等支出（类）工业和信息产业监管（款）行政运行（项）: 指单位的基本支出。</w:t>
      </w:r>
    </w:p>
    <w:p>
      <w:pPr>
        <w:spacing w:line="600" w:lineRule="exact"/>
        <w:ind w:firstLine="642" w:firstLineChars="200"/>
        <w:rPr>
          <w:rStyle w:val="14"/>
          <w:rFonts w:ascii="仿宋" w:hAnsi="仿宋" w:eastAsia="仿宋" w:cs="仿宋"/>
          <w:b w:val="0"/>
          <w:color w:val="000000"/>
          <w:sz w:val="32"/>
          <w:szCs w:val="32"/>
        </w:rPr>
      </w:pPr>
      <w:r>
        <w:rPr>
          <w:rStyle w:val="14"/>
          <w:rFonts w:hint="eastAsia" w:ascii="仿宋" w:hAnsi="仿宋" w:eastAsia="仿宋" w:cs="仿宋"/>
          <w:color w:val="000000"/>
          <w:sz w:val="32"/>
          <w:szCs w:val="32"/>
        </w:rPr>
        <w:t>11.资源勘探信息等支出（类）工业和信息产业监管（款）一般行政管理事务（项）: 指未单独设置项级科目的其他支出。</w:t>
      </w:r>
    </w:p>
    <w:p>
      <w:pPr>
        <w:spacing w:line="600" w:lineRule="exact"/>
        <w:ind w:firstLine="642" w:firstLineChars="200"/>
        <w:rPr>
          <w:rStyle w:val="14"/>
          <w:rFonts w:ascii="仿宋" w:hAnsi="仿宋" w:eastAsia="仿宋" w:cs="仿宋"/>
          <w:b w:val="0"/>
          <w:color w:val="000000"/>
          <w:sz w:val="32"/>
          <w:szCs w:val="32"/>
        </w:rPr>
      </w:pPr>
      <w:r>
        <w:rPr>
          <w:rStyle w:val="14"/>
          <w:rFonts w:hint="eastAsia" w:ascii="仿宋" w:hAnsi="仿宋" w:eastAsia="仿宋" w:cs="仿宋"/>
          <w:color w:val="000000"/>
          <w:sz w:val="32"/>
          <w:szCs w:val="32"/>
        </w:rPr>
        <w:t>12.资源勘探信息等支出（类）工业和信息产业监管（款）其他工业和信息产业监管支出（项）: 指其他用于工业和信息产业监察方面的支出。</w:t>
      </w:r>
    </w:p>
    <w:p>
      <w:pPr>
        <w:spacing w:line="600" w:lineRule="exact"/>
        <w:ind w:firstLine="642" w:firstLineChars="200"/>
        <w:rPr>
          <w:rStyle w:val="14"/>
          <w:rFonts w:ascii="仿宋" w:hAnsi="仿宋" w:eastAsia="仿宋" w:cs="仿宋"/>
          <w:b w:val="0"/>
          <w:color w:val="000000"/>
          <w:sz w:val="32"/>
          <w:szCs w:val="32"/>
        </w:rPr>
      </w:pPr>
      <w:r>
        <w:rPr>
          <w:rStyle w:val="14"/>
          <w:rFonts w:hint="eastAsia" w:ascii="仿宋" w:hAnsi="仿宋" w:eastAsia="仿宋" w:cs="仿宋"/>
          <w:color w:val="000000"/>
          <w:sz w:val="32"/>
          <w:szCs w:val="32"/>
        </w:rPr>
        <w:t>13.住房保障支出（类）住房改革支出（款）住房公积金（项）:指行政事业单位按人力资源和社会保障、财政部规定的基本工资和津贴补贴以及规定比例为职工缴纳的住房公积金。</w:t>
      </w:r>
    </w:p>
    <w:p>
      <w:pPr>
        <w:ind w:firstLine="642" w:firstLineChars="200"/>
        <w:rPr>
          <w:rFonts w:ascii="仿宋" w:hAnsi="仿宋" w:eastAsia="仿宋" w:cs="仿宋"/>
          <w:color w:val="000000"/>
          <w:sz w:val="32"/>
          <w:szCs w:val="32"/>
        </w:rPr>
      </w:pPr>
      <w:r>
        <w:rPr>
          <w:rStyle w:val="14"/>
          <w:rFonts w:hint="eastAsia" w:ascii="仿宋" w:hAnsi="仿宋" w:eastAsia="仿宋" w:cs="仿宋"/>
          <w:color w:val="000000"/>
          <w:sz w:val="32"/>
          <w:szCs w:val="32"/>
        </w:rPr>
        <w:t>14、其他支出（类）其他支出（款）其他支出（项）:指其他不能划分到具体功能科目中的支出项目。</w:t>
      </w:r>
    </w:p>
    <w:p>
      <w:pPr>
        <w:ind w:firstLine="642" w:firstLineChars="200"/>
        <w:rPr>
          <w:rFonts w:ascii="仿宋" w:hAnsi="仿宋" w:eastAsia="仿宋" w:cs="仿宋"/>
          <w:b/>
          <w:color w:val="000000"/>
          <w:sz w:val="32"/>
          <w:szCs w:val="32"/>
        </w:rPr>
      </w:pPr>
      <w:r>
        <w:rPr>
          <w:rFonts w:hint="eastAsia" w:ascii="仿宋" w:hAnsi="仿宋" w:eastAsia="仿宋" w:cs="仿宋"/>
          <w:b/>
          <w:color w:val="000000"/>
          <w:sz w:val="32"/>
          <w:szCs w:val="32"/>
        </w:rPr>
        <w:t>15.基本支出：指为保障机构正常运转、完成日常工作任务而发生的人员支出和公用支出。</w:t>
      </w:r>
    </w:p>
    <w:p>
      <w:pPr>
        <w:ind w:firstLine="642" w:firstLineChars="200"/>
        <w:rPr>
          <w:rFonts w:ascii="仿宋" w:hAnsi="仿宋" w:eastAsia="仿宋" w:cs="仿宋"/>
          <w:b/>
          <w:color w:val="000000"/>
          <w:sz w:val="32"/>
          <w:szCs w:val="32"/>
        </w:rPr>
      </w:pPr>
      <w:r>
        <w:rPr>
          <w:rFonts w:hint="eastAsia" w:ascii="仿宋" w:hAnsi="仿宋" w:eastAsia="仿宋" w:cs="仿宋"/>
          <w:b/>
          <w:color w:val="000000"/>
          <w:sz w:val="32"/>
          <w:szCs w:val="32"/>
        </w:rPr>
        <w:t xml:space="preserve">16.项目支出：指在基本支出之外为完成特定行政任务和事业发展目标所发生的支出。 </w:t>
      </w:r>
    </w:p>
    <w:p>
      <w:pPr>
        <w:pStyle w:val="22"/>
        <w:spacing w:line="560" w:lineRule="exact"/>
        <w:ind w:firstLine="642" w:firstLineChars="200"/>
        <w:rPr>
          <w:rFonts w:ascii="仿宋_GB2312" w:eastAsia="仿宋_GB2312"/>
          <w:b/>
          <w:sz w:val="32"/>
          <w:szCs w:val="32"/>
        </w:rPr>
      </w:pPr>
      <w:r>
        <w:rPr>
          <w:rFonts w:hint="eastAsia" w:ascii="仿宋_GB2312" w:eastAsia="仿宋_GB2312"/>
          <w:b/>
          <w:sz w:val="32"/>
          <w:szCs w:val="32"/>
        </w:rPr>
        <w:t>17</w:t>
      </w:r>
      <w:r>
        <w:rPr>
          <w:rFonts w:ascii="仿宋_GB2312" w:eastAsia="仿宋_GB2312"/>
          <w:b/>
          <w:sz w:val="32"/>
          <w:szCs w:val="32"/>
        </w:rPr>
        <w:t>.</w:t>
      </w:r>
      <w:r>
        <w:rPr>
          <w:rFonts w:hint="eastAsia" w:ascii="仿宋_GB2312" w:eastAsia="仿宋_GB2312"/>
          <w:b/>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2" w:firstLineChars="200"/>
        <w:rPr>
          <w:rFonts w:ascii="仿宋_GB2312" w:eastAsia="仿宋_GB2312"/>
          <w:b/>
          <w:sz w:val="32"/>
          <w:szCs w:val="32"/>
        </w:rPr>
      </w:pPr>
      <w:r>
        <w:rPr>
          <w:rFonts w:hint="eastAsia" w:ascii="仿宋_GB2312" w:eastAsia="仿宋_GB2312"/>
          <w:b/>
          <w:sz w:val="32"/>
          <w:szCs w:val="32"/>
        </w:rPr>
        <w:t>18</w:t>
      </w:r>
      <w:r>
        <w:rPr>
          <w:rFonts w:ascii="仿宋_GB2312" w:eastAsia="仿宋_GB2312"/>
          <w:b/>
          <w:sz w:val="32"/>
          <w:szCs w:val="32"/>
        </w:rPr>
        <w:t>.</w:t>
      </w:r>
      <w:r>
        <w:rPr>
          <w:rFonts w:hint="eastAsia" w:ascii="仿宋_GB2312" w:eastAsia="仿宋_GB2312"/>
          <w:b/>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outlineLvl w:val="0"/>
        <w:rPr>
          <w:rFonts w:ascii="黑体" w:hAnsi="黑体" w:eastAsia="黑体"/>
          <w:color w:val="000000"/>
          <w:sz w:val="44"/>
          <w:szCs w:val="44"/>
        </w:rPr>
      </w:pPr>
      <w:bookmarkStart w:id="57" w:name="_Toc15396614"/>
      <w:bookmarkStart w:id="58" w:name="_Toc15377226"/>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Style w:val="24"/>
          <w:rFonts w:hint="eastAsia" w:ascii="黑体" w:hAnsi="黑体" w:eastAsia="黑体"/>
          <w:b w:val="0"/>
        </w:rPr>
      </w:pPr>
      <w:r>
        <w:rPr>
          <w:rFonts w:hint="eastAsia" w:ascii="黑体" w:hAnsi="黑体" w:eastAsia="黑体"/>
          <w:color w:val="000000"/>
          <w:sz w:val="44"/>
          <w:szCs w:val="44"/>
        </w:rPr>
        <w:t>第</w:t>
      </w:r>
      <w:r>
        <w:rPr>
          <w:rStyle w:val="24"/>
          <w:rFonts w:hint="eastAsia" w:ascii="黑体" w:hAnsi="黑体" w:eastAsia="黑体"/>
          <w:b w:val="0"/>
        </w:rPr>
        <w:t>四部分 附件</w:t>
      </w:r>
      <w:bookmarkEnd w:id="57"/>
    </w:p>
    <w:p>
      <w:pPr>
        <w:spacing w:line="600" w:lineRule="exact"/>
        <w:jc w:val="center"/>
        <w:outlineLvl w:val="0"/>
        <w:rPr>
          <w:rStyle w:val="24"/>
          <w:rFonts w:ascii="黑体" w:hAnsi="黑体" w:eastAsia="黑体"/>
          <w:b w:val="0"/>
        </w:rPr>
      </w:pPr>
    </w:p>
    <w:p>
      <w:pPr>
        <w:pStyle w:val="3"/>
        <w:rPr>
          <w:rStyle w:val="24"/>
          <w:rFonts w:ascii="仿宋" w:hAnsi="仿宋" w:eastAsia="仿宋"/>
          <w:b w:val="0"/>
          <w:bCs w:val="0"/>
          <w:sz w:val="32"/>
          <w:szCs w:val="32"/>
        </w:rPr>
      </w:pPr>
      <w:bookmarkStart w:id="59" w:name="_Toc15396615"/>
      <w:r>
        <w:rPr>
          <w:rStyle w:val="24"/>
          <w:rFonts w:hint="eastAsia" w:ascii="仿宋" w:hAnsi="仿宋" w:eastAsia="仿宋"/>
          <w:b w:val="0"/>
          <w:bCs w:val="0"/>
          <w:sz w:val="32"/>
          <w:szCs w:val="32"/>
        </w:rPr>
        <w:t>附件1</w:t>
      </w:r>
      <w:bookmarkEnd w:id="59"/>
    </w:p>
    <w:p>
      <w:pPr>
        <w:spacing w:line="600" w:lineRule="exact"/>
        <w:jc w:val="center"/>
        <w:outlineLvl w:val="0"/>
        <w:rPr>
          <w:rFonts w:ascii="黑体" w:hAnsi="黑体" w:eastAsia="黑体" w:cs="方正小标宋简体"/>
          <w:sz w:val="36"/>
          <w:szCs w:val="36"/>
        </w:rPr>
      </w:pPr>
      <w:bookmarkStart w:id="60" w:name="_Toc15396616"/>
      <w:r>
        <w:rPr>
          <w:rFonts w:hint="eastAsia" w:ascii="黑体" w:hAnsi="黑体" w:eastAsia="黑体" w:cs="方正小标宋简体"/>
          <w:sz w:val="36"/>
          <w:szCs w:val="36"/>
        </w:rPr>
        <w:t>四川省广元市利州区经济科技和信息化局         2018年部门整体支出绩效评价报告</w:t>
      </w:r>
      <w:bookmarkEnd w:id="60"/>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广元市利州区经济科技和信息化局机关包含下属事业单位经济信息中心，部门决算属1个独立核算机构。区经科信局内部机构设置情况：内设7个内设机构：办公室（行政审批股）、工业运行与技改创新股（广元市利州区工业工作领导小组办公室、广元市利州区民营经济工作领导小组办公室）、产业园区和能源保障股、信息化股、科技创新和知识产权保护股（广元市利州区知识产权局）、防震减灾股(广元市利州区防震减灾局)、2018年新增盐业管理股。</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（二）机构职能</w:t>
      </w:r>
    </w:p>
    <w:p>
      <w:pPr>
        <w:spacing w:line="576" w:lineRule="exact"/>
        <w:ind w:firstLine="640" w:firstLineChars="200"/>
        <w:rPr>
          <w:rFonts w:ascii="仿宋_GB2312" w:hAnsi="宋体" w:eastAsia="仿宋_GB2312"/>
          <w:sz w:val="32"/>
          <w:szCs w:val="32"/>
        </w:rPr>
      </w:pPr>
      <w:r>
        <w:rPr>
          <w:rFonts w:hint="eastAsia" w:ascii="仿宋_GB2312" w:eastAsia="仿宋_GB2312"/>
          <w:sz w:val="32"/>
          <w:szCs w:val="32"/>
        </w:rPr>
        <w:t xml:space="preserve"> (一）</w:t>
      </w:r>
      <w:r>
        <w:rPr>
          <w:rFonts w:hint="eastAsia" w:ascii="仿宋_GB2312" w:hAnsi="宋体" w:eastAsia="仿宋_GB2312"/>
          <w:sz w:val="32"/>
          <w:szCs w:val="32"/>
        </w:rPr>
        <w:t>贯彻实施国家有关工业经济、科学技术、知识产权、信息化、无线电管理方针、政策和法律、法规；（二）拟订全区工业经济、科学技术、知识产权、信息化和无线电管理的政策规定并组织实施</w:t>
      </w:r>
      <w:r>
        <w:rPr>
          <w:rFonts w:hint="eastAsia" w:ascii="仿宋_GB2312" w:hAnsi="仿宋_GB2312" w:eastAsia="仿宋_GB2312" w:cs="仿宋_GB2312"/>
          <w:sz w:val="32"/>
          <w:szCs w:val="32"/>
        </w:rPr>
        <w:t>和监督检查;</w:t>
      </w:r>
      <w:r>
        <w:rPr>
          <w:rFonts w:hint="eastAsia" w:ascii="仿宋_GB2312" w:hAnsi="宋体" w:eastAsia="仿宋_GB2312"/>
          <w:sz w:val="32"/>
          <w:szCs w:val="32"/>
        </w:rPr>
        <w:t xml:space="preserve"> （三）</w:t>
      </w:r>
      <w:r>
        <w:rPr>
          <w:rFonts w:hint="eastAsia" w:ascii="仿宋_GB2312" w:hAnsi="仿宋_GB2312" w:eastAsia="仿宋_GB2312" w:cs="仿宋_GB2312"/>
          <w:sz w:val="32"/>
          <w:szCs w:val="32"/>
        </w:rPr>
        <w:t>组织推动信息化和工业化融合、工业化与城镇化联动，负责推进全区工业结构调整。</w:t>
      </w:r>
      <w:r>
        <w:rPr>
          <w:rFonts w:hint="eastAsia" w:ascii="仿宋_GB2312" w:hAnsi="宋体" w:eastAsia="仿宋_GB2312"/>
          <w:sz w:val="32"/>
          <w:szCs w:val="32"/>
        </w:rPr>
        <w:t>（四）负责拟订全区新型工业化发展战略和重大政策，组织实施工业强区战略；（五）拟订中、近期经济运行目标、政策并组织实施，协调解决经济运行中的重大问题;（六）负责电力、成品油、天然气等重要物资综合调控、紧急调度和交通运输协调工作,承担年度工业经济目标责任考核；（七）</w:t>
      </w:r>
      <w:r>
        <w:rPr>
          <w:rFonts w:hint="eastAsia" w:ascii="仿宋_GB2312" w:hAnsi="仿宋_GB2312" w:eastAsia="仿宋_GB2312" w:cs="仿宋_GB2312"/>
          <w:sz w:val="32"/>
          <w:szCs w:val="32"/>
        </w:rPr>
        <w:t>负责全区企业技术改造推进工作，组织制订并实施全区企业技术改造投资规划和政策，制订并发布全区企业技术改造投资项目引导目录。提出工业和信息化固定资产投资规模的意见，按照规定权限审批、核准、备案规划内全区企业技术改造项目，组织企业技术改造项目申报国家、省、市有关专项计划并组织实施。</w:t>
      </w:r>
      <w:r>
        <w:rPr>
          <w:rFonts w:hint="eastAsia" w:ascii="仿宋_GB2312" w:hAnsi="宋体" w:eastAsia="仿宋_GB2312"/>
          <w:sz w:val="32"/>
          <w:szCs w:val="32"/>
        </w:rPr>
        <w:t>（八）</w:t>
      </w:r>
      <w:r>
        <w:rPr>
          <w:rFonts w:hint="eastAsia" w:ascii="仿宋_GB2312" w:hAnsi="仿宋_GB2312" w:eastAsia="仿宋_GB2312" w:cs="仿宋_GB2312"/>
          <w:sz w:val="32"/>
          <w:szCs w:val="32"/>
        </w:rPr>
        <w:t>统筹推进全区信息化工作，制订并组织实施相关政策，指导电子政务、企业信息化、电子商务和物联网发展，推动跨行业、跨部门面向社会服务网络的互联互通和信息资源共享。</w:t>
      </w:r>
      <w:r>
        <w:rPr>
          <w:rFonts w:hint="eastAsia" w:ascii="仿宋_GB2312" w:hAnsi="宋体" w:eastAsia="仿宋_GB2312"/>
          <w:sz w:val="32"/>
          <w:szCs w:val="32"/>
        </w:rPr>
        <w:t>（九）</w:t>
      </w:r>
      <w:r>
        <w:rPr>
          <w:rFonts w:hint="eastAsia" w:ascii="仿宋_GB2312" w:hAnsi="仿宋_GB2312" w:eastAsia="仿宋_GB2312" w:cs="仿宋_GB2312"/>
          <w:sz w:val="32"/>
          <w:szCs w:val="32"/>
        </w:rPr>
        <w:t>推进科技体制改革工作，提出合理配置科技人才资源、优化科技人才成长环境的政策措施；会同有关部门拟订全区科技人才队伍建设规划和提出政策建议。负责本部门预算中的科技和知识产权经费预决算及经费使用的监督管理；会同有关部门提出强化科技投入及优化科技资源配置的政策措施建议。</w:t>
      </w:r>
      <w:r>
        <w:rPr>
          <w:rFonts w:hint="eastAsia" w:ascii="仿宋_GB2312" w:hAnsi="宋体" w:eastAsia="仿宋_GB2312"/>
          <w:sz w:val="32"/>
          <w:szCs w:val="32"/>
        </w:rPr>
        <w:t>（十）负责全区防震减灾各项工作。（十一）负责全区知识产权工作，（十二）负责盐业体制工作。</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（三）人员概况</w:t>
      </w:r>
    </w:p>
    <w:p>
      <w:pPr>
        <w:spacing w:line="580" w:lineRule="exact"/>
        <w:ind w:firstLine="640" w:firstLineChars="200"/>
        <w:rPr>
          <w:rFonts w:ascii="仿宋" w:hAnsi="仿宋" w:eastAsia="仿宋" w:cs="仿宋_GB2312"/>
          <w:color w:val="FF0000"/>
          <w:sz w:val="32"/>
          <w:szCs w:val="32"/>
        </w:rPr>
      </w:pPr>
      <w:r>
        <w:rPr>
          <w:rFonts w:hint="eastAsia" w:ascii="仿宋_GB2312" w:eastAsia="仿宋_GB2312"/>
          <w:color w:val="000000"/>
          <w:sz w:val="32"/>
          <w:szCs w:val="32"/>
        </w:rPr>
        <w:t>全局年末实有人数27人，其中：公务员16人、机关工勤2人、</w:t>
      </w:r>
      <w:r>
        <w:rPr>
          <w:rFonts w:hint="eastAsia" w:ascii="仿宋_GB2312" w:eastAsia="仿宋_GB2312"/>
          <w:sz w:val="32"/>
          <w:szCs w:val="32"/>
        </w:rPr>
        <w:t>事业人员9人。公务员人员因盐业体制改革进入1人，事业人员增加1人引进人才，调走1人。</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pPr>
        <w:ind w:firstLine="560" w:firstLineChars="200"/>
        <w:rPr>
          <w:rFonts w:ascii="仿宋_GB2312" w:eastAsia="仿宋_GB2312"/>
          <w:sz w:val="28"/>
          <w:szCs w:val="28"/>
        </w:rPr>
      </w:pPr>
      <w:r>
        <w:rPr>
          <w:rFonts w:hint="eastAsia" w:ascii="仿宋_GB2312" w:eastAsia="仿宋_GB2312"/>
          <w:sz w:val="28"/>
          <w:szCs w:val="28"/>
        </w:rPr>
        <w:t>2018年预算收入4785.28万元，其中：财政预算拨款收入3795.08万元、上年结转安排990.20万元。</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（二）部门财政资金支出情况。</w:t>
      </w:r>
    </w:p>
    <w:p>
      <w:pPr>
        <w:spacing w:line="580" w:lineRule="exact"/>
        <w:ind w:firstLine="560" w:firstLineChars="200"/>
        <w:rPr>
          <w:rFonts w:ascii="仿宋" w:hAnsi="仿宋" w:eastAsia="仿宋" w:cs="仿宋_GB2312"/>
          <w:color w:val="FF0000"/>
          <w:sz w:val="32"/>
          <w:szCs w:val="32"/>
        </w:rPr>
      </w:pPr>
      <w:r>
        <w:rPr>
          <w:rFonts w:hint="eastAsia" w:ascii="仿宋_GB2312" w:eastAsia="仿宋_GB2312"/>
          <w:sz w:val="28"/>
          <w:szCs w:val="28"/>
        </w:rPr>
        <w:t>2018年支出3495.58万元；结转下年1289.71万元。结转财政资金1289.71万元，主要是1、对企业的项目资金监管严格按照权责发生制原则，按照项目工程进度拨款，未开支的资金没有列支。</w:t>
      </w:r>
    </w:p>
    <w:p>
      <w:pPr>
        <w:spacing w:line="580" w:lineRule="exact"/>
        <w:ind w:firstLine="640" w:firstLineChars="200"/>
        <w:rPr>
          <w:rFonts w:hint="eastAsia" w:ascii="黑体" w:hAnsi="黑体" w:eastAsia="黑体" w:cs="黑体"/>
          <w:color w:val="000000" w:themeColor="text1"/>
          <w:sz w:val="32"/>
          <w:szCs w:val="32"/>
          <w14:textFill>
            <w14:solidFill>
              <w14:schemeClr w14:val="tx1"/>
            </w14:solidFill>
          </w14:textFill>
        </w:rPr>
      </w:pPr>
      <w:r>
        <w:rPr>
          <w:rFonts w:ascii="黑体" w:hAnsi="黑体" w:eastAsia="黑体" w:cs="黑体"/>
          <w:color w:val="000000" w:themeColor="text1"/>
          <w:sz w:val="32"/>
          <w:szCs w:val="32"/>
          <w14:textFill>
            <w14:solidFill>
              <w14:schemeClr w14:val="tx1"/>
            </w14:solidFill>
          </w14:textFill>
        </w:rPr>
        <w:t>三、部门整体预算绩效管理情况</w:t>
      </w:r>
    </w:p>
    <w:p>
      <w:pPr>
        <w:spacing w:line="580" w:lineRule="exact"/>
        <w:ind w:firstLine="640" w:firstLineChars="200"/>
        <w:rPr>
          <w:rFonts w:ascii="仿宋_GB2312" w:eastAsia="仿宋_GB2312"/>
          <w:bCs/>
          <w:color w:val="000000"/>
          <w:kern w:val="0"/>
          <w:sz w:val="32"/>
          <w:szCs w:val="32"/>
        </w:rPr>
      </w:pPr>
      <w:r>
        <w:rPr>
          <w:rFonts w:hint="eastAsia" w:ascii="仿宋_GB2312" w:eastAsia="仿宋_GB2312"/>
          <w:bCs/>
          <w:color w:val="000000"/>
          <w:kern w:val="0"/>
          <w:sz w:val="32"/>
          <w:szCs w:val="32"/>
        </w:rPr>
        <w:t>（一）部门预算管理。</w:t>
      </w:r>
    </w:p>
    <w:p>
      <w:pPr>
        <w:spacing w:line="580" w:lineRule="exact"/>
        <w:ind w:firstLine="640" w:firstLineChars="200"/>
        <w:rPr>
          <w:rFonts w:hint="eastAsia" w:ascii="仿宋_GB2312" w:eastAsia="仿宋_GB2312"/>
          <w:bCs/>
          <w:color w:val="000000"/>
          <w:kern w:val="0"/>
          <w:sz w:val="32"/>
          <w:szCs w:val="32"/>
        </w:rPr>
      </w:pPr>
      <w:r>
        <w:rPr>
          <w:rFonts w:hint="eastAsia" w:ascii="仿宋_GB2312" w:eastAsia="仿宋_GB2312"/>
          <w:bCs/>
          <w:color w:val="000000"/>
          <w:kern w:val="0"/>
          <w:sz w:val="32"/>
          <w:szCs w:val="32"/>
        </w:rPr>
        <w:t>2018年利州区经科信局部门整体支出资金绩效评价总体良好，主要体现在：预算编制及时，认真执行各项财经纪律，财务管理内控制度健全，资金使用规范，无乱发津补贴、奖金现象。</w:t>
      </w:r>
    </w:p>
    <w:p>
      <w:pPr>
        <w:spacing w:line="580" w:lineRule="exact"/>
        <w:ind w:firstLine="640" w:firstLineChars="200"/>
        <w:rPr>
          <w:rFonts w:hint="eastAsia" w:ascii="仿宋_GB2312" w:eastAsia="仿宋_GB2312"/>
          <w:bCs/>
          <w:color w:val="000000"/>
          <w:kern w:val="0"/>
          <w:sz w:val="32"/>
          <w:szCs w:val="32"/>
        </w:rPr>
      </w:pPr>
      <w:r>
        <w:rPr>
          <w:rFonts w:hint="eastAsia" w:ascii="仿宋_GB2312" w:eastAsia="仿宋_GB2312"/>
          <w:bCs/>
          <w:color w:val="000000"/>
          <w:kern w:val="0"/>
          <w:sz w:val="32"/>
          <w:szCs w:val="32"/>
        </w:rPr>
        <w:t>（二）专项预算管理。</w:t>
      </w:r>
    </w:p>
    <w:p>
      <w:pPr>
        <w:spacing w:line="580" w:lineRule="exact"/>
        <w:ind w:firstLine="640" w:firstLineChars="200"/>
        <w:rPr>
          <w:rFonts w:hint="eastAsia" w:ascii="仿宋_GB2312" w:eastAsia="仿宋_GB2312"/>
          <w:bCs/>
          <w:color w:val="000000"/>
          <w:kern w:val="0"/>
          <w:sz w:val="32"/>
          <w:szCs w:val="32"/>
        </w:rPr>
      </w:pPr>
      <w:r>
        <w:rPr>
          <w:rFonts w:hint="eastAsia" w:ascii="仿宋_GB2312" w:eastAsia="仿宋_GB2312"/>
          <w:bCs/>
          <w:color w:val="000000"/>
          <w:kern w:val="0"/>
          <w:sz w:val="32"/>
          <w:szCs w:val="32"/>
        </w:rPr>
        <w:t>我局专项资金按照文件规定申请申报；所提交的文件、材料符合相关要求，事前经过了内部控制领导小组审核，分管财务领导审核、局长审批，并达到预期效果。同时，我局严格按照上级部门及本级财政专项工作资金的相关规定办法进行开支，做到专款专用，无挪用、占用、套取的现象发生。</w:t>
      </w:r>
    </w:p>
    <w:p>
      <w:pPr>
        <w:spacing w:line="580" w:lineRule="exact"/>
        <w:ind w:firstLine="640" w:firstLineChars="200"/>
        <w:rPr>
          <w:rFonts w:hint="eastAsia" w:ascii="仿宋_GB2312" w:eastAsia="仿宋_GB2312"/>
          <w:bCs/>
          <w:color w:val="000000"/>
          <w:kern w:val="0"/>
          <w:sz w:val="32"/>
          <w:szCs w:val="32"/>
        </w:rPr>
      </w:pPr>
      <w:r>
        <w:rPr>
          <w:rFonts w:hint="eastAsia" w:ascii="仿宋_GB2312" w:eastAsia="仿宋_GB2312"/>
          <w:bCs/>
          <w:color w:val="000000"/>
          <w:kern w:val="0"/>
          <w:sz w:val="32"/>
          <w:szCs w:val="32"/>
        </w:rPr>
        <w:t>（三）结果应用情况。</w:t>
      </w:r>
    </w:p>
    <w:p>
      <w:pPr>
        <w:spacing w:line="580" w:lineRule="exact"/>
        <w:ind w:firstLine="640" w:firstLineChars="200"/>
        <w:rPr>
          <w:rFonts w:hint="eastAsia" w:ascii="微软雅黑" w:hAnsi="微软雅黑" w:eastAsia="微软雅黑"/>
        </w:rPr>
      </w:pPr>
      <w:r>
        <w:rPr>
          <w:rFonts w:hint="eastAsia" w:ascii="仿宋_GB2312" w:eastAsia="仿宋_GB2312"/>
          <w:bCs/>
          <w:color w:val="000000"/>
          <w:kern w:val="0"/>
          <w:sz w:val="32"/>
          <w:szCs w:val="32"/>
        </w:rPr>
        <w:t>根据自评结果，2018年度部门整体预算绩效质量好，既保障了本单位职工正常办公和生活秩序，工资薪金正常发放，又顺利完成各项统计工作任务，同时严肃预算管理，保障各项工作顺利开展，严格履行法定职责，圆满完成了区委、区政府部署的工作任务，准确评价了各项指标的完成情况，群众满意度高。</w:t>
      </w:r>
    </w:p>
    <w:p>
      <w:pPr>
        <w:spacing w:line="580" w:lineRule="exact"/>
        <w:ind w:firstLine="640" w:firstLineChars="200"/>
        <w:rPr>
          <w:rFonts w:hint="eastAsia" w:ascii="仿宋_GB2312" w:eastAsia="仿宋_GB2312"/>
          <w:bCs/>
          <w:color w:val="000000"/>
          <w:kern w:val="0"/>
          <w:sz w:val="32"/>
          <w:szCs w:val="32"/>
        </w:rPr>
      </w:pPr>
      <w:r>
        <w:rPr>
          <w:rFonts w:hint="eastAsia" w:ascii="仿宋_GB2312" w:eastAsia="仿宋_GB2312"/>
          <w:bCs/>
          <w:color w:val="000000"/>
          <w:kern w:val="0"/>
          <w:sz w:val="32"/>
          <w:szCs w:val="32"/>
        </w:rPr>
        <w:t>四、评价结论及建议</w:t>
      </w:r>
    </w:p>
    <w:p>
      <w:pPr>
        <w:spacing w:line="580" w:lineRule="exact"/>
        <w:ind w:firstLine="640" w:firstLineChars="200"/>
        <w:rPr>
          <w:rFonts w:hint="eastAsia" w:ascii="仿宋_GB2312" w:eastAsia="仿宋_GB2312"/>
          <w:bCs/>
          <w:color w:val="000000"/>
          <w:kern w:val="0"/>
          <w:sz w:val="32"/>
          <w:szCs w:val="32"/>
        </w:rPr>
      </w:pPr>
      <w:r>
        <w:rPr>
          <w:rFonts w:hint="eastAsia" w:ascii="仿宋_GB2312" w:eastAsia="仿宋_GB2312"/>
          <w:bCs/>
          <w:color w:val="000000"/>
          <w:kern w:val="0"/>
          <w:sz w:val="32"/>
          <w:szCs w:val="32"/>
        </w:rPr>
        <w:t>（一）评价结论。</w:t>
      </w:r>
    </w:p>
    <w:p>
      <w:pPr>
        <w:spacing w:line="580" w:lineRule="exact"/>
        <w:ind w:firstLine="640" w:firstLineChars="200"/>
        <w:rPr>
          <w:rFonts w:hint="eastAsia" w:ascii="仿宋_GB2312" w:eastAsia="仿宋_GB2312"/>
          <w:bCs/>
          <w:color w:val="000000"/>
          <w:kern w:val="0"/>
          <w:sz w:val="32"/>
          <w:szCs w:val="32"/>
        </w:rPr>
      </w:pPr>
      <w:r>
        <w:rPr>
          <w:rFonts w:hint="eastAsia" w:ascii="仿宋_GB2312" w:eastAsia="仿宋_GB2312"/>
          <w:bCs/>
          <w:color w:val="000000"/>
          <w:kern w:val="0"/>
          <w:sz w:val="32"/>
          <w:szCs w:val="32"/>
        </w:rPr>
        <w:t>2018年度，本部门在部门绩效目标制定、目标完成、预算编制准确、支出控制、预算动态调整、执行进度、预算完成都严格按照各项制度和规定按时保质完成，无任何违规记录。及时、准确、优质地完成了预算编制；预算执行情况良好，支出管理规范，资金管理制度较为完善，会计核算和账务处理规范，会计资料完整。</w:t>
      </w:r>
    </w:p>
    <w:p>
      <w:pPr>
        <w:spacing w:line="580" w:lineRule="exact"/>
        <w:ind w:firstLine="640" w:firstLineChars="200"/>
        <w:rPr>
          <w:rFonts w:hint="eastAsia" w:ascii="仿宋_GB2312" w:eastAsia="仿宋_GB2312"/>
          <w:bCs/>
          <w:color w:val="000000"/>
          <w:kern w:val="0"/>
          <w:sz w:val="32"/>
          <w:szCs w:val="32"/>
        </w:rPr>
      </w:pPr>
      <w:r>
        <w:rPr>
          <w:rFonts w:hint="eastAsia" w:ascii="仿宋_GB2312" w:eastAsia="仿宋_GB2312"/>
          <w:bCs/>
          <w:color w:val="000000"/>
          <w:kern w:val="0"/>
          <w:sz w:val="32"/>
          <w:szCs w:val="32"/>
        </w:rPr>
        <w:t>（二）存在问题。</w:t>
      </w:r>
    </w:p>
    <w:p>
      <w:pPr>
        <w:spacing w:line="580" w:lineRule="exact"/>
        <w:ind w:firstLine="640" w:firstLineChars="200"/>
        <w:rPr>
          <w:rFonts w:hint="eastAsia" w:ascii="仿宋_GB2312" w:eastAsia="仿宋_GB2312"/>
          <w:bCs/>
          <w:color w:val="000000"/>
          <w:kern w:val="0"/>
          <w:sz w:val="32"/>
          <w:szCs w:val="32"/>
        </w:rPr>
      </w:pPr>
      <w:r>
        <w:rPr>
          <w:rFonts w:hint="eastAsia" w:ascii="仿宋_GB2312" w:eastAsia="仿宋_GB2312"/>
          <w:bCs/>
          <w:color w:val="000000"/>
          <w:kern w:val="0"/>
          <w:sz w:val="32"/>
          <w:szCs w:val="32"/>
        </w:rPr>
        <w:t>在资金使用计划上有待进一步加强,要进一步细化预算编制,编制范围尽可能全面，不漏项。进一步提高预算编制的科学性、合理性、严谨性和可控性。</w:t>
      </w:r>
    </w:p>
    <w:p>
      <w:pPr>
        <w:spacing w:line="580" w:lineRule="exact"/>
        <w:ind w:firstLine="640" w:firstLineChars="200"/>
        <w:rPr>
          <w:rFonts w:hint="eastAsia" w:ascii="仿宋_GB2312" w:eastAsia="仿宋_GB2312"/>
          <w:bCs/>
          <w:color w:val="000000"/>
          <w:kern w:val="0"/>
          <w:sz w:val="32"/>
          <w:szCs w:val="32"/>
        </w:rPr>
      </w:pPr>
      <w:r>
        <w:rPr>
          <w:rFonts w:hint="eastAsia" w:ascii="仿宋_GB2312" w:eastAsia="仿宋_GB2312"/>
          <w:bCs/>
          <w:color w:val="000000"/>
          <w:kern w:val="0"/>
          <w:sz w:val="32"/>
          <w:szCs w:val="32"/>
        </w:rPr>
        <w:t>（三）改进建议。</w:t>
      </w:r>
    </w:p>
    <w:p>
      <w:pPr>
        <w:spacing w:line="580" w:lineRule="exact"/>
        <w:ind w:firstLine="640" w:firstLineChars="200"/>
        <w:rPr>
          <w:rFonts w:hint="eastAsia" w:ascii="仿宋_GB2312" w:eastAsia="仿宋_GB2312"/>
          <w:bCs/>
          <w:color w:val="000000"/>
          <w:kern w:val="0"/>
          <w:sz w:val="32"/>
          <w:szCs w:val="32"/>
        </w:rPr>
      </w:pPr>
      <w:r>
        <w:rPr>
          <w:rFonts w:hint="eastAsia" w:ascii="仿宋_GB2312" w:eastAsia="仿宋_GB2312"/>
          <w:bCs/>
          <w:color w:val="000000"/>
          <w:kern w:val="0"/>
          <w:sz w:val="32"/>
          <w:szCs w:val="32"/>
        </w:rPr>
        <w:t>加强预算编制的前瞻性，进一步优化预算编制，避免项目支出与基本支出划分不准或预算支出与实际执行出现较大偏差的情况，执行中确需调剂预算的，按规定程序报经批准。</w:t>
      </w:r>
    </w:p>
    <w:p>
      <w:pPr>
        <w:widowControl/>
        <w:jc w:val="left"/>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tbl>
      <w:tblPr>
        <w:tblStyle w:val="12"/>
        <w:tblpPr w:leftFromText="180" w:rightFromText="180" w:vertAnchor="text" w:horzAnchor="page" w:tblpXSpec="center" w:tblpY="423"/>
        <w:tblOverlap w:val="never"/>
        <w:tblW w:w="9883" w:type="dxa"/>
        <w:tblInd w:w="96" w:type="dxa"/>
        <w:tblLayout w:type="fixed"/>
        <w:tblCellMar>
          <w:top w:w="0" w:type="dxa"/>
          <w:left w:w="0" w:type="dxa"/>
          <w:bottom w:w="0" w:type="dxa"/>
          <w:right w:w="0" w:type="dxa"/>
        </w:tblCellMar>
      </w:tblPr>
      <w:tblGrid>
        <w:gridCol w:w="854"/>
        <w:gridCol w:w="885"/>
        <w:gridCol w:w="1019"/>
        <w:gridCol w:w="2373"/>
        <w:gridCol w:w="2375"/>
        <w:gridCol w:w="2377"/>
      </w:tblGrid>
      <w:tr>
        <w:tblPrEx>
          <w:tblCellMar>
            <w:top w:w="0" w:type="dxa"/>
            <w:left w:w="0" w:type="dxa"/>
            <w:bottom w:w="0" w:type="dxa"/>
            <w:right w:w="0" w:type="dxa"/>
          </w:tblCellMar>
        </w:tblPrEx>
        <w:trPr>
          <w:trHeight w:val="1277" w:hRule="atLeast"/>
        </w:trPr>
        <w:tc>
          <w:tcPr>
            <w:tcW w:w="9883" w:type="dxa"/>
            <w:gridSpan w:val="6"/>
            <w:tcMar>
              <w:top w:w="15" w:type="dxa"/>
              <w:left w:w="15" w:type="dxa"/>
              <w:bottom w:w="0" w:type="dxa"/>
              <w:right w:w="15" w:type="dxa"/>
            </w:tcMar>
            <w:vAlign w:val="center"/>
          </w:tcPr>
          <w:p>
            <w:pPr>
              <w:pStyle w:val="23"/>
              <w:widowControl/>
              <w:spacing w:before="93"/>
              <w:ind w:left="4065" w:leftChars="50" w:hanging="3960" w:hangingChars="1100"/>
              <w:textAlignment w:val="center"/>
              <w:rPr>
                <w:rFonts w:ascii="宋体" w:hAnsi="宋体" w:cs="宋体"/>
                <w:b/>
                <w:sz w:val="36"/>
                <w:szCs w:val="36"/>
              </w:rPr>
            </w:pPr>
            <w:r>
              <w:rPr>
                <w:rFonts w:hint="eastAsia" w:cs="宋体" w:asciiTheme="minorEastAsia" w:hAnsiTheme="minorEastAsia" w:eastAsiaTheme="minorEastAsia"/>
                <w:bCs/>
                <w:kern w:val="0"/>
                <w:sz w:val="36"/>
                <w:szCs w:val="36"/>
              </w:rPr>
              <w:t>附件一</w:t>
            </w:r>
            <w:r>
              <w:rPr>
                <w:rFonts w:hint="eastAsia" w:ascii="黑体" w:hAnsi="黑体" w:eastAsia="黑体" w:cs="宋体"/>
                <w:b/>
                <w:bCs/>
                <w:kern w:val="0"/>
                <w:sz w:val="36"/>
                <w:szCs w:val="36"/>
              </w:rPr>
              <w:t xml:space="preserve">        项目支出绩效目标完成情况表</w:t>
            </w:r>
            <w:r>
              <w:rPr>
                <w:rFonts w:hint="eastAsia" w:ascii="宋体" w:hAnsi="宋体" w:cs="宋体"/>
                <w:b/>
                <w:bCs/>
                <w:kern w:val="0"/>
                <w:sz w:val="36"/>
                <w:szCs w:val="36"/>
              </w:rPr>
              <w:br w:type="textWrapping"/>
            </w:r>
            <w:r>
              <w:rPr>
                <w:rFonts w:hint="eastAsia" w:ascii="宋体" w:hAnsi="宋体" w:cs="宋体"/>
                <w:b/>
                <w:kern w:val="0"/>
                <w:sz w:val="36"/>
                <w:szCs w:val="36"/>
              </w:rPr>
              <w:t>(2018 年度)</w:t>
            </w:r>
          </w:p>
        </w:tc>
      </w:tr>
      <w:tr>
        <w:tblPrEx>
          <w:tblCellMar>
            <w:top w:w="0" w:type="dxa"/>
            <w:left w:w="0" w:type="dxa"/>
            <w:bottom w:w="0" w:type="dxa"/>
            <w:right w:w="0" w:type="dxa"/>
          </w:tblCellMar>
        </w:tblPrEx>
        <w:trPr>
          <w:trHeight w:val="1020" w:hRule="atLeast"/>
        </w:trPr>
        <w:tc>
          <w:tcPr>
            <w:tcW w:w="275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项目名称</w:t>
            </w:r>
          </w:p>
        </w:tc>
        <w:tc>
          <w:tcPr>
            <w:tcW w:w="712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仿宋_GB2312" w:hAnsi="仿宋_GB2312" w:eastAsia="仿宋_GB2312" w:cs="仿宋_GB2312"/>
                <w:b/>
                <w:sz w:val="24"/>
              </w:rPr>
              <w:t>“</w:t>
            </w:r>
            <w:r>
              <w:rPr>
                <w:rFonts w:hint="eastAsia" w:ascii="宋体" w:hAnsi="宋体" w:cs="宋体"/>
                <w:b/>
                <w:kern w:val="0"/>
                <w:sz w:val="24"/>
              </w:rPr>
              <w:t>火眼”周界监视雷达成果转化项目、基于认知的低空微弱目标探测技术研究项目、质子、重离子加速器项目、省级军用技术再研发和军民结合产业化项目、第二批工业发展资金淘汰落后产能方向项目</w:t>
            </w:r>
          </w:p>
        </w:tc>
      </w:tr>
      <w:tr>
        <w:tblPrEx>
          <w:tblCellMar>
            <w:top w:w="0" w:type="dxa"/>
            <w:left w:w="0" w:type="dxa"/>
            <w:bottom w:w="0" w:type="dxa"/>
            <w:right w:w="0" w:type="dxa"/>
          </w:tblCellMar>
        </w:tblPrEx>
        <w:trPr>
          <w:trHeight w:val="341" w:hRule="atLeast"/>
        </w:trPr>
        <w:tc>
          <w:tcPr>
            <w:tcW w:w="275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预算单位</w:t>
            </w:r>
          </w:p>
        </w:tc>
        <w:tc>
          <w:tcPr>
            <w:tcW w:w="712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sz w:val="24"/>
              </w:rPr>
              <w:t>广元市利州区经济信息化和科学技术局</w:t>
            </w:r>
          </w:p>
        </w:tc>
      </w:tr>
      <w:tr>
        <w:tblPrEx>
          <w:tblCellMar>
            <w:top w:w="0" w:type="dxa"/>
            <w:left w:w="0" w:type="dxa"/>
            <w:bottom w:w="0" w:type="dxa"/>
            <w:right w:w="0" w:type="dxa"/>
          </w:tblCellMar>
        </w:tblPrEx>
        <w:trPr>
          <w:trHeight w:val="341" w:hRule="atLeast"/>
        </w:trPr>
        <w:tc>
          <w:tcPr>
            <w:tcW w:w="85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预算执行情况(万元)</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预算数:</w:t>
            </w:r>
          </w:p>
        </w:tc>
        <w:tc>
          <w:tcPr>
            <w:tcW w:w="23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sz w:val="24"/>
              </w:rPr>
              <w:t>470</w:t>
            </w:r>
          </w:p>
        </w:tc>
        <w:tc>
          <w:tcPr>
            <w:tcW w:w="23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执行数:</w:t>
            </w:r>
          </w:p>
        </w:tc>
        <w:tc>
          <w:tcPr>
            <w:tcW w:w="23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sz w:val="24"/>
              </w:rPr>
              <w:t>444</w:t>
            </w:r>
          </w:p>
        </w:tc>
      </w:tr>
      <w:tr>
        <w:tblPrEx>
          <w:tblCellMar>
            <w:top w:w="0" w:type="dxa"/>
            <w:left w:w="0" w:type="dxa"/>
            <w:bottom w:w="0" w:type="dxa"/>
            <w:right w:w="0" w:type="dxa"/>
          </w:tblCellMar>
        </w:tblPrEx>
        <w:trPr>
          <w:trHeight w:val="341" w:hRule="atLeast"/>
        </w:trPr>
        <w:tc>
          <w:tcPr>
            <w:tcW w:w="85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sz w:val="24"/>
              </w:rPr>
            </w:pP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其中-财政拨款:</w:t>
            </w:r>
          </w:p>
        </w:tc>
        <w:tc>
          <w:tcPr>
            <w:tcW w:w="23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sz w:val="24"/>
              </w:rPr>
              <w:t>470</w:t>
            </w:r>
          </w:p>
        </w:tc>
        <w:tc>
          <w:tcPr>
            <w:tcW w:w="23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其中-财政拨款:</w:t>
            </w:r>
          </w:p>
        </w:tc>
        <w:tc>
          <w:tcPr>
            <w:tcW w:w="23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sz w:val="24"/>
              </w:rPr>
              <w:t>444</w:t>
            </w:r>
          </w:p>
        </w:tc>
      </w:tr>
      <w:tr>
        <w:trPr>
          <w:trHeight w:val="920" w:hRule="atLeast"/>
        </w:trPr>
        <w:tc>
          <w:tcPr>
            <w:tcW w:w="85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sz w:val="24"/>
              </w:rPr>
            </w:pP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其它资金:</w:t>
            </w:r>
          </w:p>
        </w:tc>
        <w:tc>
          <w:tcPr>
            <w:tcW w:w="23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0</w:t>
            </w:r>
          </w:p>
        </w:tc>
        <w:tc>
          <w:tcPr>
            <w:tcW w:w="23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其它资金:</w:t>
            </w:r>
          </w:p>
        </w:tc>
        <w:tc>
          <w:tcPr>
            <w:tcW w:w="23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b/>
                <w:sz w:val="24"/>
              </w:rPr>
            </w:pPr>
            <w:r>
              <w:rPr>
                <w:rFonts w:hint="eastAsia" w:ascii="宋体" w:hAnsi="宋体" w:cs="宋体"/>
                <w:b/>
                <w:sz w:val="24"/>
              </w:rPr>
              <w:t>0</w:t>
            </w:r>
          </w:p>
        </w:tc>
      </w:tr>
      <w:tr>
        <w:tblPrEx>
          <w:tblCellMar>
            <w:top w:w="0" w:type="dxa"/>
            <w:left w:w="0" w:type="dxa"/>
            <w:bottom w:w="0" w:type="dxa"/>
            <w:right w:w="0" w:type="dxa"/>
          </w:tblCellMar>
        </w:tblPrEx>
        <w:trPr>
          <w:trHeight w:val="341" w:hRule="atLeast"/>
        </w:trPr>
        <w:tc>
          <w:tcPr>
            <w:tcW w:w="85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年度目标完成情况</w:t>
            </w:r>
          </w:p>
        </w:tc>
        <w:tc>
          <w:tcPr>
            <w:tcW w:w="4277"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预期目标</w:t>
            </w:r>
          </w:p>
        </w:tc>
        <w:tc>
          <w:tcPr>
            <w:tcW w:w="475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实际完成目标</w:t>
            </w:r>
          </w:p>
        </w:tc>
      </w:tr>
      <w:tr>
        <w:tblPrEx>
          <w:tblCellMar>
            <w:top w:w="0" w:type="dxa"/>
            <w:left w:w="0" w:type="dxa"/>
            <w:bottom w:w="0" w:type="dxa"/>
            <w:right w:w="0" w:type="dxa"/>
          </w:tblCellMar>
        </w:tblPrEx>
        <w:trPr>
          <w:trHeight w:val="1434" w:hRule="atLeast"/>
        </w:trPr>
        <w:tc>
          <w:tcPr>
            <w:tcW w:w="85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sz w:val="24"/>
              </w:rPr>
            </w:pPr>
          </w:p>
        </w:tc>
        <w:tc>
          <w:tcPr>
            <w:tcW w:w="4277"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 w:hAnsi="仿宋" w:eastAsia="仿宋" w:cs="宋体"/>
                <w:b/>
                <w:szCs w:val="21"/>
              </w:rPr>
            </w:pPr>
            <w:r>
              <w:rPr>
                <w:rFonts w:hint="eastAsia" w:ascii="仿宋" w:hAnsi="仿宋" w:eastAsia="仿宋" w:cs="仿宋_GB2312"/>
                <w:b/>
                <w:szCs w:val="21"/>
              </w:rPr>
              <w:t>“</w:t>
            </w:r>
            <w:r>
              <w:rPr>
                <w:rFonts w:hint="eastAsia" w:ascii="仿宋" w:hAnsi="仿宋" w:eastAsia="仿宋" w:cs="宋体"/>
                <w:b/>
                <w:kern w:val="0"/>
                <w:szCs w:val="21"/>
              </w:rPr>
              <w:t>火眼”周界监视雷达成果转化项目、基于认知的低空微弱目标探测技术研究项目、质子、重离子加速器项目、省级军用技术再研发和军民结合产业化项目、第二批工业发展资金淘汰落后产能方向项目全部完成</w:t>
            </w:r>
          </w:p>
        </w:tc>
        <w:tc>
          <w:tcPr>
            <w:tcW w:w="475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b/>
                <w:sz w:val="24"/>
              </w:rPr>
            </w:pPr>
            <w:r>
              <w:rPr>
                <w:rFonts w:hint="eastAsia" w:ascii="仿宋" w:hAnsi="仿宋" w:eastAsia="仿宋" w:cs="宋体"/>
                <w:b/>
                <w:kern w:val="0"/>
                <w:sz w:val="24"/>
              </w:rPr>
              <w:t>除省级军用技术再研发和军民结合产业化项目待验收余10%26万元，其余项目全部完成</w:t>
            </w:r>
          </w:p>
        </w:tc>
      </w:tr>
      <w:tr>
        <w:trPr>
          <w:trHeight w:val="1146" w:hRule="atLeast"/>
        </w:trPr>
        <w:tc>
          <w:tcPr>
            <w:tcW w:w="85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sz w:val="24"/>
              </w:rPr>
              <w:t>绩效指标完成情况</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一级指标</w:t>
            </w:r>
          </w:p>
        </w:tc>
        <w:tc>
          <w:tcPr>
            <w:tcW w:w="10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二级指标</w:t>
            </w:r>
          </w:p>
        </w:tc>
        <w:tc>
          <w:tcPr>
            <w:tcW w:w="23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三级指标</w:t>
            </w:r>
          </w:p>
        </w:tc>
        <w:tc>
          <w:tcPr>
            <w:tcW w:w="23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预期指标值(包含数字及文字描述)</w:t>
            </w:r>
          </w:p>
        </w:tc>
        <w:tc>
          <w:tcPr>
            <w:tcW w:w="23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实际完成指标值(包含数字及文字描述)</w:t>
            </w:r>
          </w:p>
        </w:tc>
      </w:tr>
      <w:tr>
        <w:tblPrEx>
          <w:tblCellMar>
            <w:top w:w="0" w:type="dxa"/>
            <w:left w:w="0" w:type="dxa"/>
            <w:bottom w:w="0" w:type="dxa"/>
            <w:right w:w="0" w:type="dxa"/>
          </w:tblCellMar>
        </w:tblPrEx>
        <w:trPr>
          <w:trHeight w:val="1178" w:hRule="atLeast"/>
        </w:trPr>
        <w:tc>
          <w:tcPr>
            <w:tcW w:w="85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sz w:val="24"/>
              </w:rPr>
            </w:pP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项目完成指标</w:t>
            </w:r>
          </w:p>
        </w:tc>
        <w:tc>
          <w:tcPr>
            <w:tcW w:w="10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技术创新目标</w:t>
            </w:r>
          </w:p>
        </w:tc>
        <w:tc>
          <w:tcPr>
            <w:tcW w:w="23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p>
        </w:tc>
        <w:tc>
          <w:tcPr>
            <w:tcW w:w="23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进行军民融合科技成果转化并推广应用</w:t>
            </w:r>
          </w:p>
        </w:tc>
        <w:tc>
          <w:tcPr>
            <w:tcW w:w="23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项目实施中</w:t>
            </w:r>
          </w:p>
        </w:tc>
      </w:tr>
      <w:tr>
        <w:trPr>
          <w:trHeight w:val="1288" w:hRule="atLeast"/>
        </w:trPr>
        <w:tc>
          <w:tcPr>
            <w:tcW w:w="85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sz w:val="24"/>
              </w:rPr>
            </w:pP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项目完成指标</w:t>
            </w:r>
          </w:p>
        </w:tc>
        <w:tc>
          <w:tcPr>
            <w:tcW w:w="10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技术创新目标</w:t>
            </w:r>
          </w:p>
        </w:tc>
        <w:tc>
          <w:tcPr>
            <w:tcW w:w="23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p>
        </w:tc>
        <w:tc>
          <w:tcPr>
            <w:tcW w:w="23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改善对低空弱小目标的探测和参数估计性能</w:t>
            </w:r>
          </w:p>
        </w:tc>
        <w:tc>
          <w:tcPr>
            <w:tcW w:w="23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项目实施中</w:t>
            </w:r>
          </w:p>
        </w:tc>
      </w:tr>
      <w:tr>
        <w:tblPrEx>
          <w:tblCellMar>
            <w:top w:w="0" w:type="dxa"/>
            <w:left w:w="0" w:type="dxa"/>
            <w:bottom w:w="0" w:type="dxa"/>
            <w:right w:w="0" w:type="dxa"/>
          </w:tblCellMar>
        </w:tblPrEx>
        <w:trPr>
          <w:trHeight w:val="1288" w:hRule="atLeast"/>
        </w:trPr>
        <w:tc>
          <w:tcPr>
            <w:tcW w:w="85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sz w:val="24"/>
              </w:rPr>
            </w:pP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项目完成指标</w:t>
            </w:r>
          </w:p>
        </w:tc>
        <w:tc>
          <w:tcPr>
            <w:tcW w:w="10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技术创新目标</w:t>
            </w:r>
          </w:p>
        </w:tc>
        <w:tc>
          <w:tcPr>
            <w:tcW w:w="23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p>
        </w:tc>
        <w:tc>
          <w:tcPr>
            <w:tcW w:w="23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质子、重离子加速器用大尺寸纳米晶磁合金磁芯≥3.6GHz</w:t>
            </w:r>
          </w:p>
        </w:tc>
        <w:tc>
          <w:tcPr>
            <w:tcW w:w="23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项目实施中</w:t>
            </w:r>
          </w:p>
        </w:tc>
      </w:tr>
      <w:tr>
        <w:trPr>
          <w:trHeight w:val="1288" w:hRule="atLeast"/>
        </w:trPr>
        <w:tc>
          <w:tcPr>
            <w:tcW w:w="85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sz w:val="24"/>
              </w:rPr>
            </w:pP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项目完成指标</w:t>
            </w:r>
          </w:p>
        </w:tc>
        <w:tc>
          <w:tcPr>
            <w:tcW w:w="10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数量指标</w:t>
            </w:r>
          </w:p>
        </w:tc>
        <w:tc>
          <w:tcPr>
            <w:tcW w:w="23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p>
        </w:tc>
        <w:tc>
          <w:tcPr>
            <w:tcW w:w="23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工程样机3套，申请专利5个</w:t>
            </w:r>
          </w:p>
        </w:tc>
        <w:tc>
          <w:tcPr>
            <w:tcW w:w="23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工程样机2套，申请专利1个</w:t>
            </w:r>
          </w:p>
        </w:tc>
      </w:tr>
      <w:tr>
        <w:tblPrEx>
          <w:tblCellMar>
            <w:top w:w="0" w:type="dxa"/>
            <w:left w:w="0" w:type="dxa"/>
            <w:bottom w:w="0" w:type="dxa"/>
            <w:right w:w="0" w:type="dxa"/>
          </w:tblCellMar>
        </w:tblPrEx>
        <w:trPr>
          <w:trHeight w:val="1288" w:hRule="atLeast"/>
        </w:trPr>
        <w:tc>
          <w:tcPr>
            <w:tcW w:w="85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sz w:val="24"/>
              </w:rPr>
            </w:pP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项目完成指标</w:t>
            </w:r>
          </w:p>
        </w:tc>
        <w:tc>
          <w:tcPr>
            <w:tcW w:w="10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质量指标</w:t>
            </w:r>
          </w:p>
        </w:tc>
        <w:tc>
          <w:tcPr>
            <w:tcW w:w="23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p>
        </w:tc>
        <w:tc>
          <w:tcPr>
            <w:tcW w:w="23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按照相关技术指标</w:t>
            </w:r>
          </w:p>
        </w:tc>
        <w:tc>
          <w:tcPr>
            <w:tcW w:w="23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按照相关技术指标</w:t>
            </w:r>
          </w:p>
        </w:tc>
      </w:tr>
      <w:tr>
        <w:tblPrEx>
          <w:tblCellMar>
            <w:top w:w="0" w:type="dxa"/>
            <w:left w:w="0" w:type="dxa"/>
            <w:bottom w:w="0" w:type="dxa"/>
            <w:right w:w="0" w:type="dxa"/>
          </w:tblCellMar>
        </w:tblPrEx>
        <w:trPr>
          <w:trHeight w:val="1288" w:hRule="atLeast"/>
        </w:trPr>
        <w:tc>
          <w:tcPr>
            <w:tcW w:w="85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sz w:val="24"/>
              </w:rPr>
            </w:pP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项目完成指标</w:t>
            </w:r>
          </w:p>
        </w:tc>
        <w:tc>
          <w:tcPr>
            <w:tcW w:w="10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数量指标</w:t>
            </w:r>
          </w:p>
        </w:tc>
        <w:tc>
          <w:tcPr>
            <w:tcW w:w="23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p>
        </w:tc>
        <w:tc>
          <w:tcPr>
            <w:tcW w:w="23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按项目申报内容完成目标</w:t>
            </w:r>
          </w:p>
        </w:tc>
        <w:tc>
          <w:tcPr>
            <w:tcW w:w="23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指标完成</w:t>
            </w:r>
          </w:p>
        </w:tc>
      </w:tr>
      <w:tr>
        <w:tblPrEx>
          <w:tblCellMar>
            <w:top w:w="0" w:type="dxa"/>
            <w:left w:w="0" w:type="dxa"/>
            <w:bottom w:w="0" w:type="dxa"/>
            <w:right w:w="0" w:type="dxa"/>
          </w:tblCellMar>
        </w:tblPrEx>
        <w:trPr>
          <w:trHeight w:val="1288" w:hRule="atLeast"/>
        </w:trPr>
        <w:tc>
          <w:tcPr>
            <w:tcW w:w="85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sz w:val="24"/>
              </w:rPr>
            </w:pP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项目完成指标</w:t>
            </w:r>
          </w:p>
        </w:tc>
        <w:tc>
          <w:tcPr>
            <w:tcW w:w="10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质量指标</w:t>
            </w:r>
          </w:p>
        </w:tc>
        <w:tc>
          <w:tcPr>
            <w:tcW w:w="23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p>
        </w:tc>
        <w:tc>
          <w:tcPr>
            <w:tcW w:w="23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按照相关淘汰落后产能政策完成指标</w:t>
            </w:r>
          </w:p>
        </w:tc>
        <w:tc>
          <w:tcPr>
            <w:tcW w:w="23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指标完成</w:t>
            </w:r>
          </w:p>
        </w:tc>
      </w:tr>
      <w:tr>
        <w:tblPrEx>
          <w:tblCellMar>
            <w:top w:w="0" w:type="dxa"/>
            <w:left w:w="0" w:type="dxa"/>
            <w:bottom w:w="0" w:type="dxa"/>
            <w:right w:w="0" w:type="dxa"/>
          </w:tblCellMar>
        </w:tblPrEx>
        <w:trPr>
          <w:trHeight w:val="1288" w:hRule="atLeast"/>
        </w:trPr>
        <w:tc>
          <w:tcPr>
            <w:tcW w:w="85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sz w:val="24"/>
              </w:rPr>
            </w:pP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项目完成指标</w:t>
            </w:r>
          </w:p>
        </w:tc>
        <w:tc>
          <w:tcPr>
            <w:tcW w:w="10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abs>
                <w:tab w:val="left" w:pos="427"/>
              </w:tabs>
              <w:jc w:val="left"/>
              <w:textAlignment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时效指标</w:t>
            </w:r>
          </w:p>
        </w:tc>
        <w:tc>
          <w:tcPr>
            <w:tcW w:w="23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p>
        </w:tc>
        <w:tc>
          <w:tcPr>
            <w:tcW w:w="23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按时间要求完成</w:t>
            </w:r>
          </w:p>
        </w:tc>
        <w:tc>
          <w:tcPr>
            <w:tcW w:w="23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时间进度完成</w:t>
            </w:r>
          </w:p>
        </w:tc>
      </w:tr>
      <w:tr>
        <w:tblPrEx>
          <w:tblCellMar>
            <w:top w:w="0" w:type="dxa"/>
            <w:left w:w="0" w:type="dxa"/>
            <w:bottom w:w="0" w:type="dxa"/>
            <w:right w:w="0" w:type="dxa"/>
          </w:tblCellMar>
        </w:tblPrEx>
        <w:trPr>
          <w:trHeight w:val="1288" w:hRule="atLeast"/>
        </w:trPr>
        <w:tc>
          <w:tcPr>
            <w:tcW w:w="85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sz w:val="24"/>
              </w:rPr>
            </w:pP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项目完成指标</w:t>
            </w:r>
          </w:p>
        </w:tc>
        <w:tc>
          <w:tcPr>
            <w:tcW w:w="10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成本指标</w:t>
            </w:r>
          </w:p>
        </w:tc>
        <w:tc>
          <w:tcPr>
            <w:tcW w:w="23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p>
        </w:tc>
        <w:tc>
          <w:tcPr>
            <w:tcW w:w="23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 严格执行资金预算管理</w:t>
            </w:r>
          </w:p>
        </w:tc>
        <w:tc>
          <w:tcPr>
            <w:tcW w:w="23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严格执行资金预算管理</w:t>
            </w:r>
          </w:p>
        </w:tc>
      </w:tr>
      <w:tr>
        <w:trPr>
          <w:trHeight w:val="1288" w:hRule="atLeast"/>
        </w:trPr>
        <w:tc>
          <w:tcPr>
            <w:tcW w:w="85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sz w:val="24"/>
              </w:rPr>
            </w:pP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kern w:val="0"/>
                <w:sz w:val="24"/>
              </w:rPr>
            </w:pPr>
            <w:r>
              <w:rPr>
                <w:rFonts w:hint="eastAsia" w:ascii="宋体" w:hAnsi="宋体" w:cs="宋体"/>
                <w:b/>
                <w:kern w:val="0"/>
                <w:sz w:val="24"/>
              </w:rPr>
              <w:t>效益指标</w:t>
            </w:r>
          </w:p>
        </w:tc>
        <w:tc>
          <w:tcPr>
            <w:tcW w:w="10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sz w:val="24"/>
              </w:rPr>
              <w:t>社会效益</w:t>
            </w:r>
          </w:p>
        </w:tc>
        <w:tc>
          <w:tcPr>
            <w:tcW w:w="23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p>
        </w:tc>
        <w:tc>
          <w:tcPr>
            <w:tcW w:w="23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促进科技成果转化，带动地方军民融合产业发展</w:t>
            </w:r>
          </w:p>
        </w:tc>
        <w:tc>
          <w:tcPr>
            <w:tcW w:w="23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项目实施中</w:t>
            </w:r>
          </w:p>
        </w:tc>
      </w:tr>
      <w:tr>
        <w:tblPrEx>
          <w:tblCellMar>
            <w:top w:w="0" w:type="dxa"/>
            <w:left w:w="0" w:type="dxa"/>
            <w:bottom w:w="0" w:type="dxa"/>
            <w:right w:w="0" w:type="dxa"/>
          </w:tblCellMar>
        </w:tblPrEx>
        <w:trPr>
          <w:trHeight w:val="1288" w:hRule="atLeast"/>
        </w:trPr>
        <w:tc>
          <w:tcPr>
            <w:tcW w:w="85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sz w:val="24"/>
              </w:rPr>
            </w:pP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满意度指标</w:t>
            </w:r>
          </w:p>
        </w:tc>
        <w:tc>
          <w:tcPr>
            <w:tcW w:w="10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p>
        </w:tc>
        <w:tc>
          <w:tcPr>
            <w:tcW w:w="23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p>
        </w:tc>
        <w:tc>
          <w:tcPr>
            <w:tcW w:w="23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满足客户需求，实现顾客满意。</w:t>
            </w:r>
          </w:p>
        </w:tc>
        <w:tc>
          <w:tcPr>
            <w:tcW w:w="23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p>
        </w:tc>
      </w:tr>
    </w:tbl>
    <w:p>
      <w:pPr>
        <w:spacing w:line="600" w:lineRule="exact"/>
        <w:outlineLvl w:val="0"/>
        <w:rPr>
          <w:rFonts w:ascii="黑体" w:hAnsi="黑体" w:eastAsia="黑体" w:cs="方正小标宋简体"/>
          <w:color w:val="FF0000"/>
          <w:sz w:val="44"/>
          <w:szCs w:val="44"/>
        </w:rPr>
      </w:pPr>
    </w:p>
    <w:p>
      <w:pPr>
        <w:widowControl/>
        <w:jc w:val="left"/>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p>
    <w:p>
      <w:pPr>
        <w:pStyle w:val="3"/>
        <w:rPr>
          <w:rStyle w:val="24"/>
          <w:rFonts w:ascii="仿宋" w:hAnsi="仿宋" w:eastAsia="仿宋"/>
          <w:b w:val="0"/>
          <w:bCs w:val="0"/>
          <w:sz w:val="32"/>
          <w:szCs w:val="32"/>
        </w:rPr>
      </w:pPr>
      <w:bookmarkStart w:id="61" w:name="_Toc15396617"/>
      <w:r>
        <w:rPr>
          <w:rStyle w:val="24"/>
          <w:rFonts w:hint="eastAsia" w:ascii="仿宋" w:hAnsi="仿宋" w:eastAsia="仿宋"/>
          <w:b w:val="0"/>
          <w:bCs w:val="0"/>
          <w:sz w:val="32"/>
          <w:szCs w:val="32"/>
        </w:rPr>
        <w:t>附件2</w:t>
      </w:r>
      <w:bookmarkEnd w:id="61"/>
      <w:r>
        <w:rPr>
          <w:rStyle w:val="24"/>
          <w:rFonts w:hint="eastAsia" w:ascii="仿宋" w:hAnsi="仿宋" w:eastAsia="仿宋"/>
          <w:b w:val="0"/>
          <w:bCs w:val="0"/>
          <w:sz w:val="32"/>
          <w:szCs w:val="32"/>
        </w:rPr>
        <w:t xml:space="preserve">   项目一</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2018年第二批省级科技计划项目资金（“火眼”周界监视雷达成果转化）            项目支出绩效评价报告</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一、评价工作开展及项目情况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火眼”周界监视雷达成果转化项目承担单位是零八一电子集团有限公司，立项单位是省科技厅，立项经费150万元，项目起止年限2018年6月到2021年6月。该项目主要任务是实现科技成果转化，形成规模化生产工艺流程及规范，达到年产100台的生产能力。项目执行期内累计实现销售收入1.3亿元。</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二、评价结论及绩效分析</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（一）评价结论</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项目还未结题，正在实施中。</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（二）绩效分析</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1、项目决策</w:t>
      </w:r>
    </w:p>
    <w:p>
      <w:pPr>
        <w:spacing w:line="580" w:lineRule="exact"/>
        <w:ind w:left="638" w:leftChars="304"/>
        <w:rPr>
          <w:rFonts w:ascii="仿宋_GB2312" w:hAnsi="仿宋_GB2312" w:eastAsia="仿宋_GB2312" w:cs="仿宋_GB2312"/>
          <w:sz w:val="32"/>
          <w:szCs w:val="32"/>
        </w:rPr>
      </w:pPr>
      <w:r>
        <w:rPr>
          <w:rFonts w:hint="eastAsia" w:ascii="仿宋_GB2312" w:hAnsi="仿宋_GB2312" w:eastAsia="仿宋_GB2312" w:cs="仿宋_GB2312"/>
          <w:sz w:val="32"/>
          <w:szCs w:val="32"/>
        </w:rPr>
        <w:t>项目符合省级科技成果转化示范类项目规范，项目申报合理。</w:t>
      </w:r>
    </w:p>
    <w:p>
      <w:pPr>
        <w:spacing w:line="580" w:lineRule="exact"/>
        <w:ind w:left="638" w:leftChars="304"/>
        <w:rPr>
          <w:rFonts w:ascii="仿宋_GB2312" w:hAnsi="仿宋_GB2312" w:eastAsia="仿宋_GB2312" w:cs="仿宋_GB2312"/>
          <w:sz w:val="32"/>
          <w:szCs w:val="32"/>
        </w:rPr>
      </w:pPr>
      <w:r>
        <w:rPr>
          <w:rFonts w:hint="eastAsia" w:ascii="仿宋_GB2312" w:hAnsi="仿宋_GB2312" w:eastAsia="仿宋_GB2312" w:cs="仿宋_GB2312"/>
          <w:sz w:val="32"/>
          <w:szCs w:val="32"/>
        </w:rPr>
        <w:t>2、项目管理</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项目立项资金150万元，自筹经费605万元。项目经费按规定拨付到位。</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3、项目绩效</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项目实施中。</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三、存在主要问题</w:t>
      </w:r>
    </w:p>
    <w:p>
      <w:pPr>
        <w:tabs>
          <w:tab w:val="left" w:pos="312"/>
        </w:tabs>
        <w:spacing w:line="580" w:lineRule="exact"/>
        <w:ind w:firstLine="640" w:firstLineChars="200"/>
        <w:rPr>
          <w:rStyle w:val="25"/>
          <w:rFonts w:ascii="仿宋_GB2312" w:hAnsi="仿宋_GB2312" w:eastAsia="仿宋_GB2312" w:cs="仿宋_GB2312"/>
          <w:b w:val="0"/>
          <w:bCs w:val="0"/>
          <w:color w:val="000000" w:themeColor="text1"/>
          <w14:textFill>
            <w14:solidFill>
              <w14:schemeClr w14:val="tx1"/>
            </w14:solidFill>
          </w14:textFill>
        </w:rPr>
      </w:pPr>
      <w:r>
        <w:rPr>
          <w:rStyle w:val="25"/>
          <w:rFonts w:hint="eastAsia" w:ascii="仿宋_GB2312" w:hAnsi="仿宋_GB2312" w:eastAsia="仿宋_GB2312" w:cs="仿宋_GB2312"/>
          <w:b w:val="0"/>
          <w:color w:val="000000" w:themeColor="text1"/>
          <w14:textFill>
            <w14:solidFill>
              <w14:schemeClr w14:val="tx1"/>
            </w14:solidFill>
          </w14:textFill>
        </w:rPr>
        <w:t>对项目资金绩效管理的重要性认识不够，且管理水平有待进一步提高。</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四、相关措施建议</w:t>
      </w:r>
    </w:p>
    <w:p>
      <w:pPr>
        <w:tabs>
          <w:tab w:val="left" w:pos="312"/>
        </w:tabs>
        <w:spacing w:line="580" w:lineRule="exact"/>
        <w:ind w:firstLine="320" w:firstLineChars="100"/>
        <w:rPr>
          <w:rFonts w:ascii="仿宋_GB2312" w:hAnsi="仿宋_GB2312" w:eastAsia="仿宋_GB2312" w:cs="仿宋_GB2312"/>
          <w:color w:val="000000" w:themeColor="text1"/>
          <w:sz w:val="32"/>
          <w:szCs w:val="32"/>
          <w14:textFill>
            <w14:solidFill>
              <w14:schemeClr w14:val="tx1"/>
            </w14:solidFill>
          </w14:textFill>
        </w:rPr>
      </w:pPr>
      <w:r>
        <w:rPr>
          <w:rStyle w:val="25"/>
          <w:rFonts w:hint="eastAsia" w:ascii="仿宋_GB2312" w:hAnsi="仿宋_GB2312" w:eastAsia="仿宋_GB2312" w:cs="仿宋_GB2312"/>
          <w:b w:val="0"/>
          <w:color w:val="000000" w:themeColor="text1"/>
          <w14:textFill>
            <w14:solidFill>
              <w14:schemeClr w14:val="tx1"/>
            </w14:solidFill>
          </w14:textFill>
        </w:rPr>
        <w:t xml:space="preserve">  加强领导，切实提高对项目资金绩效管理的认识，逐步建立健全绩效管理的工作机制。</w:t>
      </w: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862"/>
        <w:gridCol w:w="893"/>
        <w:gridCol w:w="1026"/>
        <w:gridCol w:w="2392"/>
        <w:gridCol w:w="2394"/>
        <w:gridCol w:w="2393"/>
      </w:tblGrid>
      <w:tr>
        <w:tblPrEx>
          <w:tblCellMar>
            <w:top w:w="0" w:type="dxa"/>
            <w:left w:w="0" w:type="dxa"/>
            <w:bottom w:w="0" w:type="dxa"/>
            <w:right w:w="0" w:type="dxa"/>
          </w:tblCellMar>
        </w:tblPrEx>
        <w:trPr>
          <w:trHeight w:val="1118" w:hRule="atLeast"/>
        </w:trPr>
        <w:tc>
          <w:tcPr>
            <w:tcW w:w="9960" w:type="dxa"/>
            <w:gridSpan w:val="6"/>
            <w:tcMar>
              <w:top w:w="15" w:type="dxa"/>
              <w:left w:w="15" w:type="dxa"/>
              <w:bottom w:w="0" w:type="dxa"/>
              <w:right w:w="15" w:type="dxa"/>
            </w:tcMar>
            <w:vAlign w:val="center"/>
          </w:tcPr>
          <w:p>
            <w:pPr>
              <w:pStyle w:val="23"/>
              <w:widowControl/>
              <w:spacing w:before="93"/>
              <w:ind w:left="4178" w:leftChars="1310" w:hanging="1427" w:hangingChars="395"/>
              <w:textAlignment w:val="center"/>
              <w:rPr>
                <w:rFonts w:ascii="宋体" w:hAnsi="宋体" w:cs="宋体"/>
                <w:b/>
                <w:sz w:val="36"/>
                <w:szCs w:val="36"/>
              </w:rPr>
            </w:pPr>
            <w:r>
              <w:rPr>
                <w:rFonts w:hint="eastAsia" w:ascii="黑体" w:hAnsi="黑体" w:eastAsia="黑体" w:cs="宋体"/>
                <w:b/>
                <w:bCs/>
                <w:kern w:val="0"/>
                <w:sz w:val="36"/>
                <w:szCs w:val="36"/>
              </w:rPr>
              <w:t>项目支出绩效目标完成情况表</w:t>
            </w:r>
            <w:r>
              <w:rPr>
                <w:rFonts w:hint="eastAsia" w:ascii="宋体" w:hAnsi="宋体" w:cs="宋体"/>
                <w:b/>
                <w:bCs/>
                <w:kern w:val="0"/>
                <w:sz w:val="36"/>
                <w:szCs w:val="36"/>
              </w:rPr>
              <w:br w:type="textWrapping"/>
            </w:r>
            <w:r>
              <w:rPr>
                <w:rFonts w:hint="eastAsia" w:ascii="宋体" w:hAnsi="宋体" w:cs="宋体"/>
                <w:b/>
                <w:kern w:val="0"/>
                <w:sz w:val="36"/>
                <w:szCs w:val="36"/>
              </w:rPr>
              <w:t>(2018 年度)</w:t>
            </w:r>
          </w:p>
        </w:tc>
      </w:tr>
      <w:tr>
        <w:tblPrEx>
          <w:tblCellMar>
            <w:top w:w="0" w:type="dxa"/>
            <w:left w:w="0" w:type="dxa"/>
            <w:bottom w:w="0" w:type="dxa"/>
            <w:right w:w="0" w:type="dxa"/>
          </w:tblCellMar>
        </w:tblPrEx>
        <w:trPr>
          <w:trHeight w:val="299" w:hRule="atLeast"/>
        </w:trPr>
        <w:tc>
          <w:tcPr>
            <w:tcW w:w="278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项目名称</w:t>
            </w:r>
          </w:p>
        </w:tc>
        <w:tc>
          <w:tcPr>
            <w:tcW w:w="717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sz w:val="24"/>
              </w:rPr>
              <w:t>“火眼”周界监视雷达成果转化项目</w:t>
            </w:r>
          </w:p>
        </w:tc>
      </w:tr>
      <w:tr>
        <w:tblPrEx>
          <w:tblCellMar>
            <w:top w:w="0" w:type="dxa"/>
            <w:left w:w="0" w:type="dxa"/>
            <w:bottom w:w="0" w:type="dxa"/>
            <w:right w:w="0" w:type="dxa"/>
          </w:tblCellMar>
        </w:tblPrEx>
        <w:trPr>
          <w:trHeight w:val="299" w:hRule="atLeast"/>
        </w:trPr>
        <w:tc>
          <w:tcPr>
            <w:tcW w:w="278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预算单位</w:t>
            </w:r>
          </w:p>
        </w:tc>
        <w:tc>
          <w:tcPr>
            <w:tcW w:w="717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sz w:val="24"/>
              </w:rPr>
              <w:t>广元市利州区经济信息化和科学技术局</w:t>
            </w:r>
          </w:p>
        </w:tc>
      </w:tr>
      <w:tr>
        <w:tblPrEx>
          <w:tblCellMar>
            <w:top w:w="0" w:type="dxa"/>
            <w:left w:w="0" w:type="dxa"/>
            <w:bottom w:w="0" w:type="dxa"/>
            <w:right w:w="0" w:type="dxa"/>
          </w:tblCellMar>
        </w:tblPrEx>
        <w:trPr>
          <w:trHeight w:val="299" w:hRule="atLeast"/>
        </w:trPr>
        <w:tc>
          <w:tcPr>
            <w:tcW w:w="86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预算执行情况(万元)</w:t>
            </w:r>
          </w:p>
        </w:tc>
        <w:tc>
          <w:tcPr>
            <w:tcW w:w="191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sz w:val="24"/>
              </w:rPr>
              <w:t>150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执行数:</w:t>
            </w: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sz w:val="24"/>
              </w:rPr>
              <w:t>150</w:t>
            </w:r>
          </w:p>
        </w:tc>
      </w:tr>
      <w:tr>
        <w:tblPrEx>
          <w:tblCellMar>
            <w:top w:w="0" w:type="dxa"/>
            <w:left w:w="0" w:type="dxa"/>
            <w:bottom w:w="0" w:type="dxa"/>
            <w:right w:w="0" w:type="dxa"/>
          </w:tblCellMar>
        </w:tblPrEx>
        <w:trPr>
          <w:trHeight w:val="299" w:hRule="atLeast"/>
        </w:trPr>
        <w:tc>
          <w:tcPr>
            <w:tcW w:w="86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sz w:val="24"/>
              </w:rPr>
            </w:pPr>
          </w:p>
        </w:tc>
        <w:tc>
          <w:tcPr>
            <w:tcW w:w="191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sz w:val="24"/>
              </w:rPr>
              <w:t>150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其中-财政拨款:</w:t>
            </w: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sz w:val="24"/>
              </w:rPr>
              <w:t>150</w:t>
            </w:r>
          </w:p>
        </w:tc>
      </w:tr>
      <w:tr>
        <w:tblPrEx>
          <w:tblCellMar>
            <w:top w:w="0" w:type="dxa"/>
            <w:left w:w="0" w:type="dxa"/>
            <w:bottom w:w="0" w:type="dxa"/>
            <w:right w:w="0" w:type="dxa"/>
          </w:tblCellMar>
        </w:tblPrEx>
        <w:trPr>
          <w:trHeight w:val="1635" w:hRule="atLeast"/>
        </w:trPr>
        <w:tc>
          <w:tcPr>
            <w:tcW w:w="86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sz w:val="24"/>
              </w:rPr>
            </w:pPr>
          </w:p>
        </w:tc>
        <w:tc>
          <w:tcPr>
            <w:tcW w:w="191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其它资金:</w:t>
            </w: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b/>
                <w:sz w:val="24"/>
              </w:rPr>
            </w:pPr>
            <w:r>
              <w:rPr>
                <w:rFonts w:hint="eastAsia" w:ascii="宋体" w:hAnsi="宋体" w:cs="宋体"/>
                <w:b/>
                <w:sz w:val="24"/>
              </w:rPr>
              <w:t>0</w:t>
            </w:r>
          </w:p>
        </w:tc>
      </w:tr>
      <w:tr>
        <w:tblPrEx>
          <w:tblCellMar>
            <w:top w:w="0" w:type="dxa"/>
            <w:left w:w="0" w:type="dxa"/>
            <w:bottom w:w="0" w:type="dxa"/>
            <w:right w:w="0" w:type="dxa"/>
          </w:tblCellMar>
        </w:tblPrEx>
        <w:trPr>
          <w:trHeight w:val="299" w:hRule="atLeast"/>
        </w:trPr>
        <w:tc>
          <w:tcPr>
            <w:tcW w:w="86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年度目标完成情况</w:t>
            </w:r>
          </w:p>
        </w:tc>
        <w:tc>
          <w:tcPr>
            <w:tcW w:w="431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预期目标</w:t>
            </w:r>
          </w:p>
        </w:tc>
        <w:tc>
          <w:tcPr>
            <w:tcW w:w="478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实际完成目标</w:t>
            </w:r>
          </w:p>
        </w:tc>
      </w:tr>
      <w:tr>
        <w:tblPrEx>
          <w:tblCellMar>
            <w:top w:w="0" w:type="dxa"/>
            <w:left w:w="0" w:type="dxa"/>
            <w:bottom w:w="0" w:type="dxa"/>
            <w:right w:w="0" w:type="dxa"/>
          </w:tblCellMar>
        </w:tblPrEx>
        <w:trPr>
          <w:trHeight w:val="1254" w:hRule="atLeast"/>
        </w:trPr>
        <w:tc>
          <w:tcPr>
            <w:tcW w:w="86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sz w:val="24"/>
              </w:rPr>
            </w:pPr>
          </w:p>
        </w:tc>
        <w:tc>
          <w:tcPr>
            <w:tcW w:w="431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b/>
                <w:sz w:val="24"/>
              </w:rPr>
            </w:pPr>
            <w:r>
              <w:rPr>
                <w:rFonts w:hint="eastAsia" w:ascii="宋体" w:hAnsi="宋体" w:cs="宋体"/>
                <w:b/>
                <w:sz w:val="24"/>
              </w:rPr>
              <w:t>开展中间试验、工业性试验，完成产品定型，达到用户使用要求，形成规模化生产工艺流程及规范</w:t>
            </w:r>
          </w:p>
        </w:tc>
        <w:tc>
          <w:tcPr>
            <w:tcW w:w="478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sz w:val="24"/>
              </w:rPr>
              <w:t>开展中间试验、工业性试验，完成产品定型，达到用户使用要求，形成规模化生产工艺流程及规范</w:t>
            </w:r>
          </w:p>
        </w:tc>
      </w:tr>
      <w:tr>
        <w:tblPrEx>
          <w:tblCellMar>
            <w:top w:w="0" w:type="dxa"/>
            <w:left w:w="0" w:type="dxa"/>
            <w:bottom w:w="0" w:type="dxa"/>
            <w:right w:w="0" w:type="dxa"/>
          </w:tblCellMar>
        </w:tblPrEx>
        <w:trPr>
          <w:trHeight w:val="1128" w:hRule="atLeast"/>
        </w:trPr>
        <w:tc>
          <w:tcPr>
            <w:tcW w:w="86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sz w:val="24"/>
              </w:rPr>
              <w:t>绩效指标完成情况</w:t>
            </w: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一级指标</w:t>
            </w:r>
          </w:p>
        </w:tc>
        <w:tc>
          <w:tcPr>
            <w:tcW w:w="10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预期指标值(包含数字及文字描述)</w:t>
            </w: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实际完成指标值(包含数字及文字描述)</w:t>
            </w:r>
          </w:p>
        </w:tc>
      </w:tr>
      <w:tr>
        <w:tblPrEx>
          <w:tblCellMar>
            <w:top w:w="0" w:type="dxa"/>
            <w:left w:w="0" w:type="dxa"/>
            <w:bottom w:w="0" w:type="dxa"/>
            <w:right w:w="0" w:type="dxa"/>
          </w:tblCellMar>
        </w:tblPrEx>
        <w:trPr>
          <w:trHeight w:val="1031" w:hRule="atLeast"/>
        </w:trPr>
        <w:tc>
          <w:tcPr>
            <w:tcW w:w="86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sz w:val="24"/>
              </w:rPr>
            </w:pP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项目完成指标</w:t>
            </w:r>
          </w:p>
        </w:tc>
        <w:tc>
          <w:tcPr>
            <w:tcW w:w="10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sz w:val="24"/>
              </w:rPr>
              <w:t>技术创新目标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sz w:val="24"/>
              </w:rPr>
              <w:t>进行军民融合科技成果转化并推广应用</w:t>
            </w: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sz w:val="24"/>
              </w:rPr>
              <w:t>项目实施中</w:t>
            </w:r>
          </w:p>
        </w:tc>
      </w:tr>
      <w:tr>
        <w:tblPrEx>
          <w:tblCellMar>
            <w:top w:w="0" w:type="dxa"/>
            <w:left w:w="0" w:type="dxa"/>
            <w:bottom w:w="0" w:type="dxa"/>
            <w:right w:w="0" w:type="dxa"/>
          </w:tblCellMar>
        </w:tblPrEx>
        <w:trPr>
          <w:trHeight w:val="1128" w:hRule="atLeast"/>
        </w:trPr>
        <w:tc>
          <w:tcPr>
            <w:tcW w:w="86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sz w:val="24"/>
              </w:rPr>
            </w:pP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kern w:val="0"/>
                <w:sz w:val="24"/>
              </w:rPr>
            </w:pPr>
            <w:r>
              <w:rPr>
                <w:rFonts w:hint="eastAsia" w:ascii="宋体" w:hAnsi="宋体" w:cs="宋体"/>
                <w:b/>
                <w:kern w:val="0"/>
                <w:sz w:val="24"/>
              </w:rPr>
              <w:t>效益指标</w:t>
            </w:r>
          </w:p>
        </w:tc>
        <w:tc>
          <w:tcPr>
            <w:tcW w:w="10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sz w:val="24"/>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b/>
                <w:sz w:val="24"/>
              </w:rPr>
            </w:pPr>
            <w:r>
              <w:rPr>
                <w:rFonts w:hint="eastAsia" w:ascii="宋体" w:hAnsi="宋体" w:cs="宋体"/>
                <w:b/>
                <w:sz w:val="24"/>
              </w:rPr>
              <w:t>促进科技成果转化，带动地方军民融合产业发展</w:t>
            </w: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sz w:val="24"/>
              </w:rPr>
              <w:t>项目实施中</w:t>
            </w:r>
          </w:p>
        </w:tc>
      </w:tr>
    </w:tbl>
    <w:p>
      <w:pPr>
        <w:spacing w:line="600" w:lineRule="exact"/>
        <w:outlineLvl w:val="0"/>
        <w:rPr>
          <w:rFonts w:ascii="黑体" w:hAnsi="黑体" w:eastAsia="黑体" w:cs="方正小标宋简体"/>
          <w:color w:val="FF0000"/>
          <w:sz w:val="44"/>
          <w:szCs w:val="44"/>
        </w:rPr>
      </w:pPr>
      <w:bookmarkStart w:id="62" w:name="_Toc15396618"/>
    </w:p>
    <w:p>
      <w:pPr>
        <w:spacing w:line="58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项目二：</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2018年第二批省级科技计划项目资金（基于认知的低空微弱目标探测技术研究）     项目支出绩效评价报告</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一、评价工作开展及项目情况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基于认知的低空微弱目标探测技术研究项目承担是零八一电子集团有限公司，立项单位是四川省科技厅。该项目立项经费为10万元，项目起止年限为2018年8月到2020年8月。该项目主要针对现有雷达在战场防御和区域安保等应用中面临的低空突防和低小满目标监测问题，开展基于认知的低空微弱目标探测技术研究。</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二、评价结论及绩效分析</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（一）评价结论</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项目还未结题，正在实施中。</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（二）绩效分析</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1、项目决策</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项目符合省级科技应用基础研究类项目规范，项目申报合理。</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2、项目管理</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项目立项资金10万元，自筹经费34.5万元。项目经费按规定拨付到位。</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3、项目绩效</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项目实施中。</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三、存在主要问题</w:t>
      </w:r>
    </w:p>
    <w:p>
      <w:pPr>
        <w:tabs>
          <w:tab w:val="left" w:pos="312"/>
        </w:tabs>
        <w:spacing w:line="580" w:lineRule="exact"/>
        <w:ind w:firstLine="642" w:firstLineChars="200"/>
        <w:rPr>
          <w:rStyle w:val="25"/>
          <w:rFonts w:ascii="仿宋_GB2312" w:hAnsi="仿宋_GB2312" w:eastAsia="仿宋_GB2312" w:cs="仿宋_GB2312"/>
          <w:b w:val="0"/>
          <w:bCs w:val="0"/>
          <w:color w:val="000000" w:themeColor="text1"/>
          <w14:textFill>
            <w14:solidFill>
              <w14:schemeClr w14:val="tx1"/>
            </w14:solidFill>
          </w14:textFill>
        </w:rPr>
      </w:pPr>
      <w:r>
        <w:rPr>
          <w:rStyle w:val="25"/>
          <w:rFonts w:hint="eastAsia" w:ascii="仿宋_GB2312" w:hAnsi="仿宋_GB2312" w:eastAsia="仿宋_GB2312" w:cs="仿宋_GB2312"/>
          <w:color w:val="000000" w:themeColor="text1"/>
          <w14:textFill>
            <w14:solidFill>
              <w14:schemeClr w14:val="tx1"/>
            </w14:solidFill>
          </w14:textFill>
        </w:rPr>
        <w:t>对项目资金绩效管理的重要性认识不够，且管理水平有待进一步提高。</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四、相关措施建议</w:t>
      </w:r>
    </w:p>
    <w:p>
      <w:pPr>
        <w:tabs>
          <w:tab w:val="left" w:pos="312"/>
        </w:tabs>
        <w:spacing w:line="580" w:lineRule="exact"/>
        <w:ind w:firstLine="321" w:firstLineChars="100"/>
        <w:rPr>
          <w:rFonts w:ascii="仿宋_GB2312" w:hAnsi="仿宋_GB2312" w:eastAsia="仿宋_GB2312" w:cs="仿宋_GB2312"/>
          <w:color w:val="000000" w:themeColor="text1"/>
          <w:sz w:val="32"/>
          <w:szCs w:val="32"/>
          <w14:textFill>
            <w14:solidFill>
              <w14:schemeClr w14:val="tx1"/>
            </w14:solidFill>
          </w14:textFill>
        </w:rPr>
      </w:pPr>
      <w:r>
        <w:rPr>
          <w:rStyle w:val="25"/>
          <w:rFonts w:hint="eastAsia" w:ascii="仿宋_GB2312" w:hAnsi="仿宋_GB2312" w:eastAsia="仿宋_GB2312" w:cs="仿宋_GB2312"/>
          <w:color w:val="000000" w:themeColor="text1"/>
          <w14:textFill>
            <w14:solidFill>
              <w14:schemeClr w14:val="tx1"/>
            </w14:solidFill>
          </w14:textFill>
        </w:rPr>
        <w:t xml:space="preserve">  加强领导，切实提高对项目资金绩效管理的认识，逐步建立健全绩效管理的工作机制。</w:t>
      </w: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1008"/>
        <w:gridCol w:w="749"/>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spacing w:before="93"/>
              <w:ind w:left="4178" w:leftChars="1310" w:hanging="1427" w:hangingChars="395"/>
              <w:textAlignment w:val="center"/>
              <w:rPr>
                <w:rFonts w:ascii="宋体" w:hAnsi="宋体" w:cs="宋体"/>
                <w:b/>
                <w:sz w:val="36"/>
                <w:szCs w:val="36"/>
              </w:rPr>
            </w:pPr>
            <w:r>
              <w:rPr>
                <w:rFonts w:hint="eastAsia" w:ascii="黑体" w:hAnsi="黑体" w:eastAsia="黑体" w:cs="宋体"/>
                <w:b/>
                <w:bCs/>
                <w:kern w:val="0"/>
                <w:sz w:val="36"/>
                <w:szCs w:val="36"/>
              </w:rPr>
              <w:t>项目支出绩效目标完成情况表</w:t>
            </w:r>
            <w:r>
              <w:rPr>
                <w:rFonts w:hint="eastAsia" w:ascii="宋体" w:hAnsi="宋体" w:cs="宋体"/>
                <w:b/>
                <w:bCs/>
                <w:kern w:val="0"/>
                <w:sz w:val="36"/>
                <w:szCs w:val="36"/>
              </w:rPr>
              <w:br w:type="textWrapping"/>
            </w:r>
            <w:r>
              <w:rPr>
                <w:rFonts w:hint="eastAsia" w:ascii="宋体" w:hAnsi="宋体" w:cs="宋体"/>
                <w:b/>
                <w:kern w:val="0"/>
                <w:sz w:val="36"/>
                <w:szCs w:val="36"/>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sz w:val="24"/>
              </w:rPr>
              <w:t>基于认知的低空微弱目标探测技术研究</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sz w:val="24"/>
              </w:rPr>
              <w:t>广元市利州区经济信息化和科学技术局</w:t>
            </w:r>
          </w:p>
        </w:tc>
      </w:tr>
      <w:tr>
        <w:tblPrEx>
          <w:tblCellMar>
            <w:top w:w="0" w:type="dxa"/>
            <w:left w:w="0" w:type="dxa"/>
            <w:bottom w:w="0" w:type="dxa"/>
            <w:right w:w="0" w:type="dxa"/>
          </w:tblCellMar>
        </w:tblPrEx>
        <w:trPr>
          <w:trHeight w:val="276" w:hRule="atLeast"/>
        </w:trPr>
        <w:tc>
          <w:tcPr>
            <w:tcW w:w="1008"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预算执行情况(万元)</w:t>
            </w:r>
          </w:p>
        </w:tc>
        <w:tc>
          <w:tcPr>
            <w:tcW w:w="177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sz w:val="24"/>
              </w:rPr>
              <w:t>10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sz w:val="24"/>
              </w:rPr>
              <w:t>10</w:t>
            </w:r>
          </w:p>
        </w:tc>
      </w:tr>
      <w:tr>
        <w:tblPrEx>
          <w:tblCellMar>
            <w:top w:w="0" w:type="dxa"/>
            <w:left w:w="0" w:type="dxa"/>
            <w:bottom w:w="0" w:type="dxa"/>
            <w:right w:w="0" w:type="dxa"/>
          </w:tblCellMar>
        </w:tblPrEx>
        <w:trPr>
          <w:trHeight w:val="276" w:hRule="atLeast"/>
        </w:trPr>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sz w:val="24"/>
              </w:rPr>
            </w:pPr>
          </w:p>
        </w:tc>
        <w:tc>
          <w:tcPr>
            <w:tcW w:w="177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sz w:val="24"/>
              </w:rPr>
              <w:t>10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sz w:val="24"/>
              </w:rPr>
              <w:t>10</w:t>
            </w:r>
          </w:p>
        </w:tc>
      </w:tr>
      <w:tr>
        <w:tblPrEx>
          <w:tblCellMar>
            <w:top w:w="0" w:type="dxa"/>
            <w:left w:w="0" w:type="dxa"/>
            <w:bottom w:w="0" w:type="dxa"/>
            <w:right w:w="0" w:type="dxa"/>
          </w:tblCellMar>
        </w:tblPrEx>
        <w:trPr>
          <w:trHeight w:val="1511" w:hRule="atLeast"/>
        </w:trPr>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sz w:val="24"/>
              </w:rPr>
            </w:pPr>
          </w:p>
        </w:tc>
        <w:tc>
          <w:tcPr>
            <w:tcW w:w="177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b/>
                <w:sz w:val="24"/>
              </w:rPr>
            </w:pPr>
          </w:p>
        </w:tc>
      </w:tr>
      <w:tr>
        <w:tblPrEx>
          <w:tblCellMar>
            <w:top w:w="0" w:type="dxa"/>
            <w:left w:w="0" w:type="dxa"/>
            <w:bottom w:w="0" w:type="dxa"/>
            <w:right w:w="0" w:type="dxa"/>
          </w:tblCellMar>
        </w:tblPrEx>
        <w:trPr>
          <w:trHeight w:val="276" w:hRule="atLeast"/>
        </w:trPr>
        <w:tc>
          <w:tcPr>
            <w:tcW w:w="1008"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年度目标完成情况</w:t>
            </w:r>
          </w:p>
        </w:tc>
        <w:tc>
          <w:tcPr>
            <w:tcW w:w="416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实际完成目标</w:t>
            </w:r>
          </w:p>
        </w:tc>
      </w:tr>
      <w:tr>
        <w:tblPrEx>
          <w:tblCellMar>
            <w:top w:w="0" w:type="dxa"/>
            <w:left w:w="0" w:type="dxa"/>
            <w:bottom w:w="0" w:type="dxa"/>
            <w:right w:w="0" w:type="dxa"/>
          </w:tblCellMar>
        </w:tblPrEx>
        <w:trPr>
          <w:trHeight w:val="1159" w:hRule="atLeast"/>
        </w:trPr>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sz w:val="24"/>
              </w:rPr>
            </w:pPr>
          </w:p>
        </w:tc>
        <w:tc>
          <w:tcPr>
            <w:tcW w:w="416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sz w:val="24"/>
              </w:rPr>
              <w:t>完成基于认知的低空微弱目标探测技术研究评审，开展基于认知的低空微弱目标探测技术仿真工作</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sz w:val="24"/>
              </w:rPr>
              <w:t>完成基于认知的低空微弱目标探测技术研究评审，开展基于认知的低空微弱目标探测技术仿真工作</w:t>
            </w:r>
          </w:p>
        </w:tc>
      </w:tr>
      <w:tr>
        <w:tblPrEx>
          <w:tblCellMar>
            <w:top w:w="0" w:type="dxa"/>
            <w:left w:w="0" w:type="dxa"/>
            <w:bottom w:w="0" w:type="dxa"/>
            <w:right w:w="0" w:type="dxa"/>
          </w:tblCellMar>
        </w:tblPrEx>
        <w:trPr>
          <w:trHeight w:val="1042" w:hRule="atLeast"/>
        </w:trPr>
        <w:tc>
          <w:tcPr>
            <w:tcW w:w="1008"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sz w:val="24"/>
              </w:rPr>
              <w:t>绩效指标完成情况</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sz w:val="24"/>
              </w:rPr>
            </w:pP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sz w:val="24"/>
              </w:rPr>
              <w:t>技术创新目标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sz w:val="24"/>
              </w:rPr>
              <w:t>改善对低空弱小目标的探测和参数估计性能</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sz w:val="24"/>
              </w:rPr>
              <w:t>项目实施中</w:t>
            </w:r>
          </w:p>
        </w:tc>
      </w:tr>
      <w:tr>
        <w:tblPrEx>
          <w:tblCellMar>
            <w:top w:w="0" w:type="dxa"/>
            <w:left w:w="0" w:type="dxa"/>
            <w:bottom w:w="0" w:type="dxa"/>
            <w:right w:w="0" w:type="dxa"/>
          </w:tblCellMar>
        </w:tblPrEx>
        <w:trPr>
          <w:trHeight w:val="1297" w:hRule="atLeast"/>
        </w:trPr>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sz w:val="24"/>
              </w:rPr>
            </w:pP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sz w:val="24"/>
              </w:rPr>
              <w:t>平台建设目标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sz w:val="24"/>
              </w:rPr>
              <w:t>重点实验室</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sz w:val="24"/>
              </w:rPr>
              <w:t>项目实施中</w:t>
            </w:r>
          </w:p>
        </w:tc>
      </w:tr>
      <w:tr>
        <w:tblPrEx>
          <w:tblCellMar>
            <w:top w:w="0" w:type="dxa"/>
            <w:left w:w="0" w:type="dxa"/>
            <w:bottom w:w="0" w:type="dxa"/>
            <w:right w:w="0" w:type="dxa"/>
          </w:tblCellMar>
        </w:tblPrEx>
        <w:trPr>
          <w:trHeight w:val="1297"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sz w:val="24"/>
              </w:rPr>
            </w:pP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kern w:val="0"/>
                <w:sz w:val="24"/>
              </w:rPr>
            </w:pPr>
            <w:r>
              <w:rPr>
                <w:rFonts w:hint="eastAsia" w:ascii="宋体" w:hAnsi="宋体" w:cs="宋体"/>
                <w:b/>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sz w:val="24"/>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b/>
                <w:sz w:val="24"/>
              </w:rPr>
            </w:pPr>
            <w:r>
              <w:rPr>
                <w:rFonts w:hint="eastAsia" w:ascii="宋体" w:hAnsi="宋体" w:cs="宋体"/>
                <w:b/>
                <w:sz w:val="24"/>
              </w:rPr>
              <w:t>促进科技成果转化，带动地方军民融合产业发展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sz w:val="24"/>
              </w:rPr>
              <w:t>项目实施中</w:t>
            </w:r>
          </w:p>
        </w:tc>
      </w:tr>
    </w:tbl>
    <w:p>
      <w:pPr>
        <w:spacing w:line="580" w:lineRule="exact"/>
        <w:ind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项目三</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2018年第二批省级科技计划项目资金（质子、重离子加速器）项目支出绩效评价报告</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一、评价工作开展及项目情况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质子、重离子加速器用大尺寸纳米晶磁合金磁芯项目承担单位是零八一电子集团四川力源电子有限公司，立项单位是省科技厅，立项经费30万元，项目起止年限2018年6月到2020年6月。项目主要研究内容两年内完成近代物理研究所承建的国家十二五立项项目“强流重离子加速器(HIAF)”大科学装置磁合金加载腔用750mm尺寸纳米晶磁芯样品1～3只的研制。</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二、评价结论及绩效分析</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（一）评价结论</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项目还未结题，正在实施中。</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（二）绩效分析</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1、项目决策</w:t>
      </w:r>
    </w:p>
    <w:p>
      <w:pPr>
        <w:spacing w:line="580" w:lineRule="exact"/>
        <w:ind w:left="638" w:leftChars="304"/>
        <w:rPr>
          <w:rFonts w:ascii="仿宋_GB2312" w:hAnsi="仿宋_GB2312" w:eastAsia="仿宋_GB2312" w:cs="仿宋_GB2312"/>
          <w:sz w:val="32"/>
          <w:szCs w:val="32"/>
        </w:rPr>
      </w:pPr>
      <w:r>
        <w:rPr>
          <w:rFonts w:hint="eastAsia" w:ascii="仿宋_GB2312" w:hAnsi="仿宋_GB2312" w:eastAsia="仿宋_GB2312" w:cs="仿宋_GB2312"/>
          <w:sz w:val="32"/>
          <w:szCs w:val="32"/>
        </w:rPr>
        <w:t>项目符合省级科技重点研发类项目规范，项目申报合理。2、项目管理</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项目立项资金30万元，自筹经费220.03万元。项目经费按规定拨付到位。</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3、项目绩效</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项目实施中。</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三、存在主要问题</w:t>
      </w:r>
    </w:p>
    <w:p>
      <w:pPr>
        <w:tabs>
          <w:tab w:val="left" w:pos="312"/>
        </w:tabs>
        <w:spacing w:line="580" w:lineRule="exact"/>
        <w:ind w:firstLine="640" w:firstLineChars="200"/>
        <w:rPr>
          <w:rStyle w:val="25"/>
          <w:rFonts w:ascii="仿宋_GB2312" w:hAnsi="仿宋_GB2312" w:eastAsia="仿宋_GB2312" w:cs="仿宋_GB2312"/>
          <w:b w:val="0"/>
          <w:bCs w:val="0"/>
          <w:color w:val="000000" w:themeColor="text1"/>
          <w14:textFill>
            <w14:solidFill>
              <w14:schemeClr w14:val="tx1"/>
            </w14:solidFill>
          </w14:textFill>
        </w:rPr>
      </w:pPr>
      <w:r>
        <w:rPr>
          <w:rStyle w:val="25"/>
          <w:rFonts w:hint="eastAsia" w:ascii="仿宋_GB2312" w:hAnsi="仿宋_GB2312" w:eastAsia="仿宋_GB2312" w:cs="仿宋_GB2312"/>
          <w:b w:val="0"/>
          <w:color w:val="000000" w:themeColor="text1"/>
          <w14:textFill>
            <w14:solidFill>
              <w14:schemeClr w14:val="tx1"/>
            </w14:solidFill>
          </w14:textFill>
        </w:rPr>
        <w:t>对项目资金绩效管理的重要性认识不够，且管理水平有待进一步提高</w:t>
      </w:r>
      <w:r>
        <w:rPr>
          <w:rStyle w:val="25"/>
          <w:rFonts w:hint="eastAsia" w:ascii="仿宋_GB2312" w:hAnsi="仿宋_GB2312" w:eastAsia="仿宋_GB2312" w:cs="仿宋_GB2312"/>
          <w:color w:val="000000" w:themeColor="text1"/>
          <w14:textFill>
            <w14:solidFill>
              <w14:schemeClr w14:val="tx1"/>
            </w14:solidFill>
          </w14:textFill>
        </w:rPr>
        <w:t>。</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四、相关措施建议</w:t>
      </w:r>
    </w:p>
    <w:p>
      <w:pPr>
        <w:tabs>
          <w:tab w:val="left" w:pos="312"/>
        </w:tabs>
        <w:spacing w:line="580" w:lineRule="exact"/>
        <w:ind w:firstLine="321" w:firstLineChars="100"/>
        <w:rPr>
          <w:rFonts w:ascii="仿宋_GB2312" w:hAnsi="仿宋_GB2312" w:eastAsia="仿宋_GB2312" w:cs="仿宋_GB2312"/>
          <w:color w:val="000000" w:themeColor="text1"/>
          <w:sz w:val="32"/>
          <w:szCs w:val="32"/>
          <w14:textFill>
            <w14:solidFill>
              <w14:schemeClr w14:val="tx1"/>
            </w14:solidFill>
          </w14:textFill>
        </w:rPr>
      </w:pPr>
      <w:r>
        <w:rPr>
          <w:rStyle w:val="25"/>
          <w:rFonts w:hint="eastAsia" w:ascii="仿宋_GB2312" w:hAnsi="仿宋_GB2312" w:eastAsia="仿宋_GB2312" w:cs="仿宋_GB2312"/>
          <w:color w:val="000000" w:themeColor="text1"/>
          <w14:textFill>
            <w14:solidFill>
              <w14:schemeClr w14:val="tx1"/>
            </w14:solidFill>
          </w14:textFill>
        </w:rPr>
        <w:t xml:space="preserve">  </w:t>
      </w:r>
      <w:r>
        <w:rPr>
          <w:rStyle w:val="25"/>
          <w:rFonts w:hint="eastAsia" w:ascii="仿宋_GB2312" w:hAnsi="仿宋_GB2312" w:eastAsia="仿宋_GB2312" w:cs="仿宋_GB2312"/>
          <w:b w:val="0"/>
          <w:color w:val="000000" w:themeColor="text1"/>
          <w14:textFill>
            <w14:solidFill>
              <w14:schemeClr w14:val="tx1"/>
            </w14:solidFill>
          </w14:textFill>
        </w:rPr>
        <w:t>加强领导，切实提高对项目资金绩效管理的认识，逐步建立健全绩效管理的工作机制。</w:t>
      </w:r>
    </w:p>
    <w:tbl>
      <w:tblPr>
        <w:tblStyle w:val="12"/>
        <w:tblpPr w:leftFromText="180" w:rightFromText="180" w:vertAnchor="text" w:horzAnchor="page" w:tblpXSpec="center" w:tblpY="423"/>
        <w:tblOverlap w:val="never"/>
        <w:tblW w:w="10020" w:type="dxa"/>
        <w:tblInd w:w="0" w:type="dxa"/>
        <w:tblLayout w:type="fixed"/>
        <w:tblCellMar>
          <w:top w:w="0" w:type="dxa"/>
          <w:left w:w="0" w:type="dxa"/>
          <w:bottom w:w="0" w:type="dxa"/>
          <w:right w:w="0" w:type="dxa"/>
        </w:tblCellMar>
      </w:tblPr>
      <w:tblGrid>
        <w:gridCol w:w="724"/>
        <w:gridCol w:w="1043"/>
        <w:gridCol w:w="1032"/>
        <w:gridCol w:w="2406"/>
        <w:gridCol w:w="2408"/>
        <w:gridCol w:w="2407"/>
      </w:tblGrid>
      <w:tr>
        <w:tblPrEx>
          <w:tblCellMar>
            <w:top w:w="0" w:type="dxa"/>
            <w:left w:w="0" w:type="dxa"/>
            <w:bottom w:w="0" w:type="dxa"/>
            <w:right w:w="0" w:type="dxa"/>
          </w:tblCellMar>
        </w:tblPrEx>
        <w:trPr>
          <w:trHeight w:val="975" w:hRule="atLeast"/>
        </w:trPr>
        <w:tc>
          <w:tcPr>
            <w:tcW w:w="10020" w:type="dxa"/>
            <w:gridSpan w:val="6"/>
            <w:tcMar>
              <w:top w:w="15" w:type="dxa"/>
              <w:left w:w="15" w:type="dxa"/>
              <w:bottom w:w="0" w:type="dxa"/>
              <w:right w:w="15" w:type="dxa"/>
            </w:tcMar>
            <w:vAlign w:val="center"/>
          </w:tcPr>
          <w:p>
            <w:pPr>
              <w:pStyle w:val="23"/>
              <w:widowControl/>
              <w:spacing w:before="93"/>
              <w:ind w:left="4178" w:leftChars="1310" w:hanging="1427" w:hangingChars="395"/>
              <w:textAlignment w:val="center"/>
              <w:rPr>
                <w:rFonts w:ascii="宋体" w:hAnsi="宋体" w:cs="宋体"/>
                <w:b/>
                <w:sz w:val="36"/>
                <w:szCs w:val="36"/>
              </w:rPr>
            </w:pPr>
            <w:r>
              <w:rPr>
                <w:rFonts w:hint="eastAsia" w:ascii="黑体" w:hAnsi="黑体" w:eastAsia="黑体" w:cs="宋体"/>
                <w:b/>
                <w:bCs/>
                <w:kern w:val="0"/>
                <w:sz w:val="36"/>
                <w:szCs w:val="36"/>
              </w:rPr>
              <w:t>项目支出绩效目标完成情况表</w:t>
            </w:r>
            <w:r>
              <w:rPr>
                <w:rFonts w:hint="eastAsia" w:ascii="宋体" w:hAnsi="宋体" w:cs="宋体"/>
                <w:b/>
                <w:bCs/>
                <w:kern w:val="0"/>
                <w:sz w:val="36"/>
                <w:szCs w:val="36"/>
              </w:rPr>
              <w:br w:type="textWrapping"/>
            </w:r>
            <w:r>
              <w:rPr>
                <w:rFonts w:hint="eastAsia" w:ascii="宋体" w:hAnsi="宋体" w:cs="宋体"/>
                <w:b/>
                <w:kern w:val="0"/>
                <w:sz w:val="36"/>
                <w:szCs w:val="36"/>
              </w:rPr>
              <w:t>(2018 年度)</w:t>
            </w:r>
          </w:p>
        </w:tc>
      </w:tr>
      <w:tr>
        <w:tblPrEx>
          <w:tblCellMar>
            <w:top w:w="0" w:type="dxa"/>
            <w:left w:w="0" w:type="dxa"/>
            <w:bottom w:w="0" w:type="dxa"/>
            <w:right w:w="0" w:type="dxa"/>
          </w:tblCellMar>
        </w:tblPrEx>
        <w:trPr>
          <w:trHeight w:val="261" w:hRule="atLeast"/>
        </w:trPr>
        <w:tc>
          <w:tcPr>
            <w:tcW w:w="279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项目名称</w:t>
            </w:r>
          </w:p>
        </w:tc>
        <w:tc>
          <w:tcPr>
            <w:tcW w:w="722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sz w:val="24"/>
              </w:rPr>
              <w:t>质子、重离子加速器用大尺寸纳米晶磁合金磁芯</w:t>
            </w:r>
          </w:p>
        </w:tc>
      </w:tr>
      <w:tr>
        <w:tblPrEx>
          <w:tblCellMar>
            <w:top w:w="0" w:type="dxa"/>
            <w:left w:w="0" w:type="dxa"/>
            <w:bottom w:w="0" w:type="dxa"/>
            <w:right w:w="0" w:type="dxa"/>
          </w:tblCellMar>
        </w:tblPrEx>
        <w:trPr>
          <w:trHeight w:val="261" w:hRule="atLeast"/>
        </w:trPr>
        <w:tc>
          <w:tcPr>
            <w:tcW w:w="279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预算单位</w:t>
            </w:r>
          </w:p>
        </w:tc>
        <w:tc>
          <w:tcPr>
            <w:tcW w:w="722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sz w:val="24"/>
              </w:rPr>
              <w:t>广元市利州区经济信息化和科学技术局</w:t>
            </w:r>
          </w:p>
        </w:tc>
      </w:tr>
      <w:tr>
        <w:tblPrEx>
          <w:tblCellMar>
            <w:top w:w="0" w:type="dxa"/>
            <w:left w:w="0" w:type="dxa"/>
            <w:bottom w:w="0" w:type="dxa"/>
            <w:right w:w="0" w:type="dxa"/>
          </w:tblCellMar>
        </w:tblPrEx>
        <w:trPr>
          <w:trHeight w:val="261" w:hRule="atLeast"/>
        </w:trPr>
        <w:tc>
          <w:tcPr>
            <w:tcW w:w="72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预算执行情况(万元)</w:t>
            </w:r>
          </w:p>
        </w:tc>
        <w:tc>
          <w:tcPr>
            <w:tcW w:w="207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预算数:</w:t>
            </w:r>
          </w:p>
        </w:tc>
        <w:tc>
          <w:tcPr>
            <w:tcW w:w="240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sz w:val="24"/>
              </w:rPr>
              <w:t>30</w:t>
            </w:r>
          </w:p>
        </w:tc>
        <w:tc>
          <w:tcPr>
            <w:tcW w:w="24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执行数:</w:t>
            </w:r>
          </w:p>
        </w:tc>
        <w:tc>
          <w:tcPr>
            <w:tcW w:w="24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sz w:val="24"/>
              </w:rPr>
              <w:t>30</w:t>
            </w:r>
          </w:p>
        </w:tc>
      </w:tr>
      <w:tr>
        <w:tblPrEx>
          <w:tblCellMar>
            <w:top w:w="0" w:type="dxa"/>
            <w:left w:w="0" w:type="dxa"/>
            <w:bottom w:w="0" w:type="dxa"/>
            <w:right w:w="0" w:type="dxa"/>
          </w:tblCellMar>
        </w:tblPrEx>
        <w:trPr>
          <w:trHeight w:val="261"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sz w:val="24"/>
              </w:rPr>
            </w:pPr>
          </w:p>
        </w:tc>
        <w:tc>
          <w:tcPr>
            <w:tcW w:w="207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其中-财政拨款:</w:t>
            </w:r>
          </w:p>
        </w:tc>
        <w:tc>
          <w:tcPr>
            <w:tcW w:w="240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sz w:val="24"/>
              </w:rPr>
              <w:t>30</w:t>
            </w:r>
          </w:p>
        </w:tc>
        <w:tc>
          <w:tcPr>
            <w:tcW w:w="24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其中-财政拨款:</w:t>
            </w:r>
          </w:p>
        </w:tc>
        <w:tc>
          <w:tcPr>
            <w:tcW w:w="24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sz w:val="24"/>
              </w:rPr>
              <w:t>30</w:t>
            </w:r>
          </w:p>
        </w:tc>
      </w:tr>
      <w:tr>
        <w:tblPrEx>
          <w:tblCellMar>
            <w:top w:w="0" w:type="dxa"/>
            <w:left w:w="0" w:type="dxa"/>
            <w:bottom w:w="0" w:type="dxa"/>
            <w:right w:w="0" w:type="dxa"/>
          </w:tblCellMar>
        </w:tblPrEx>
        <w:trPr>
          <w:trHeight w:val="1425"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sz w:val="24"/>
              </w:rPr>
            </w:pPr>
          </w:p>
        </w:tc>
        <w:tc>
          <w:tcPr>
            <w:tcW w:w="207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其它资金:</w:t>
            </w:r>
          </w:p>
        </w:tc>
        <w:tc>
          <w:tcPr>
            <w:tcW w:w="240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0</w:t>
            </w:r>
          </w:p>
        </w:tc>
        <w:tc>
          <w:tcPr>
            <w:tcW w:w="24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其它资金:</w:t>
            </w:r>
          </w:p>
        </w:tc>
        <w:tc>
          <w:tcPr>
            <w:tcW w:w="24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b/>
                <w:sz w:val="24"/>
              </w:rPr>
            </w:pPr>
            <w:r>
              <w:rPr>
                <w:rFonts w:hint="eastAsia" w:ascii="宋体" w:hAnsi="宋体" w:cs="宋体"/>
                <w:b/>
                <w:sz w:val="24"/>
              </w:rPr>
              <w:t>0</w:t>
            </w:r>
          </w:p>
        </w:tc>
      </w:tr>
      <w:tr>
        <w:tblPrEx>
          <w:tblCellMar>
            <w:top w:w="0" w:type="dxa"/>
            <w:left w:w="0" w:type="dxa"/>
            <w:bottom w:w="0" w:type="dxa"/>
            <w:right w:w="0" w:type="dxa"/>
          </w:tblCellMar>
        </w:tblPrEx>
        <w:trPr>
          <w:trHeight w:val="261" w:hRule="atLeast"/>
        </w:trPr>
        <w:tc>
          <w:tcPr>
            <w:tcW w:w="72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年度目标完成情况</w:t>
            </w:r>
          </w:p>
        </w:tc>
        <w:tc>
          <w:tcPr>
            <w:tcW w:w="448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预期目标</w:t>
            </w:r>
          </w:p>
        </w:tc>
        <w:tc>
          <w:tcPr>
            <w:tcW w:w="481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实际完成目标</w:t>
            </w:r>
          </w:p>
        </w:tc>
      </w:tr>
      <w:tr>
        <w:tblPrEx>
          <w:tblCellMar>
            <w:top w:w="0" w:type="dxa"/>
            <w:left w:w="0" w:type="dxa"/>
            <w:bottom w:w="0" w:type="dxa"/>
            <w:right w:w="0" w:type="dxa"/>
          </w:tblCellMar>
        </w:tblPrEx>
        <w:trPr>
          <w:trHeight w:val="1093"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sz w:val="24"/>
              </w:rPr>
            </w:pPr>
          </w:p>
        </w:tc>
        <w:tc>
          <w:tcPr>
            <w:tcW w:w="448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b/>
                <w:sz w:val="24"/>
              </w:rPr>
            </w:pPr>
            <w:r>
              <w:rPr>
                <w:rFonts w:hint="eastAsia" w:ascii="宋体" w:hAnsi="宋体" w:cs="宋体"/>
                <w:b/>
                <w:sz w:val="24"/>
              </w:rPr>
              <w:t>完成材料采购、安装、调试，展开专项课题研究，制备样品</w:t>
            </w:r>
          </w:p>
        </w:tc>
        <w:tc>
          <w:tcPr>
            <w:tcW w:w="481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sz w:val="24"/>
              </w:rPr>
              <w:t>完成材料采购、安装、调试，展开专项课题研究，制备样品</w:t>
            </w:r>
          </w:p>
        </w:tc>
      </w:tr>
      <w:tr>
        <w:tblPrEx>
          <w:tblCellMar>
            <w:top w:w="0" w:type="dxa"/>
            <w:left w:w="0" w:type="dxa"/>
            <w:bottom w:w="0" w:type="dxa"/>
            <w:right w:w="0" w:type="dxa"/>
          </w:tblCellMar>
        </w:tblPrEx>
        <w:trPr>
          <w:trHeight w:val="983" w:hRule="atLeast"/>
        </w:trPr>
        <w:tc>
          <w:tcPr>
            <w:tcW w:w="72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sz w:val="24"/>
              </w:rPr>
              <w:t>绩效指标完成情况</w:t>
            </w:r>
          </w:p>
        </w:tc>
        <w:tc>
          <w:tcPr>
            <w:tcW w:w="104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一级指标</w:t>
            </w:r>
          </w:p>
        </w:tc>
        <w:tc>
          <w:tcPr>
            <w:tcW w:w="103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二级指标</w:t>
            </w:r>
          </w:p>
        </w:tc>
        <w:tc>
          <w:tcPr>
            <w:tcW w:w="240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三级指标</w:t>
            </w:r>
          </w:p>
        </w:tc>
        <w:tc>
          <w:tcPr>
            <w:tcW w:w="24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预期指标值(包含数字及文字描述)</w:t>
            </w:r>
          </w:p>
        </w:tc>
        <w:tc>
          <w:tcPr>
            <w:tcW w:w="24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实际完成指标值(包含数字及文字描述)</w:t>
            </w:r>
          </w:p>
        </w:tc>
      </w:tr>
      <w:tr>
        <w:tblPrEx>
          <w:tblCellMar>
            <w:top w:w="0" w:type="dxa"/>
            <w:left w:w="0" w:type="dxa"/>
            <w:bottom w:w="0" w:type="dxa"/>
            <w:right w:w="0" w:type="dxa"/>
          </w:tblCellMar>
        </w:tblPrEx>
        <w:trPr>
          <w:trHeight w:val="899"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sz w:val="24"/>
              </w:rPr>
            </w:pPr>
          </w:p>
        </w:tc>
        <w:tc>
          <w:tcPr>
            <w:tcW w:w="104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项目完成指标</w:t>
            </w:r>
          </w:p>
        </w:tc>
        <w:tc>
          <w:tcPr>
            <w:tcW w:w="103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sz w:val="24"/>
              </w:rPr>
              <w:t>技术创新目标</w:t>
            </w:r>
          </w:p>
        </w:tc>
        <w:tc>
          <w:tcPr>
            <w:tcW w:w="240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p>
        </w:tc>
        <w:tc>
          <w:tcPr>
            <w:tcW w:w="24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sz w:val="24"/>
              </w:rPr>
              <w:t>质子、重离子加速器用大尺寸纳米晶磁合金磁芯≥3.6GHz</w:t>
            </w:r>
          </w:p>
        </w:tc>
        <w:tc>
          <w:tcPr>
            <w:tcW w:w="24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sz w:val="24"/>
              </w:rPr>
              <w:t>项目实施中</w:t>
            </w:r>
          </w:p>
        </w:tc>
      </w:tr>
      <w:tr>
        <w:tblPrEx>
          <w:tblCellMar>
            <w:top w:w="0" w:type="dxa"/>
            <w:left w:w="0" w:type="dxa"/>
            <w:bottom w:w="0" w:type="dxa"/>
            <w:right w:w="0" w:type="dxa"/>
          </w:tblCellMar>
        </w:tblPrEx>
        <w:trPr>
          <w:trHeight w:val="983"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sz w:val="24"/>
              </w:rPr>
            </w:pPr>
          </w:p>
        </w:tc>
        <w:tc>
          <w:tcPr>
            <w:tcW w:w="104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效益指标</w:t>
            </w:r>
          </w:p>
        </w:tc>
        <w:tc>
          <w:tcPr>
            <w:tcW w:w="103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sz w:val="24"/>
              </w:rPr>
              <w:t>经济效益</w:t>
            </w:r>
          </w:p>
        </w:tc>
        <w:tc>
          <w:tcPr>
            <w:tcW w:w="240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p>
        </w:tc>
        <w:tc>
          <w:tcPr>
            <w:tcW w:w="24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sz w:val="24"/>
              </w:rPr>
              <w:t>销售收入达200万元</w:t>
            </w:r>
          </w:p>
        </w:tc>
        <w:tc>
          <w:tcPr>
            <w:tcW w:w="24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sz w:val="24"/>
              </w:rPr>
              <w:t>项目实施中</w:t>
            </w:r>
          </w:p>
        </w:tc>
      </w:tr>
      <w:tr>
        <w:tblPrEx>
          <w:tblCellMar>
            <w:top w:w="0" w:type="dxa"/>
            <w:left w:w="0" w:type="dxa"/>
            <w:bottom w:w="0" w:type="dxa"/>
            <w:right w:w="0" w:type="dxa"/>
          </w:tblCellMar>
        </w:tblPrEx>
        <w:trPr>
          <w:trHeight w:val="1223"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sz w:val="24"/>
              </w:rPr>
            </w:pPr>
          </w:p>
        </w:tc>
        <w:tc>
          <w:tcPr>
            <w:tcW w:w="104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效益指标</w:t>
            </w:r>
          </w:p>
        </w:tc>
        <w:tc>
          <w:tcPr>
            <w:tcW w:w="103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sz w:val="24"/>
              </w:rPr>
              <w:t>社会效益</w:t>
            </w:r>
          </w:p>
        </w:tc>
        <w:tc>
          <w:tcPr>
            <w:tcW w:w="240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p>
        </w:tc>
        <w:tc>
          <w:tcPr>
            <w:tcW w:w="24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sz w:val="24"/>
              </w:rPr>
              <w:t>有效提高军品生产能力</w:t>
            </w:r>
          </w:p>
        </w:tc>
        <w:tc>
          <w:tcPr>
            <w:tcW w:w="24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sz w:val="24"/>
              </w:rPr>
            </w:pPr>
            <w:r>
              <w:rPr>
                <w:rFonts w:hint="eastAsia" w:ascii="宋体" w:hAnsi="宋体" w:cs="宋体"/>
                <w:b/>
                <w:sz w:val="24"/>
              </w:rPr>
              <w:t>项目实施中</w:t>
            </w:r>
          </w:p>
        </w:tc>
      </w:tr>
    </w:tbl>
    <w:p>
      <w:pPr>
        <w:spacing w:line="580" w:lineRule="exact"/>
        <w:jc w:val="center"/>
        <w:rPr>
          <w:rFonts w:ascii="黑体" w:hAnsi="黑体" w:eastAsia="黑体" w:cs="方正小标宋简体"/>
          <w:sz w:val="44"/>
          <w:szCs w:val="44"/>
        </w:rPr>
      </w:pPr>
    </w:p>
    <w:p>
      <w:pPr>
        <w:spacing w:line="580" w:lineRule="exact"/>
        <w:ind w:firstLine="160" w:firstLineChars="50"/>
        <w:rPr>
          <w:rStyle w:val="25"/>
          <w:rFonts w:ascii="仿宋_GB2312" w:hAnsi="仿宋_GB2312" w:eastAsia="仿宋_GB2312" w:cs="仿宋_GB2312"/>
          <w:b w:val="0"/>
          <w:color w:val="000000" w:themeColor="text1"/>
          <w14:textFill>
            <w14:solidFill>
              <w14:schemeClr w14:val="tx1"/>
            </w14:solidFill>
          </w14:textFill>
        </w:rPr>
      </w:pPr>
      <w:r>
        <w:rPr>
          <w:rStyle w:val="25"/>
          <w:rFonts w:hint="eastAsia" w:ascii="仿宋_GB2312" w:hAnsi="仿宋_GB2312" w:eastAsia="仿宋_GB2312" w:cs="仿宋_GB2312"/>
          <w:b w:val="0"/>
          <w:color w:val="000000" w:themeColor="text1"/>
          <w14:textFill>
            <w14:solidFill>
              <w14:schemeClr w14:val="tx1"/>
            </w14:solidFill>
          </w14:textFill>
        </w:rPr>
        <w:t>项目四：</w:t>
      </w:r>
    </w:p>
    <w:p>
      <w:pPr>
        <w:tabs>
          <w:tab w:val="left" w:pos="312"/>
        </w:tabs>
        <w:spacing w:line="580" w:lineRule="exact"/>
        <w:jc w:val="center"/>
        <w:rPr>
          <w:rStyle w:val="25"/>
          <w:rFonts w:ascii="黑体" w:hAnsi="黑体" w:eastAsia="黑体" w:cs="仿宋_GB2312"/>
          <w:b w:val="0"/>
          <w:color w:val="000000" w:themeColor="text1"/>
          <w:sz w:val="44"/>
          <w:szCs w:val="44"/>
          <w14:textFill>
            <w14:solidFill>
              <w14:schemeClr w14:val="tx1"/>
            </w14:solidFill>
          </w14:textFill>
        </w:rPr>
      </w:pPr>
      <w:r>
        <w:rPr>
          <w:rStyle w:val="25"/>
          <w:rFonts w:hint="eastAsia" w:ascii="黑体" w:hAnsi="黑体" w:eastAsia="黑体" w:cs="仿宋_GB2312"/>
          <w:b w:val="0"/>
          <w:color w:val="000000" w:themeColor="text1"/>
          <w:sz w:val="44"/>
          <w:szCs w:val="44"/>
          <w14:textFill>
            <w14:solidFill>
              <w14:schemeClr w14:val="tx1"/>
            </w14:solidFill>
          </w14:textFill>
        </w:rPr>
        <w:t>2018年省级军用技术再研发和军民结合产业化项目支出绩效评价报告</w:t>
      </w:r>
    </w:p>
    <w:p>
      <w:pPr>
        <w:tabs>
          <w:tab w:val="left" w:pos="312"/>
        </w:tabs>
        <w:spacing w:line="580" w:lineRule="exact"/>
        <w:rPr>
          <w:rStyle w:val="25"/>
          <w:rFonts w:ascii="黑体" w:hAnsi="黑体" w:eastAsia="黑体" w:cs="仿宋_GB2312"/>
          <w:b w:val="0"/>
          <w:color w:val="000000" w:themeColor="text1"/>
          <w14:textFill>
            <w14:solidFill>
              <w14:schemeClr w14:val="tx1"/>
            </w14:solidFill>
          </w14:textFill>
        </w:rPr>
      </w:pPr>
      <w:r>
        <w:rPr>
          <w:rStyle w:val="25"/>
          <w:rFonts w:hint="eastAsia" w:ascii="黑体" w:hAnsi="黑体" w:eastAsia="黑体" w:cs="仿宋_GB2312"/>
          <w:b w:val="0"/>
          <w:color w:val="000000" w:themeColor="text1"/>
          <w14:textFill>
            <w14:solidFill>
              <w14:schemeClr w14:val="tx1"/>
            </w14:solidFill>
          </w14:textFill>
        </w:rPr>
        <w:t>一、评价工作开展及项目情况</w:t>
      </w:r>
    </w:p>
    <w:p>
      <w:pPr>
        <w:tabs>
          <w:tab w:val="left" w:pos="312"/>
        </w:tabs>
        <w:spacing w:line="580" w:lineRule="exact"/>
        <w:rPr>
          <w:rStyle w:val="25"/>
          <w:rFonts w:ascii="黑体" w:hAnsi="黑体" w:eastAsia="黑体" w:cs="仿宋_GB2312"/>
          <w:b w:val="0"/>
          <w:color w:val="000000" w:themeColor="text1"/>
          <w14:textFill>
            <w14:solidFill>
              <w14:schemeClr w14:val="tx1"/>
            </w14:solidFill>
          </w14:textFill>
        </w:rPr>
      </w:pPr>
      <w:r>
        <w:rPr>
          <w:rStyle w:val="25"/>
          <w:rFonts w:hint="eastAsia" w:ascii="仿宋_GB2312" w:hAnsi="仿宋_GB2312" w:eastAsia="仿宋_GB2312" w:cs="仿宋_GB2312"/>
          <w:b w:val="0"/>
          <w:color w:val="000000" w:themeColor="text1"/>
          <w14:textFill>
            <w14:solidFill>
              <w14:schemeClr w14:val="tx1"/>
            </w14:solidFill>
          </w14:textFill>
        </w:rPr>
        <w:t>1、零八一电子集团有限公司DBF要地监视雷达，建设周期为2016年-2018年；主要研究：</w:t>
      </w:r>
    </w:p>
    <w:p>
      <w:pPr>
        <w:tabs>
          <w:tab w:val="left" w:pos="312"/>
        </w:tabs>
        <w:spacing w:line="580" w:lineRule="exact"/>
        <w:ind w:firstLine="640" w:firstLineChars="200"/>
        <w:rPr>
          <w:rStyle w:val="25"/>
          <w:rFonts w:ascii="仿宋_GB2312" w:hAnsi="仿宋_GB2312" w:eastAsia="仿宋_GB2312" w:cs="仿宋_GB2312"/>
          <w:b w:val="0"/>
          <w:color w:val="000000" w:themeColor="text1"/>
          <w14:textFill>
            <w14:solidFill>
              <w14:schemeClr w14:val="tx1"/>
            </w14:solidFill>
          </w14:textFill>
        </w:rPr>
      </w:pPr>
      <w:r>
        <w:rPr>
          <w:rStyle w:val="25"/>
          <w:rFonts w:hint="eastAsia" w:ascii="仿宋_GB2312" w:hAnsi="仿宋_GB2312" w:eastAsia="仿宋_GB2312" w:cs="仿宋_GB2312"/>
          <w:b w:val="0"/>
          <w:color w:val="000000" w:themeColor="text1"/>
          <w14:textFill>
            <w14:solidFill>
              <w14:schemeClr w14:val="tx1"/>
            </w14:solidFill>
          </w14:textFill>
        </w:rPr>
        <w:t>1）DBF要地监视雷达主要探测地面或海上的行人、车辆、小船、浮标等目标，此类目标RCS小，运动速度慢，其回波通常被很强的地/海杂波淹没。因此提取其微弱的运动特征是实现对慢速小目标的可靠探测的前提；</w:t>
      </w:r>
    </w:p>
    <w:p>
      <w:pPr>
        <w:tabs>
          <w:tab w:val="left" w:pos="312"/>
        </w:tabs>
        <w:spacing w:line="580" w:lineRule="exact"/>
        <w:ind w:firstLine="640" w:firstLineChars="200"/>
        <w:rPr>
          <w:rStyle w:val="25"/>
          <w:rFonts w:ascii="仿宋_GB2312" w:hAnsi="仿宋_GB2312" w:eastAsia="仿宋_GB2312" w:cs="仿宋_GB2312"/>
          <w:b w:val="0"/>
          <w:color w:val="000000" w:themeColor="text1"/>
          <w14:textFill>
            <w14:solidFill>
              <w14:schemeClr w14:val="tx1"/>
            </w14:solidFill>
          </w14:textFill>
        </w:rPr>
      </w:pPr>
      <w:r>
        <w:rPr>
          <w:rStyle w:val="25"/>
          <w:rFonts w:hint="eastAsia" w:ascii="仿宋_GB2312" w:hAnsi="仿宋_GB2312" w:eastAsia="仿宋_GB2312" w:cs="仿宋_GB2312"/>
          <w:b w:val="0"/>
          <w:color w:val="000000" w:themeColor="text1"/>
          <w14:textFill>
            <w14:solidFill>
              <w14:schemeClr w14:val="tx1"/>
            </w14:solidFill>
          </w14:textFill>
        </w:rPr>
        <w:t>2）DBF要地监视雷达通常部署在环境复杂区域，基础配套设施不足，因此必须研制轻型化、低功耗的雷达系统才可能便于部署使用。</w:t>
      </w:r>
    </w:p>
    <w:p>
      <w:pPr>
        <w:tabs>
          <w:tab w:val="left" w:pos="312"/>
        </w:tabs>
        <w:spacing w:line="580" w:lineRule="exact"/>
        <w:rPr>
          <w:rStyle w:val="25"/>
          <w:rFonts w:ascii="仿宋_GB2312" w:hAnsi="仿宋_GB2312" w:eastAsia="仿宋_GB2312" w:cs="仿宋_GB2312"/>
          <w:b w:val="0"/>
          <w:color w:val="000000" w:themeColor="text1"/>
          <w14:textFill>
            <w14:solidFill>
              <w14:schemeClr w14:val="tx1"/>
            </w14:solidFill>
          </w14:textFill>
        </w:rPr>
      </w:pPr>
      <w:r>
        <w:rPr>
          <w:rStyle w:val="25"/>
          <w:rFonts w:hint="eastAsia" w:ascii="仿宋_GB2312" w:hAnsi="仿宋_GB2312" w:eastAsia="仿宋_GB2312" w:cs="仿宋_GB2312"/>
          <w:b w:val="0"/>
          <w:color w:val="000000" w:themeColor="text1"/>
          <w14:textFill>
            <w14:solidFill>
              <w14:schemeClr w14:val="tx1"/>
            </w14:solidFill>
          </w14:textFill>
        </w:rPr>
        <w:t>2、零八一电子集团四川红轮机械有限公司无人驾驶新能源隧道牵引机车研制项目，建设周期为2016年-</w:t>
      </w:r>
      <w:r>
        <w:rPr>
          <w:rStyle w:val="25"/>
          <w:rFonts w:hint="eastAsia" w:ascii="仿宋_GB2312" w:hAnsi="仿宋_GB2312" w:eastAsia="仿宋_GB2312" w:cs="仿宋_GB2312"/>
          <w:b w:val="0"/>
          <w:color w:val="000000" w:themeColor="text1"/>
          <w:lang w:eastAsia="zh-CN"/>
          <w14:textFill>
            <w14:solidFill>
              <w14:schemeClr w14:val="tx1"/>
            </w14:solidFill>
          </w14:textFill>
        </w:rPr>
        <w:t>2019年</w:t>
      </w:r>
      <w:r>
        <w:rPr>
          <w:rStyle w:val="25"/>
          <w:rFonts w:hint="eastAsia" w:ascii="仿宋_GB2312" w:hAnsi="仿宋_GB2312" w:eastAsia="仿宋_GB2312" w:cs="仿宋_GB2312"/>
          <w:b w:val="0"/>
          <w:color w:val="000000" w:themeColor="text1"/>
          <w14:textFill>
            <w14:solidFill>
              <w14:schemeClr w14:val="tx1"/>
            </w14:solidFill>
          </w14:textFill>
        </w:rPr>
        <w:t>；主要研究军用产品涵盖雷达设备车、发射车、指挥车、移动电源车、保障车等地面武器装备配套车辆；车辆结构类型涵盖了全系列方舱、厢式车、挂车、改装车等四大类别。民用产品主要包括应急指挥方舱、通讯指挥车、人防指挥车、外贸产品、运输平台等。</w:t>
      </w:r>
    </w:p>
    <w:p>
      <w:pPr>
        <w:tabs>
          <w:tab w:val="left" w:pos="312"/>
        </w:tabs>
        <w:spacing w:line="580" w:lineRule="exact"/>
        <w:rPr>
          <w:rStyle w:val="25"/>
          <w:rFonts w:ascii="仿宋_GB2312" w:hAnsi="仿宋_GB2312" w:eastAsia="仿宋_GB2312" w:cs="仿宋_GB2312"/>
          <w:b w:val="0"/>
          <w:color w:val="000000" w:themeColor="text1"/>
          <w14:textFill>
            <w14:solidFill>
              <w14:schemeClr w14:val="tx1"/>
            </w14:solidFill>
          </w14:textFill>
        </w:rPr>
      </w:pPr>
      <w:r>
        <w:rPr>
          <w:rStyle w:val="25"/>
          <w:rFonts w:hint="eastAsia" w:ascii="仿宋_GB2312" w:hAnsi="仿宋_GB2312" w:eastAsia="仿宋_GB2312" w:cs="仿宋_GB2312"/>
          <w:b w:val="0"/>
          <w:color w:val="000000" w:themeColor="text1"/>
          <w14:textFill>
            <w14:solidFill>
              <w14:schemeClr w14:val="tx1"/>
            </w14:solidFill>
          </w14:textFill>
        </w:rPr>
        <w:t>3、零八一电子集团四川力源电子有限公司快脉冲技术用大尺寸非晶态夹膜磁芯项目，建设周期为2017年-2019年；主要研究：</w:t>
      </w:r>
    </w:p>
    <w:p>
      <w:pPr>
        <w:tabs>
          <w:tab w:val="left" w:pos="312"/>
        </w:tabs>
        <w:spacing w:line="580" w:lineRule="exact"/>
        <w:ind w:firstLine="640" w:firstLineChars="200"/>
        <w:rPr>
          <w:rStyle w:val="25"/>
          <w:rFonts w:ascii="仿宋_GB2312" w:hAnsi="仿宋_GB2312" w:eastAsia="仿宋_GB2312" w:cs="仿宋_GB2312"/>
          <w:b w:val="0"/>
          <w:color w:val="000000" w:themeColor="text1"/>
          <w14:textFill>
            <w14:solidFill>
              <w14:schemeClr w14:val="tx1"/>
            </w14:solidFill>
          </w14:textFill>
        </w:rPr>
      </w:pPr>
      <w:r>
        <w:rPr>
          <w:rStyle w:val="25"/>
          <w:rFonts w:hint="eastAsia" w:ascii="仿宋_GB2312" w:hAnsi="仿宋_GB2312" w:eastAsia="仿宋_GB2312" w:cs="仿宋_GB2312"/>
          <w:b w:val="0"/>
          <w:color w:val="000000" w:themeColor="text1"/>
          <w14:textFill>
            <w14:solidFill>
              <w14:schemeClr w14:val="tx1"/>
            </w14:solidFill>
          </w14:textFill>
        </w:rPr>
        <w:t>1）工艺技术</w:t>
      </w:r>
    </w:p>
    <w:p>
      <w:pPr>
        <w:tabs>
          <w:tab w:val="left" w:pos="312"/>
        </w:tabs>
        <w:spacing w:line="580" w:lineRule="exact"/>
        <w:ind w:firstLine="640" w:firstLineChars="200"/>
        <w:rPr>
          <w:rStyle w:val="25"/>
          <w:rFonts w:ascii="仿宋_GB2312" w:hAnsi="仿宋_GB2312" w:eastAsia="仿宋_GB2312" w:cs="仿宋_GB2312"/>
          <w:b w:val="0"/>
          <w:color w:val="000000" w:themeColor="text1"/>
          <w14:textFill>
            <w14:solidFill>
              <w14:schemeClr w14:val="tx1"/>
            </w14:solidFill>
          </w14:textFill>
        </w:rPr>
      </w:pPr>
      <w:r>
        <w:rPr>
          <w:rStyle w:val="25"/>
          <w:rFonts w:hint="eastAsia" w:ascii="仿宋_GB2312" w:hAnsi="仿宋_GB2312" w:eastAsia="仿宋_GB2312" w:cs="仿宋_GB2312"/>
          <w:b w:val="0"/>
          <w:color w:val="000000" w:themeColor="text1"/>
          <w14:textFill>
            <w14:solidFill>
              <w14:schemeClr w14:val="tx1"/>
            </w14:solidFill>
          </w14:textFill>
        </w:rPr>
        <w:t>a探索十微米级超博铁基非晶软磁带材低温热处理工艺技术，实现热处理后带材磁特性优异且保持柔韧性，能再次进行洗磁芯卷饶。</w:t>
      </w:r>
    </w:p>
    <w:p>
      <w:pPr>
        <w:tabs>
          <w:tab w:val="left" w:pos="312"/>
        </w:tabs>
        <w:spacing w:line="580" w:lineRule="exact"/>
        <w:ind w:firstLine="640" w:firstLineChars="200"/>
        <w:rPr>
          <w:rStyle w:val="25"/>
          <w:rFonts w:ascii="仿宋_GB2312" w:hAnsi="仿宋_GB2312" w:eastAsia="仿宋_GB2312" w:cs="仿宋_GB2312"/>
          <w:b w:val="0"/>
          <w:color w:val="000000" w:themeColor="text1"/>
          <w14:textFill>
            <w14:solidFill>
              <w14:schemeClr w14:val="tx1"/>
            </w14:solidFill>
          </w14:textFill>
        </w:rPr>
      </w:pPr>
      <w:r>
        <w:rPr>
          <w:rStyle w:val="25"/>
          <w:rFonts w:hint="eastAsia" w:ascii="仿宋_GB2312" w:hAnsi="仿宋_GB2312" w:eastAsia="仿宋_GB2312" w:cs="仿宋_GB2312"/>
          <w:b w:val="0"/>
          <w:color w:val="000000" w:themeColor="text1"/>
          <w14:textFill>
            <w14:solidFill>
              <w14:schemeClr w14:val="tx1"/>
            </w14:solidFill>
          </w14:textFill>
        </w:rPr>
        <w:t>b研究经热处理后的十微米超博铁基非晶软磁带材与十微米级柔性超博绝缘膜（电容器纸）大尺寸卷绕成型技术，时间米级大尺寸非晶态夹馍磁芯的非晶带材与绝缘膜高同步、恒张力、恒线速、低应力卷绕。</w:t>
      </w:r>
    </w:p>
    <w:p>
      <w:pPr>
        <w:tabs>
          <w:tab w:val="left" w:pos="312"/>
        </w:tabs>
        <w:spacing w:line="580" w:lineRule="exact"/>
        <w:ind w:firstLine="640" w:firstLineChars="200"/>
        <w:rPr>
          <w:rStyle w:val="25"/>
          <w:rFonts w:ascii="仿宋_GB2312" w:hAnsi="仿宋_GB2312" w:eastAsia="仿宋_GB2312" w:cs="仿宋_GB2312"/>
          <w:b w:val="0"/>
          <w:color w:val="000000" w:themeColor="text1"/>
          <w14:textFill>
            <w14:solidFill>
              <w14:schemeClr w14:val="tx1"/>
            </w14:solidFill>
          </w14:textFill>
        </w:rPr>
      </w:pPr>
      <w:r>
        <w:rPr>
          <w:rStyle w:val="25"/>
          <w:rFonts w:hint="eastAsia" w:ascii="仿宋_GB2312" w:hAnsi="仿宋_GB2312" w:eastAsia="仿宋_GB2312" w:cs="仿宋_GB2312"/>
          <w:b w:val="0"/>
          <w:color w:val="000000" w:themeColor="text1"/>
          <w14:textFill>
            <w14:solidFill>
              <w14:schemeClr w14:val="tx1"/>
            </w14:solidFill>
          </w14:textFill>
        </w:rPr>
        <w:t>2）非标大尺寸非晶态膜磁芯非标卷绕设备研究</w:t>
      </w:r>
    </w:p>
    <w:p>
      <w:pPr>
        <w:tabs>
          <w:tab w:val="left" w:pos="312"/>
        </w:tabs>
        <w:spacing w:line="580" w:lineRule="exact"/>
        <w:rPr>
          <w:rStyle w:val="25"/>
          <w:rFonts w:ascii="黑体" w:hAnsi="黑体" w:eastAsia="黑体" w:cs="仿宋_GB2312"/>
          <w:b w:val="0"/>
          <w:color w:val="000000" w:themeColor="text1"/>
          <w14:textFill>
            <w14:solidFill>
              <w14:schemeClr w14:val="tx1"/>
            </w14:solidFill>
          </w14:textFill>
        </w:rPr>
      </w:pPr>
      <w:r>
        <w:rPr>
          <w:rStyle w:val="25"/>
          <w:rFonts w:hint="eastAsia" w:ascii="黑体" w:hAnsi="黑体" w:eastAsia="黑体" w:cs="仿宋_GB2312"/>
          <w:b w:val="0"/>
          <w:color w:val="000000" w:themeColor="text1"/>
          <w14:textFill>
            <w14:solidFill>
              <w14:schemeClr w14:val="tx1"/>
            </w14:solidFill>
          </w14:textFill>
        </w:rPr>
        <w:t>二、评价结论及绩效分析</w:t>
      </w:r>
    </w:p>
    <w:p>
      <w:pPr>
        <w:tabs>
          <w:tab w:val="left" w:pos="312"/>
        </w:tabs>
        <w:spacing w:line="580" w:lineRule="exact"/>
        <w:rPr>
          <w:rStyle w:val="25"/>
          <w:rFonts w:ascii="仿宋_GB2312" w:hAnsi="仿宋_GB2312" w:eastAsia="仿宋_GB2312" w:cs="仿宋_GB2312"/>
          <w:b w:val="0"/>
          <w:color w:val="000000" w:themeColor="text1"/>
          <w14:textFill>
            <w14:solidFill>
              <w14:schemeClr w14:val="tx1"/>
            </w14:solidFill>
          </w14:textFill>
        </w:rPr>
      </w:pPr>
      <w:r>
        <w:rPr>
          <w:rStyle w:val="25"/>
          <w:rFonts w:hint="eastAsia" w:ascii="仿宋_GB2312" w:hAnsi="仿宋_GB2312" w:eastAsia="仿宋_GB2312" w:cs="仿宋_GB2312"/>
          <w:b w:val="0"/>
          <w:color w:val="000000" w:themeColor="text1"/>
          <w14:textFill>
            <w14:solidFill>
              <w14:schemeClr w14:val="tx1"/>
            </w14:solidFill>
          </w14:textFill>
        </w:rPr>
        <w:t>（一）评价结论</w:t>
      </w:r>
    </w:p>
    <w:p>
      <w:pPr>
        <w:tabs>
          <w:tab w:val="left" w:pos="312"/>
        </w:tabs>
        <w:spacing w:line="580" w:lineRule="exact"/>
        <w:ind w:firstLine="640" w:firstLineChars="200"/>
        <w:rPr>
          <w:rStyle w:val="25"/>
          <w:rFonts w:ascii="仿宋_GB2312" w:hAnsi="仿宋_GB2312" w:eastAsia="仿宋_GB2312" w:cs="仿宋_GB2312"/>
          <w:b w:val="0"/>
          <w:color w:val="000000" w:themeColor="text1"/>
          <w14:textFill>
            <w14:solidFill>
              <w14:schemeClr w14:val="tx1"/>
            </w14:solidFill>
          </w14:textFill>
        </w:rPr>
      </w:pPr>
      <w:r>
        <w:rPr>
          <w:rStyle w:val="25"/>
          <w:rFonts w:hint="eastAsia" w:ascii="仿宋_GB2312" w:hAnsi="仿宋_GB2312" w:eastAsia="仿宋_GB2312" w:cs="仿宋_GB2312"/>
          <w:b w:val="0"/>
          <w:color w:val="000000" w:themeColor="text1"/>
          <w14:textFill>
            <w14:solidFill>
              <w14:schemeClr w14:val="tx1"/>
            </w14:solidFill>
          </w14:textFill>
        </w:rPr>
        <w:t xml:space="preserve"> DBF要地监视雷达现已竣工，该企业正在申请验收；无人驾驶新能源隧道牵引机车研制及快脉冲技术用大尺寸非晶态夹膜磁芯项目按进度研究。</w:t>
      </w:r>
    </w:p>
    <w:p>
      <w:pPr>
        <w:tabs>
          <w:tab w:val="left" w:pos="312"/>
        </w:tabs>
        <w:spacing w:line="580" w:lineRule="exact"/>
        <w:rPr>
          <w:rStyle w:val="25"/>
          <w:rFonts w:ascii="仿宋_GB2312" w:hAnsi="仿宋_GB2312" w:eastAsia="仿宋_GB2312" w:cs="仿宋_GB2312"/>
          <w:b w:val="0"/>
          <w:color w:val="000000" w:themeColor="text1"/>
          <w14:textFill>
            <w14:solidFill>
              <w14:schemeClr w14:val="tx1"/>
            </w14:solidFill>
          </w14:textFill>
        </w:rPr>
      </w:pPr>
      <w:r>
        <w:rPr>
          <w:rStyle w:val="25"/>
          <w:rFonts w:hint="eastAsia" w:ascii="仿宋_GB2312" w:hAnsi="仿宋_GB2312" w:eastAsia="仿宋_GB2312" w:cs="仿宋_GB2312"/>
          <w:b w:val="0"/>
          <w:color w:val="000000" w:themeColor="text1"/>
          <w14:textFill>
            <w14:solidFill>
              <w14:schemeClr w14:val="tx1"/>
            </w14:solidFill>
          </w14:textFill>
        </w:rPr>
        <w:t>（二）绩效分析</w:t>
      </w:r>
    </w:p>
    <w:p>
      <w:pPr>
        <w:tabs>
          <w:tab w:val="left" w:pos="312"/>
        </w:tabs>
        <w:spacing w:line="580" w:lineRule="exact"/>
        <w:rPr>
          <w:rStyle w:val="25"/>
          <w:rFonts w:ascii="仿宋_GB2312" w:hAnsi="仿宋_GB2312" w:eastAsia="仿宋_GB2312" w:cs="仿宋_GB2312"/>
          <w:b w:val="0"/>
          <w:color w:val="000000" w:themeColor="text1"/>
          <w14:textFill>
            <w14:solidFill>
              <w14:schemeClr w14:val="tx1"/>
            </w14:solidFill>
          </w14:textFill>
        </w:rPr>
      </w:pPr>
      <w:r>
        <w:rPr>
          <w:rStyle w:val="25"/>
          <w:rFonts w:hint="eastAsia" w:ascii="仿宋_GB2312" w:hAnsi="仿宋_GB2312" w:eastAsia="仿宋_GB2312" w:cs="仿宋_GB2312"/>
          <w:b w:val="0"/>
          <w:color w:val="000000" w:themeColor="text1"/>
          <w14:textFill>
            <w14:solidFill>
              <w14:schemeClr w14:val="tx1"/>
            </w14:solidFill>
          </w14:textFill>
        </w:rPr>
        <w:t>1、项目决策</w:t>
      </w:r>
    </w:p>
    <w:p>
      <w:pPr>
        <w:spacing w:line="576" w:lineRule="exact"/>
        <w:ind w:firstLine="640" w:firstLineChars="200"/>
        <w:rPr>
          <w:rStyle w:val="25"/>
          <w:rFonts w:ascii="仿宋_GB2312" w:hAnsi="仿宋_GB2312" w:eastAsia="仿宋_GB2312" w:cs="仿宋_GB2312"/>
          <w:b w:val="0"/>
          <w:color w:val="000000" w:themeColor="text1"/>
          <w14:textFill>
            <w14:solidFill>
              <w14:schemeClr w14:val="tx1"/>
            </w14:solidFill>
          </w14:textFill>
        </w:rPr>
      </w:pPr>
      <w:r>
        <w:rPr>
          <w:rStyle w:val="25"/>
          <w:rFonts w:hint="eastAsia" w:ascii="仿宋_GB2312" w:hAnsi="仿宋_GB2312" w:eastAsia="仿宋_GB2312" w:cs="仿宋_GB2312"/>
          <w:b w:val="0"/>
          <w:color w:val="000000" w:themeColor="text1"/>
          <w14:textFill>
            <w14:solidFill>
              <w14:schemeClr w14:val="tx1"/>
            </w14:solidFill>
          </w14:textFill>
        </w:rPr>
        <w:t xml:space="preserve"> 项目资金使用符合省级军民融合产业发展专项资金项目申报内容，申报目标合理可行。</w:t>
      </w:r>
    </w:p>
    <w:p>
      <w:pPr>
        <w:numPr>
          <w:ilvl w:val="0"/>
          <w:numId w:val="5"/>
        </w:numPr>
        <w:tabs>
          <w:tab w:val="left" w:pos="312"/>
        </w:tabs>
        <w:spacing w:line="580" w:lineRule="exact"/>
        <w:rPr>
          <w:rStyle w:val="25"/>
          <w:rFonts w:ascii="仿宋_GB2312" w:hAnsi="仿宋_GB2312" w:eastAsia="仿宋_GB2312" w:cs="仿宋_GB2312"/>
          <w:b w:val="0"/>
          <w:color w:val="000000" w:themeColor="text1"/>
          <w14:textFill>
            <w14:solidFill>
              <w14:schemeClr w14:val="tx1"/>
            </w14:solidFill>
          </w14:textFill>
        </w:rPr>
      </w:pPr>
      <w:r>
        <w:rPr>
          <w:rStyle w:val="25"/>
          <w:rFonts w:hint="eastAsia" w:ascii="仿宋_GB2312" w:hAnsi="仿宋_GB2312" w:eastAsia="仿宋_GB2312" w:cs="仿宋_GB2312"/>
          <w:b w:val="0"/>
          <w:color w:val="000000" w:themeColor="text1"/>
          <w14:textFill>
            <w14:solidFill>
              <w14:schemeClr w14:val="tx1"/>
            </w14:solidFill>
          </w14:textFill>
        </w:rPr>
        <w:t>项目管理</w:t>
      </w:r>
    </w:p>
    <w:p>
      <w:pPr>
        <w:spacing w:line="576" w:lineRule="exact"/>
        <w:ind w:firstLine="640" w:firstLineChars="200"/>
        <w:rPr>
          <w:rStyle w:val="25"/>
          <w:rFonts w:ascii="仿宋_GB2312" w:hAnsi="仿宋_GB2312" w:eastAsia="仿宋_GB2312" w:cs="仿宋_GB2312"/>
          <w:b w:val="0"/>
          <w:color w:val="000000" w:themeColor="text1"/>
          <w14:textFill>
            <w14:solidFill>
              <w14:schemeClr w14:val="tx1"/>
            </w14:solidFill>
          </w14:textFill>
        </w:rPr>
      </w:pPr>
      <w:r>
        <w:rPr>
          <w:rStyle w:val="25"/>
          <w:rFonts w:hint="eastAsia" w:ascii="仿宋_GB2312" w:hAnsi="仿宋_GB2312" w:eastAsia="仿宋_GB2312" w:cs="仿宋_GB2312"/>
          <w:b w:val="0"/>
          <w:color w:val="000000" w:themeColor="text1"/>
          <w14:textFill>
            <w14:solidFill>
              <w14:schemeClr w14:val="tx1"/>
            </w14:solidFill>
          </w14:textFill>
        </w:rPr>
        <w:t xml:space="preserve">  按照关于下达2018年军民融合产业发展专项资金（第一批）的通知（广利财建下[2018]17号）文件；下达资金260万元；零八一电子集团有限公司DBF要地监视雷达下达资金60万元，按进度已拨付资金54万元；零八一电子集团四川红轮机械有限公司无人驾驶新能源隧道牵引机车研制下达资金100万元，按进度已拨付资金90万元；零八一电子集团四川力源电子有限公司快脉冲技术用大尺寸非晶态夹膜磁芯项目下达资金100万元，按进度已拨付资金90万元。资金拨付率达90%；</w:t>
      </w:r>
      <w:r>
        <w:rPr>
          <w:rStyle w:val="25"/>
          <w:rFonts w:hint="eastAsia" w:ascii="仿宋_GB2312" w:hAnsi="仿宋_GB2312" w:eastAsia="仿宋_GB2312" w:cs="仿宋_GB2312"/>
          <w:color w:val="000000" w:themeColor="text1"/>
          <w14:textFill>
            <w14:solidFill>
              <w14:schemeClr w14:val="tx1"/>
            </w14:solidFill>
          </w14:textFill>
        </w:rPr>
        <w:t>项目资金达到专款专用。</w:t>
      </w:r>
    </w:p>
    <w:p>
      <w:pPr>
        <w:tabs>
          <w:tab w:val="left" w:pos="312"/>
        </w:tabs>
        <w:spacing w:line="580" w:lineRule="exact"/>
        <w:rPr>
          <w:rStyle w:val="25"/>
          <w:rFonts w:ascii="仿宋_GB2312" w:hAnsi="仿宋_GB2312" w:eastAsia="仿宋_GB2312" w:cs="仿宋_GB2312"/>
          <w:b w:val="0"/>
          <w:color w:val="000000" w:themeColor="text1"/>
          <w14:textFill>
            <w14:solidFill>
              <w14:schemeClr w14:val="tx1"/>
            </w14:solidFill>
          </w14:textFill>
        </w:rPr>
      </w:pPr>
      <w:r>
        <w:rPr>
          <w:rStyle w:val="25"/>
          <w:rFonts w:hint="eastAsia" w:ascii="仿宋_GB2312" w:hAnsi="仿宋_GB2312" w:eastAsia="仿宋_GB2312" w:cs="仿宋_GB2312"/>
          <w:b w:val="0"/>
          <w:color w:val="000000" w:themeColor="text1"/>
          <w14:textFill>
            <w14:solidFill>
              <w14:schemeClr w14:val="tx1"/>
            </w14:solidFill>
          </w14:textFill>
        </w:rPr>
        <w:t>3、项目绩效</w:t>
      </w:r>
    </w:p>
    <w:p>
      <w:pPr>
        <w:tabs>
          <w:tab w:val="left" w:pos="312"/>
        </w:tabs>
        <w:spacing w:line="580" w:lineRule="exact"/>
        <w:rPr>
          <w:rStyle w:val="25"/>
          <w:rFonts w:ascii="仿宋_GB2312" w:hAnsi="仿宋_GB2312" w:eastAsia="仿宋_GB2312" w:cs="仿宋_GB2312"/>
          <w:b w:val="0"/>
          <w:color w:val="000000" w:themeColor="text1"/>
          <w14:textFill>
            <w14:solidFill>
              <w14:schemeClr w14:val="tx1"/>
            </w14:solidFill>
          </w14:textFill>
        </w:rPr>
      </w:pPr>
      <w:r>
        <w:rPr>
          <w:rStyle w:val="25"/>
          <w:rFonts w:hint="eastAsia" w:ascii="仿宋_GB2312" w:hAnsi="仿宋_GB2312" w:eastAsia="仿宋_GB2312" w:cs="仿宋_GB2312"/>
          <w:b w:val="0"/>
          <w:color w:val="000000" w:themeColor="text1"/>
          <w14:textFill>
            <w14:solidFill>
              <w14:schemeClr w14:val="tx1"/>
            </w14:solidFill>
          </w14:textFill>
        </w:rPr>
        <w:t xml:space="preserve">    零八一电子集团四川红轮机械有限公司无人驾驶新能源隧道牵引机车研制项目建成后，预计新增销售收入2000万元，新增利润500万元，新增税金125万元；新增就业人员30人。零八一电子集团有限公司DBF要地监视雷达项目建成后，可实现销售收入5000万元，利润1250万元，税金750万元。零八一电子集团四川力源电子有限公司快脉冲技术用大尺寸非晶态夹膜磁芯项目建成后，预计新增产值2800万元，利润400万元。</w:t>
      </w:r>
    </w:p>
    <w:p>
      <w:pPr>
        <w:numPr>
          <w:ilvl w:val="0"/>
          <w:numId w:val="6"/>
        </w:numPr>
        <w:tabs>
          <w:tab w:val="left" w:pos="312"/>
        </w:tabs>
        <w:spacing w:line="580" w:lineRule="exact"/>
        <w:rPr>
          <w:rStyle w:val="25"/>
          <w:rFonts w:ascii="黑体" w:hAnsi="黑体" w:eastAsia="黑体" w:cs="仿宋_GB2312"/>
          <w:b w:val="0"/>
          <w:color w:val="000000" w:themeColor="text1"/>
          <w14:textFill>
            <w14:solidFill>
              <w14:schemeClr w14:val="tx1"/>
            </w14:solidFill>
          </w14:textFill>
        </w:rPr>
      </w:pPr>
      <w:r>
        <w:rPr>
          <w:rStyle w:val="25"/>
          <w:rFonts w:hint="eastAsia" w:ascii="黑体" w:hAnsi="黑体" w:eastAsia="黑体" w:cs="仿宋_GB2312"/>
          <w:b w:val="0"/>
          <w:color w:val="000000" w:themeColor="text1"/>
          <w14:textFill>
            <w14:solidFill>
              <w14:schemeClr w14:val="tx1"/>
            </w14:solidFill>
          </w14:textFill>
        </w:rPr>
        <w:t>存在主要问题</w:t>
      </w:r>
    </w:p>
    <w:p>
      <w:pPr>
        <w:tabs>
          <w:tab w:val="left" w:pos="312"/>
        </w:tabs>
        <w:spacing w:line="580" w:lineRule="exact"/>
        <w:ind w:firstLine="640" w:firstLineChars="200"/>
        <w:rPr>
          <w:rStyle w:val="25"/>
          <w:rFonts w:ascii="仿宋_GB2312" w:hAnsi="仿宋_GB2312" w:eastAsia="仿宋_GB2312" w:cs="仿宋_GB2312"/>
          <w:b w:val="0"/>
          <w:color w:val="000000" w:themeColor="text1"/>
          <w14:textFill>
            <w14:solidFill>
              <w14:schemeClr w14:val="tx1"/>
            </w14:solidFill>
          </w14:textFill>
        </w:rPr>
      </w:pPr>
      <w:r>
        <w:rPr>
          <w:rStyle w:val="25"/>
          <w:rFonts w:hint="eastAsia" w:ascii="仿宋_GB2312" w:hAnsi="仿宋_GB2312" w:eastAsia="仿宋_GB2312" w:cs="仿宋_GB2312"/>
          <w:b w:val="0"/>
          <w:color w:val="000000" w:themeColor="text1"/>
          <w14:textFill>
            <w14:solidFill>
              <w14:schemeClr w14:val="tx1"/>
            </w14:solidFill>
          </w14:textFill>
        </w:rPr>
        <w:t>对项目资金绩效管理的重要性认识不够，且管理水平有待进一步提高。</w:t>
      </w:r>
    </w:p>
    <w:p>
      <w:pPr>
        <w:numPr>
          <w:ilvl w:val="0"/>
          <w:numId w:val="6"/>
        </w:numPr>
        <w:tabs>
          <w:tab w:val="left" w:pos="312"/>
        </w:tabs>
        <w:spacing w:line="580" w:lineRule="exact"/>
        <w:rPr>
          <w:rStyle w:val="25"/>
          <w:rFonts w:ascii="黑体" w:hAnsi="黑体" w:eastAsia="黑体" w:cs="仿宋_GB2312"/>
          <w:b w:val="0"/>
          <w:color w:val="000000" w:themeColor="text1"/>
          <w14:textFill>
            <w14:solidFill>
              <w14:schemeClr w14:val="tx1"/>
            </w14:solidFill>
          </w14:textFill>
        </w:rPr>
      </w:pPr>
      <w:r>
        <w:rPr>
          <w:rStyle w:val="25"/>
          <w:rFonts w:hint="eastAsia" w:ascii="黑体" w:hAnsi="黑体" w:eastAsia="黑体" w:cs="仿宋_GB2312"/>
          <w:b w:val="0"/>
          <w:color w:val="000000" w:themeColor="text1"/>
          <w14:textFill>
            <w14:solidFill>
              <w14:schemeClr w14:val="tx1"/>
            </w14:solidFill>
          </w14:textFill>
        </w:rPr>
        <w:t>相关措施建议</w:t>
      </w:r>
    </w:p>
    <w:p>
      <w:pPr>
        <w:tabs>
          <w:tab w:val="left" w:pos="312"/>
        </w:tabs>
        <w:spacing w:line="580" w:lineRule="exact"/>
        <w:ind w:firstLine="320" w:firstLineChars="100"/>
        <w:rPr>
          <w:rStyle w:val="25"/>
          <w:rFonts w:ascii="仿宋_GB2312" w:hAnsi="仿宋_GB2312" w:eastAsia="仿宋_GB2312" w:cs="仿宋_GB2312"/>
          <w:b w:val="0"/>
          <w:color w:val="000000" w:themeColor="text1"/>
          <w14:textFill>
            <w14:solidFill>
              <w14:schemeClr w14:val="tx1"/>
            </w14:solidFill>
          </w14:textFill>
        </w:rPr>
      </w:pPr>
      <w:r>
        <w:rPr>
          <w:rStyle w:val="25"/>
          <w:rFonts w:hint="eastAsia" w:ascii="仿宋_GB2312" w:hAnsi="仿宋_GB2312" w:eastAsia="仿宋_GB2312" w:cs="仿宋_GB2312"/>
          <w:b w:val="0"/>
          <w:color w:val="000000" w:themeColor="text1"/>
          <w14:textFill>
            <w14:solidFill>
              <w14:schemeClr w14:val="tx1"/>
            </w14:solidFill>
          </w14:textFill>
        </w:rPr>
        <w:t xml:space="preserve">  加强领导，切实提高对项目资金绩效管理的认识，逐步建立健全绩效管理的工作机制。</w:t>
      </w:r>
    </w:p>
    <w:p>
      <w:pPr>
        <w:tabs>
          <w:tab w:val="left" w:pos="312"/>
        </w:tabs>
        <w:spacing w:line="580" w:lineRule="exact"/>
        <w:rPr>
          <w:rStyle w:val="25"/>
          <w:rFonts w:ascii="黑体" w:hAnsi="黑体" w:eastAsia="黑体"/>
          <w:b w:val="0"/>
          <w:bCs w:val="0"/>
          <w:color w:val="000000" w:themeColor="text1"/>
          <w:sz w:val="28"/>
          <w:szCs w:val="28"/>
          <w14:textFill>
            <w14:solidFill>
              <w14:schemeClr w14:val="tx1"/>
            </w14:solidFill>
          </w14:textFill>
        </w:rPr>
      </w:pPr>
    </w:p>
    <w:p>
      <w:pPr>
        <w:tabs>
          <w:tab w:val="left" w:pos="312"/>
        </w:tabs>
        <w:spacing w:line="580" w:lineRule="exact"/>
        <w:rPr>
          <w:rFonts w:ascii="仿宋_GB2312" w:hAnsi="仿宋_GB2312" w:eastAsia="仿宋_GB2312" w:cs="仿宋_GB2312"/>
          <w:color w:val="000000" w:themeColor="text1"/>
          <w:sz w:val="32"/>
          <w:szCs w:val="32"/>
          <w14:textFill>
            <w14:solidFill>
              <w14:schemeClr w14:val="tx1"/>
            </w14:solidFill>
          </w14:textFill>
        </w:rPr>
      </w:pPr>
    </w:p>
    <w:tbl>
      <w:tblPr>
        <w:tblStyle w:val="12"/>
        <w:tblpPr w:leftFromText="180" w:rightFromText="180" w:vertAnchor="text" w:horzAnchor="page" w:tblpXSpec="center" w:tblpY="423"/>
        <w:tblOverlap w:val="never"/>
        <w:tblW w:w="9848" w:type="dxa"/>
        <w:tblInd w:w="0" w:type="dxa"/>
        <w:tblLayout w:type="fixed"/>
        <w:tblCellMar>
          <w:top w:w="0" w:type="dxa"/>
          <w:left w:w="0" w:type="dxa"/>
          <w:bottom w:w="0" w:type="dxa"/>
          <w:right w:w="0" w:type="dxa"/>
        </w:tblCellMar>
      </w:tblPr>
      <w:tblGrid>
        <w:gridCol w:w="866"/>
        <w:gridCol w:w="871"/>
        <w:gridCol w:w="1014"/>
        <w:gridCol w:w="2365"/>
        <w:gridCol w:w="2367"/>
        <w:gridCol w:w="2365"/>
      </w:tblGrid>
      <w:tr>
        <w:tblPrEx>
          <w:tblCellMar>
            <w:top w:w="0" w:type="dxa"/>
            <w:left w:w="0" w:type="dxa"/>
            <w:bottom w:w="0" w:type="dxa"/>
            <w:right w:w="0" w:type="dxa"/>
          </w:tblCellMar>
        </w:tblPrEx>
        <w:trPr>
          <w:trHeight w:val="887" w:hRule="atLeast"/>
        </w:trPr>
        <w:tc>
          <w:tcPr>
            <w:tcW w:w="9848" w:type="dxa"/>
            <w:gridSpan w:val="6"/>
            <w:tcMar>
              <w:top w:w="15" w:type="dxa"/>
              <w:left w:w="15" w:type="dxa"/>
              <w:bottom w:w="0" w:type="dxa"/>
              <w:right w:w="15" w:type="dxa"/>
            </w:tcMar>
            <w:vAlign w:val="center"/>
          </w:tcPr>
          <w:p>
            <w:pPr>
              <w:pStyle w:val="23"/>
              <w:widowControl/>
              <w:ind w:left="4178" w:leftChars="1310" w:hanging="1427" w:hangingChars="395"/>
              <w:textAlignment w:val="center"/>
              <w:rPr>
                <w:rFonts w:ascii="黑体" w:hAnsi="黑体" w:eastAsia="黑体" w:cs="宋体"/>
                <w:b/>
                <w:bCs/>
                <w:color w:val="000000" w:themeColor="text1"/>
                <w:kern w:val="0"/>
                <w:sz w:val="36"/>
                <w:szCs w:val="36"/>
                <w14:textFill>
                  <w14:solidFill>
                    <w14:schemeClr w14:val="tx1"/>
                  </w14:solidFill>
                </w14:textFill>
              </w:rPr>
            </w:pPr>
          </w:p>
          <w:p>
            <w:pPr>
              <w:pStyle w:val="23"/>
              <w:widowControl/>
              <w:ind w:left="4178" w:leftChars="1310" w:hanging="1427" w:hangingChars="395"/>
              <w:textAlignment w:val="center"/>
              <w:rPr>
                <w:rFonts w:ascii="黑体" w:hAnsi="黑体" w:eastAsia="黑体" w:cs="宋体"/>
                <w:b/>
                <w:bCs/>
                <w:color w:val="000000" w:themeColor="text1"/>
                <w:kern w:val="0"/>
                <w:sz w:val="36"/>
                <w:szCs w:val="36"/>
                <w14:textFill>
                  <w14:solidFill>
                    <w14:schemeClr w14:val="tx1"/>
                  </w14:solidFill>
                </w14:textFill>
              </w:rPr>
            </w:pPr>
          </w:p>
          <w:p>
            <w:pPr>
              <w:pStyle w:val="23"/>
              <w:widowControl/>
              <w:ind w:firstLine="0" w:firstLineChars="0"/>
              <w:textAlignment w:val="center"/>
              <w:rPr>
                <w:rFonts w:ascii="黑体" w:hAnsi="黑体" w:eastAsia="黑体" w:cs="宋体"/>
                <w:b/>
                <w:bCs/>
                <w:color w:val="000000" w:themeColor="text1"/>
                <w:kern w:val="0"/>
                <w:sz w:val="36"/>
                <w:szCs w:val="36"/>
                <w14:textFill>
                  <w14:solidFill>
                    <w14:schemeClr w14:val="tx1"/>
                  </w14:solidFill>
                </w14:textFill>
              </w:rPr>
            </w:pPr>
          </w:p>
          <w:p>
            <w:pPr>
              <w:pStyle w:val="23"/>
              <w:widowControl/>
              <w:ind w:left="4178" w:leftChars="1310" w:hanging="1427" w:hangingChars="395"/>
              <w:textAlignment w:val="center"/>
              <w:rPr>
                <w:rFonts w:ascii="宋体" w:hAnsi="宋体" w:cs="宋体"/>
                <w:b/>
                <w:color w:val="000000" w:themeColor="text1"/>
                <w:sz w:val="36"/>
                <w:szCs w:val="36"/>
                <w14:textFill>
                  <w14:solidFill>
                    <w14:schemeClr w14:val="tx1"/>
                  </w14:solidFill>
                </w14:textFill>
              </w:rPr>
            </w:pPr>
            <w:r>
              <w:rPr>
                <w:rFonts w:hint="eastAsia" w:ascii="黑体" w:hAnsi="黑体" w:eastAsia="黑体" w:cs="宋体"/>
                <w:b/>
                <w:bCs/>
                <w:color w:val="000000" w:themeColor="text1"/>
                <w:kern w:val="0"/>
                <w:sz w:val="36"/>
                <w:szCs w:val="36"/>
                <w14:textFill>
                  <w14:solidFill>
                    <w14:schemeClr w14:val="tx1"/>
                  </w14:solidFill>
                </w14:textFill>
              </w:rPr>
              <w:t>项目支出绩效目标完成情况表</w:t>
            </w:r>
            <w:r>
              <w:rPr>
                <w:rFonts w:hint="eastAsia" w:ascii="宋体" w:hAnsi="宋体" w:cs="宋体"/>
                <w:b/>
                <w:bCs/>
                <w:color w:val="000000" w:themeColor="text1"/>
                <w:kern w:val="0"/>
                <w:sz w:val="36"/>
                <w:szCs w:val="36"/>
                <w14:textFill>
                  <w14:solidFill>
                    <w14:schemeClr w14:val="tx1"/>
                  </w14:solidFill>
                </w14:textFill>
              </w:rPr>
              <w:br w:type="textWrapping"/>
            </w:r>
            <w:r>
              <w:rPr>
                <w:rFonts w:hint="eastAsia" w:ascii="宋体" w:hAnsi="宋体" w:cs="宋体"/>
                <w:b/>
                <w:color w:val="000000" w:themeColor="text1"/>
                <w:kern w:val="0"/>
                <w:sz w:val="36"/>
                <w:szCs w:val="36"/>
                <w14:textFill>
                  <w14:solidFill>
                    <w14:schemeClr w14:val="tx1"/>
                  </w14:solidFill>
                </w14:textFill>
              </w:rPr>
              <w:t>(2018 年度)</w:t>
            </w:r>
          </w:p>
        </w:tc>
      </w:tr>
      <w:tr>
        <w:tblPrEx>
          <w:tblCellMar>
            <w:top w:w="0" w:type="dxa"/>
            <w:left w:w="0" w:type="dxa"/>
            <w:bottom w:w="0" w:type="dxa"/>
            <w:right w:w="0" w:type="dxa"/>
          </w:tblCellMar>
        </w:tblPrEx>
        <w:trPr>
          <w:trHeight w:val="237" w:hRule="atLeast"/>
        </w:trPr>
        <w:tc>
          <w:tcPr>
            <w:tcW w:w="275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项目名称</w:t>
            </w:r>
          </w:p>
        </w:tc>
        <w:tc>
          <w:tcPr>
            <w:tcW w:w="7097"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军用技术再研发项目</w:t>
            </w:r>
          </w:p>
        </w:tc>
      </w:tr>
      <w:tr>
        <w:tblPrEx>
          <w:tblCellMar>
            <w:top w:w="0" w:type="dxa"/>
            <w:left w:w="0" w:type="dxa"/>
            <w:bottom w:w="0" w:type="dxa"/>
            <w:right w:w="0" w:type="dxa"/>
          </w:tblCellMar>
        </w:tblPrEx>
        <w:trPr>
          <w:trHeight w:val="237" w:hRule="atLeast"/>
        </w:trPr>
        <w:tc>
          <w:tcPr>
            <w:tcW w:w="275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预算单位</w:t>
            </w:r>
          </w:p>
        </w:tc>
        <w:tc>
          <w:tcPr>
            <w:tcW w:w="7097"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利州区经济信息化和科学技术局</w:t>
            </w:r>
          </w:p>
        </w:tc>
      </w:tr>
      <w:tr>
        <w:tblPrEx>
          <w:tblCellMar>
            <w:top w:w="0" w:type="dxa"/>
            <w:left w:w="0" w:type="dxa"/>
            <w:bottom w:w="0" w:type="dxa"/>
            <w:right w:w="0" w:type="dxa"/>
          </w:tblCellMar>
        </w:tblPrEx>
        <w:trPr>
          <w:trHeight w:val="237" w:hRule="atLeast"/>
        </w:trPr>
        <w:tc>
          <w:tcPr>
            <w:tcW w:w="86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预算执行情况(万元)</w:t>
            </w:r>
          </w:p>
        </w:tc>
        <w:tc>
          <w:tcPr>
            <w:tcW w:w="188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预算数:</w:t>
            </w:r>
          </w:p>
        </w:tc>
        <w:tc>
          <w:tcPr>
            <w:tcW w:w="23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p>
        </w:tc>
        <w:tc>
          <w:tcPr>
            <w:tcW w:w="2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执行数:</w:t>
            </w:r>
          </w:p>
        </w:tc>
        <w:tc>
          <w:tcPr>
            <w:tcW w:w="23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260</w:t>
            </w:r>
          </w:p>
        </w:tc>
      </w:tr>
      <w:tr>
        <w:tblPrEx>
          <w:tblCellMar>
            <w:top w:w="0" w:type="dxa"/>
            <w:left w:w="0" w:type="dxa"/>
            <w:bottom w:w="0" w:type="dxa"/>
            <w:right w:w="0" w:type="dxa"/>
          </w:tblCellMar>
        </w:tblPrEx>
        <w:trPr>
          <w:trHeight w:val="237"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color w:val="000000" w:themeColor="text1"/>
                <w:sz w:val="24"/>
                <w14:textFill>
                  <w14:solidFill>
                    <w14:schemeClr w14:val="tx1"/>
                  </w14:solidFill>
                </w14:textFill>
              </w:rPr>
            </w:pPr>
          </w:p>
        </w:tc>
        <w:tc>
          <w:tcPr>
            <w:tcW w:w="188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其中-财政拨款:</w:t>
            </w:r>
          </w:p>
        </w:tc>
        <w:tc>
          <w:tcPr>
            <w:tcW w:w="23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p>
        </w:tc>
        <w:tc>
          <w:tcPr>
            <w:tcW w:w="2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其中-财政拨款:</w:t>
            </w:r>
          </w:p>
        </w:tc>
        <w:tc>
          <w:tcPr>
            <w:tcW w:w="23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260</w:t>
            </w:r>
          </w:p>
        </w:tc>
      </w:tr>
      <w:tr>
        <w:tblPrEx>
          <w:tblCellMar>
            <w:top w:w="0" w:type="dxa"/>
            <w:left w:w="0" w:type="dxa"/>
            <w:bottom w:w="0" w:type="dxa"/>
            <w:right w:w="0" w:type="dxa"/>
          </w:tblCellMar>
        </w:tblPrEx>
        <w:trPr>
          <w:trHeight w:val="1047"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color w:val="000000" w:themeColor="text1"/>
                <w:sz w:val="24"/>
                <w14:textFill>
                  <w14:solidFill>
                    <w14:schemeClr w14:val="tx1"/>
                  </w14:solidFill>
                </w14:textFill>
              </w:rPr>
            </w:pPr>
          </w:p>
        </w:tc>
        <w:tc>
          <w:tcPr>
            <w:tcW w:w="188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其它资金:</w:t>
            </w:r>
          </w:p>
        </w:tc>
        <w:tc>
          <w:tcPr>
            <w:tcW w:w="23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p>
        </w:tc>
        <w:tc>
          <w:tcPr>
            <w:tcW w:w="2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其它资金:</w:t>
            </w:r>
          </w:p>
        </w:tc>
        <w:tc>
          <w:tcPr>
            <w:tcW w:w="23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0</w:t>
            </w:r>
          </w:p>
        </w:tc>
      </w:tr>
      <w:tr>
        <w:tblPrEx>
          <w:tblCellMar>
            <w:top w:w="0" w:type="dxa"/>
            <w:left w:w="0" w:type="dxa"/>
            <w:bottom w:w="0" w:type="dxa"/>
            <w:right w:w="0" w:type="dxa"/>
          </w:tblCellMar>
        </w:tblPrEx>
        <w:trPr>
          <w:trHeight w:val="237" w:hRule="atLeast"/>
        </w:trPr>
        <w:tc>
          <w:tcPr>
            <w:tcW w:w="86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年度目标完成情况</w:t>
            </w:r>
          </w:p>
        </w:tc>
        <w:tc>
          <w:tcPr>
            <w:tcW w:w="425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预期目标</w:t>
            </w:r>
          </w:p>
        </w:tc>
        <w:tc>
          <w:tcPr>
            <w:tcW w:w="473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实际完成目标</w:t>
            </w:r>
          </w:p>
        </w:tc>
      </w:tr>
      <w:tr>
        <w:tblPrEx>
          <w:tblCellMar>
            <w:top w:w="0" w:type="dxa"/>
            <w:left w:w="0" w:type="dxa"/>
            <w:bottom w:w="0" w:type="dxa"/>
            <w:right w:w="0" w:type="dxa"/>
          </w:tblCellMar>
        </w:tblPrEx>
        <w:trPr>
          <w:trHeight w:val="1382"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color w:val="000000" w:themeColor="text1"/>
                <w:sz w:val="24"/>
                <w14:textFill>
                  <w14:solidFill>
                    <w14:schemeClr w14:val="tx1"/>
                  </w14:solidFill>
                </w14:textFill>
              </w:rPr>
            </w:pPr>
          </w:p>
        </w:tc>
        <w:tc>
          <w:tcPr>
            <w:tcW w:w="425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使项目资金达到专款专用</w:t>
            </w:r>
          </w:p>
        </w:tc>
        <w:tc>
          <w:tcPr>
            <w:tcW w:w="473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实际将专项资金支出90%，待项目验收后付尾款10%</w:t>
            </w:r>
          </w:p>
        </w:tc>
      </w:tr>
      <w:tr>
        <w:tblPrEx>
          <w:tblCellMar>
            <w:top w:w="0" w:type="dxa"/>
            <w:left w:w="0" w:type="dxa"/>
            <w:bottom w:w="0" w:type="dxa"/>
            <w:right w:w="0" w:type="dxa"/>
          </w:tblCellMar>
        </w:tblPrEx>
        <w:trPr>
          <w:trHeight w:val="894" w:hRule="atLeast"/>
        </w:trPr>
        <w:tc>
          <w:tcPr>
            <w:tcW w:w="86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绩效指标完成情况</w:t>
            </w:r>
          </w:p>
        </w:tc>
        <w:tc>
          <w:tcPr>
            <w:tcW w:w="87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一级指标</w:t>
            </w:r>
          </w:p>
        </w:tc>
        <w:tc>
          <w:tcPr>
            <w:tcW w:w="10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二级指标</w:t>
            </w:r>
          </w:p>
        </w:tc>
        <w:tc>
          <w:tcPr>
            <w:tcW w:w="23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三级指标</w:t>
            </w:r>
          </w:p>
        </w:tc>
        <w:tc>
          <w:tcPr>
            <w:tcW w:w="2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预期指标值(包含数字及文字描述)</w:t>
            </w:r>
          </w:p>
        </w:tc>
        <w:tc>
          <w:tcPr>
            <w:tcW w:w="23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实际完成指标值(包含数字及文字描述)</w:t>
            </w:r>
          </w:p>
        </w:tc>
      </w:tr>
      <w:tr>
        <w:tblPrEx>
          <w:tblCellMar>
            <w:top w:w="0" w:type="dxa"/>
            <w:left w:w="0" w:type="dxa"/>
            <w:bottom w:w="0" w:type="dxa"/>
            <w:right w:w="0" w:type="dxa"/>
          </w:tblCellMar>
        </w:tblPrEx>
        <w:trPr>
          <w:trHeight w:val="818"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color w:val="000000" w:themeColor="text1"/>
                <w:sz w:val="24"/>
                <w14:textFill>
                  <w14:solidFill>
                    <w14:schemeClr w14:val="tx1"/>
                  </w14:solidFill>
                </w14:textFill>
              </w:rPr>
            </w:pPr>
          </w:p>
        </w:tc>
        <w:tc>
          <w:tcPr>
            <w:tcW w:w="87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项目完成指标</w:t>
            </w:r>
          </w:p>
        </w:tc>
        <w:tc>
          <w:tcPr>
            <w:tcW w:w="10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数量指标</w:t>
            </w:r>
          </w:p>
        </w:tc>
        <w:tc>
          <w:tcPr>
            <w:tcW w:w="23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p>
        </w:tc>
        <w:tc>
          <w:tcPr>
            <w:tcW w:w="2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工程样机3套，申请专利5个</w:t>
            </w:r>
          </w:p>
        </w:tc>
        <w:tc>
          <w:tcPr>
            <w:tcW w:w="23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工程样机2套，申请专利1个</w:t>
            </w:r>
          </w:p>
        </w:tc>
      </w:tr>
      <w:tr>
        <w:tblPrEx>
          <w:tblCellMar>
            <w:top w:w="0" w:type="dxa"/>
            <w:left w:w="0" w:type="dxa"/>
            <w:bottom w:w="0" w:type="dxa"/>
            <w:right w:w="0" w:type="dxa"/>
          </w:tblCellMar>
        </w:tblPrEx>
        <w:trPr>
          <w:trHeight w:val="1127"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color w:val="000000" w:themeColor="text1"/>
                <w:sz w:val="24"/>
                <w14:textFill>
                  <w14:solidFill>
                    <w14:schemeClr w14:val="tx1"/>
                  </w14:solidFill>
                </w14:textFill>
              </w:rPr>
            </w:pPr>
          </w:p>
        </w:tc>
        <w:tc>
          <w:tcPr>
            <w:tcW w:w="87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项目完成指标</w:t>
            </w:r>
          </w:p>
        </w:tc>
        <w:tc>
          <w:tcPr>
            <w:tcW w:w="10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质量指标</w:t>
            </w:r>
          </w:p>
        </w:tc>
        <w:tc>
          <w:tcPr>
            <w:tcW w:w="23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p>
        </w:tc>
        <w:tc>
          <w:tcPr>
            <w:tcW w:w="2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按照相关技术指标</w:t>
            </w:r>
          </w:p>
        </w:tc>
        <w:tc>
          <w:tcPr>
            <w:tcW w:w="23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按照相关技术指标</w:t>
            </w:r>
          </w:p>
        </w:tc>
      </w:tr>
      <w:tr>
        <w:tblPrEx>
          <w:tblCellMar>
            <w:top w:w="0" w:type="dxa"/>
            <w:left w:w="0" w:type="dxa"/>
            <w:bottom w:w="0" w:type="dxa"/>
            <w:right w:w="0" w:type="dxa"/>
          </w:tblCellMar>
        </w:tblPrEx>
        <w:trPr>
          <w:trHeight w:val="894"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color w:val="000000" w:themeColor="text1"/>
                <w:sz w:val="24"/>
                <w14:textFill>
                  <w14:solidFill>
                    <w14:schemeClr w14:val="tx1"/>
                  </w14:solidFill>
                </w14:textFill>
              </w:rPr>
            </w:pPr>
          </w:p>
        </w:tc>
        <w:tc>
          <w:tcPr>
            <w:tcW w:w="87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项目完成指标</w:t>
            </w:r>
          </w:p>
        </w:tc>
        <w:tc>
          <w:tcPr>
            <w:tcW w:w="10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abs>
                <w:tab w:val="left" w:pos="427"/>
              </w:tabs>
              <w:jc w:val="left"/>
              <w:textAlignment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时效指标</w:t>
            </w:r>
          </w:p>
        </w:tc>
        <w:tc>
          <w:tcPr>
            <w:tcW w:w="23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p>
        </w:tc>
        <w:tc>
          <w:tcPr>
            <w:tcW w:w="2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2017年-2019年</w:t>
            </w:r>
          </w:p>
        </w:tc>
        <w:tc>
          <w:tcPr>
            <w:tcW w:w="23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2017年-2018年</w:t>
            </w:r>
          </w:p>
        </w:tc>
      </w:tr>
      <w:tr>
        <w:tblPrEx>
          <w:tblCellMar>
            <w:top w:w="0" w:type="dxa"/>
            <w:left w:w="0" w:type="dxa"/>
            <w:bottom w:w="0" w:type="dxa"/>
            <w:right w:w="0" w:type="dxa"/>
          </w:tblCellMar>
        </w:tblPrEx>
        <w:trPr>
          <w:trHeight w:val="894"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color w:val="000000" w:themeColor="text1"/>
                <w:sz w:val="24"/>
                <w14:textFill>
                  <w14:solidFill>
                    <w14:schemeClr w14:val="tx1"/>
                  </w14:solidFill>
                </w14:textFill>
              </w:rPr>
            </w:pPr>
          </w:p>
        </w:tc>
        <w:tc>
          <w:tcPr>
            <w:tcW w:w="87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项目完成指标</w:t>
            </w:r>
          </w:p>
        </w:tc>
        <w:tc>
          <w:tcPr>
            <w:tcW w:w="10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成本指标</w:t>
            </w:r>
          </w:p>
        </w:tc>
        <w:tc>
          <w:tcPr>
            <w:tcW w:w="23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p>
        </w:tc>
        <w:tc>
          <w:tcPr>
            <w:tcW w:w="2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 严格执行资金预算管理</w:t>
            </w:r>
          </w:p>
        </w:tc>
        <w:tc>
          <w:tcPr>
            <w:tcW w:w="23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 严格执行资金预算管理</w:t>
            </w:r>
          </w:p>
        </w:tc>
      </w:tr>
      <w:tr>
        <w:tblPrEx>
          <w:tblCellMar>
            <w:top w:w="0" w:type="dxa"/>
            <w:left w:w="0" w:type="dxa"/>
            <w:bottom w:w="0" w:type="dxa"/>
            <w:right w:w="0" w:type="dxa"/>
          </w:tblCellMar>
        </w:tblPrEx>
        <w:trPr>
          <w:trHeight w:val="894"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color w:val="000000" w:themeColor="text1"/>
                <w:sz w:val="24"/>
                <w14:textFill>
                  <w14:solidFill>
                    <w14:schemeClr w14:val="tx1"/>
                  </w14:solidFill>
                </w14:textFill>
              </w:rPr>
            </w:pPr>
          </w:p>
        </w:tc>
        <w:tc>
          <w:tcPr>
            <w:tcW w:w="87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效益指标</w:t>
            </w:r>
          </w:p>
        </w:tc>
        <w:tc>
          <w:tcPr>
            <w:tcW w:w="10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经济指标</w:t>
            </w:r>
          </w:p>
        </w:tc>
        <w:tc>
          <w:tcPr>
            <w:tcW w:w="23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Cs/>
                <w:color w:val="000000" w:themeColor="text1"/>
                <w:sz w:val="24"/>
                <w14:textFill>
                  <w14:solidFill>
                    <w14:schemeClr w14:val="tx1"/>
                  </w14:solidFill>
                </w14:textFill>
              </w:rPr>
            </w:pPr>
          </w:p>
        </w:tc>
        <w:tc>
          <w:tcPr>
            <w:tcW w:w="2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项目建成后，可新增销售收入9800万元，利润1775万元，税金875万元。</w:t>
            </w:r>
          </w:p>
        </w:tc>
        <w:tc>
          <w:tcPr>
            <w:tcW w:w="23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p>
        </w:tc>
      </w:tr>
      <w:tr>
        <w:tblPrEx>
          <w:tblCellMar>
            <w:top w:w="0" w:type="dxa"/>
            <w:left w:w="0" w:type="dxa"/>
            <w:bottom w:w="0" w:type="dxa"/>
            <w:right w:w="0" w:type="dxa"/>
          </w:tblCellMar>
        </w:tblPrEx>
        <w:trPr>
          <w:trHeight w:val="1113"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color w:val="000000" w:themeColor="text1"/>
                <w:sz w:val="24"/>
                <w14:textFill>
                  <w14:solidFill>
                    <w14:schemeClr w14:val="tx1"/>
                  </w14:solidFill>
                </w14:textFill>
              </w:rPr>
            </w:pPr>
          </w:p>
        </w:tc>
        <w:tc>
          <w:tcPr>
            <w:tcW w:w="87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效益指标</w:t>
            </w:r>
          </w:p>
        </w:tc>
        <w:tc>
          <w:tcPr>
            <w:tcW w:w="10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社会指标</w:t>
            </w:r>
          </w:p>
        </w:tc>
        <w:tc>
          <w:tcPr>
            <w:tcW w:w="23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p>
        </w:tc>
        <w:tc>
          <w:tcPr>
            <w:tcW w:w="2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r>
              <w:rPr>
                <w:rStyle w:val="25"/>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新增就业人员30人</w:t>
            </w:r>
          </w:p>
        </w:tc>
        <w:tc>
          <w:tcPr>
            <w:tcW w:w="23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p>
        </w:tc>
      </w:tr>
      <w:tr>
        <w:tblPrEx>
          <w:tblCellMar>
            <w:top w:w="0" w:type="dxa"/>
            <w:left w:w="0" w:type="dxa"/>
            <w:bottom w:w="0" w:type="dxa"/>
            <w:right w:w="0" w:type="dxa"/>
          </w:tblCellMar>
        </w:tblPrEx>
        <w:trPr>
          <w:trHeight w:val="901"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color w:val="000000" w:themeColor="text1"/>
                <w:sz w:val="24"/>
                <w14:textFill>
                  <w14:solidFill>
                    <w14:schemeClr w14:val="tx1"/>
                  </w14:solidFill>
                </w14:textFill>
              </w:rPr>
            </w:pPr>
          </w:p>
        </w:tc>
        <w:tc>
          <w:tcPr>
            <w:tcW w:w="87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满意度指标</w:t>
            </w:r>
          </w:p>
        </w:tc>
        <w:tc>
          <w:tcPr>
            <w:tcW w:w="10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p>
        </w:tc>
        <w:tc>
          <w:tcPr>
            <w:tcW w:w="23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p>
        </w:tc>
        <w:tc>
          <w:tcPr>
            <w:tcW w:w="2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满足客户需求，实现顾客满意。</w:t>
            </w:r>
          </w:p>
        </w:tc>
        <w:tc>
          <w:tcPr>
            <w:tcW w:w="23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p>
        </w:tc>
      </w:tr>
    </w:tbl>
    <w:p>
      <w:pPr>
        <w:tabs>
          <w:tab w:val="left" w:pos="312"/>
        </w:tabs>
        <w:spacing w:line="580" w:lineRule="exact"/>
        <w:rPr>
          <w:rStyle w:val="25"/>
          <w:rFonts w:ascii="仿宋_GB2312" w:hAnsi="仿宋_GB2312" w:eastAsia="仿宋_GB2312" w:cs="仿宋_GB2312"/>
          <w:b w:val="0"/>
          <w:color w:val="000000" w:themeColor="text1"/>
          <w14:textFill>
            <w14:solidFill>
              <w14:schemeClr w14:val="tx1"/>
            </w14:solidFill>
          </w14:textFill>
        </w:rPr>
      </w:pPr>
      <w:r>
        <w:rPr>
          <w:rStyle w:val="25"/>
          <w:rFonts w:hint="eastAsia" w:ascii="仿宋_GB2312" w:hAnsi="仿宋_GB2312" w:eastAsia="仿宋_GB2312" w:cs="仿宋_GB2312"/>
          <w:b w:val="0"/>
          <w:color w:val="000000" w:themeColor="text1"/>
          <w14:textFill>
            <w14:solidFill>
              <w14:schemeClr w14:val="tx1"/>
            </w14:solidFill>
          </w14:textFill>
        </w:rPr>
        <w:t>项目五：</w:t>
      </w:r>
    </w:p>
    <w:p>
      <w:pPr>
        <w:tabs>
          <w:tab w:val="left" w:pos="312"/>
        </w:tabs>
        <w:spacing w:line="580" w:lineRule="exact"/>
        <w:jc w:val="center"/>
        <w:rPr>
          <w:rStyle w:val="25"/>
          <w:rFonts w:ascii="黑体" w:hAnsi="黑体" w:eastAsia="黑体"/>
          <w:b w:val="0"/>
          <w:bCs w:val="0"/>
          <w:color w:val="000000" w:themeColor="text1"/>
          <w:sz w:val="44"/>
          <w:szCs w:val="44"/>
          <w14:textFill>
            <w14:solidFill>
              <w14:schemeClr w14:val="tx1"/>
            </w14:solidFill>
          </w14:textFill>
        </w:rPr>
      </w:pPr>
      <w:r>
        <w:rPr>
          <w:rStyle w:val="25"/>
          <w:rFonts w:hint="eastAsia" w:ascii="黑体" w:hAnsi="黑体" w:eastAsia="黑体"/>
          <w:b w:val="0"/>
          <w:bCs w:val="0"/>
          <w:color w:val="000000" w:themeColor="text1"/>
          <w:sz w:val="44"/>
          <w:szCs w:val="44"/>
          <w14:textFill>
            <w14:solidFill>
              <w14:schemeClr w14:val="tx1"/>
            </w14:solidFill>
          </w14:textFill>
        </w:rPr>
        <w:t>2018年第二批工业发展资金（淘汰落后产能方向）项目支出绩效评价报告</w:t>
      </w:r>
    </w:p>
    <w:p>
      <w:pPr>
        <w:tabs>
          <w:tab w:val="left" w:pos="312"/>
        </w:tabs>
        <w:spacing w:line="580" w:lineRule="exact"/>
        <w:rPr>
          <w:rStyle w:val="25"/>
          <w:rFonts w:ascii="黑体" w:hAnsi="黑体" w:eastAsia="黑体"/>
          <w:b w:val="0"/>
          <w:bCs w:val="0"/>
          <w:color w:val="000000" w:themeColor="text1"/>
          <w:sz w:val="28"/>
          <w:szCs w:val="28"/>
          <w14:textFill>
            <w14:solidFill>
              <w14:schemeClr w14:val="tx1"/>
            </w14:solidFill>
          </w14:textFill>
        </w:rPr>
      </w:pPr>
      <w:r>
        <w:rPr>
          <w:rStyle w:val="25"/>
          <w:rFonts w:hint="eastAsia" w:ascii="黑体" w:hAnsi="黑体" w:eastAsia="黑体"/>
          <w:b w:val="0"/>
          <w:bCs w:val="0"/>
          <w:color w:val="000000" w:themeColor="text1"/>
          <w:sz w:val="28"/>
          <w:szCs w:val="28"/>
          <w14:textFill>
            <w14:solidFill>
              <w14:schemeClr w14:val="tx1"/>
            </w14:solidFill>
          </w14:textFill>
        </w:rPr>
        <w:t>一、评价工作开展及项目情况</w:t>
      </w:r>
    </w:p>
    <w:p>
      <w:pPr>
        <w:spacing w:line="540" w:lineRule="exact"/>
        <w:jc w:val="left"/>
        <w:rPr>
          <w:rStyle w:val="25"/>
          <w:rFonts w:asciiTheme="minorEastAsia" w:hAnsiTheme="minorEastAsia" w:eastAsiaTheme="minorEastAsia" w:cstheme="minorEastAsia"/>
          <w:b w:val="0"/>
          <w:bCs w:val="0"/>
          <w:color w:val="000000" w:themeColor="text1"/>
          <w:sz w:val="28"/>
          <w:szCs w:val="28"/>
          <w14:textFill>
            <w14:solidFill>
              <w14:schemeClr w14:val="tx1"/>
            </w14:solidFill>
          </w14:textFill>
        </w:rPr>
      </w:pPr>
      <w:r>
        <w:rPr>
          <w:rStyle w:val="25"/>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   根据关于做好2015年及“十三五”淘汰落后和过剩产能准备工作通知（川淘汰落后办[2014]19号）文件，我区广元市帆舟食品有限责任公司、广元市金山食品有限公司符合申报淘汰落后和过剩产能项目。</w:t>
      </w:r>
    </w:p>
    <w:p>
      <w:pPr>
        <w:tabs>
          <w:tab w:val="left" w:pos="312"/>
        </w:tabs>
        <w:spacing w:line="580" w:lineRule="exact"/>
        <w:rPr>
          <w:rStyle w:val="25"/>
          <w:rFonts w:ascii="黑体" w:hAnsi="黑体" w:eastAsia="黑体"/>
          <w:b w:val="0"/>
          <w:bCs w:val="0"/>
          <w:color w:val="000000" w:themeColor="text1"/>
          <w:sz w:val="28"/>
          <w:szCs w:val="28"/>
          <w14:textFill>
            <w14:solidFill>
              <w14:schemeClr w14:val="tx1"/>
            </w14:solidFill>
          </w14:textFill>
        </w:rPr>
      </w:pPr>
      <w:r>
        <w:rPr>
          <w:rStyle w:val="25"/>
          <w:rFonts w:hint="eastAsia" w:ascii="黑体" w:hAnsi="黑体" w:eastAsia="黑体"/>
          <w:b w:val="0"/>
          <w:bCs w:val="0"/>
          <w:color w:val="000000" w:themeColor="text1"/>
          <w:sz w:val="28"/>
          <w:szCs w:val="28"/>
          <w14:textFill>
            <w14:solidFill>
              <w14:schemeClr w14:val="tx1"/>
            </w14:solidFill>
          </w14:textFill>
        </w:rPr>
        <w:t>二、评价结论及绩效分析</w:t>
      </w:r>
    </w:p>
    <w:p>
      <w:pPr>
        <w:tabs>
          <w:tab w:val="left" w:pos="312"/>
        </w:tabs>
        <w:spacing w:line="580" w:lineRule="exact"/>
        <w:rPr>
          <w:rStyle w:val="25"/>
          <w:rFonts w:ascii="黑体" w:hAnsi="黑体" w:eastAsia="黑体"/>
          <w:b w:val="0"/>
          <w:bCs w:val="0"/>
          <w:color w:val="000000" w:themeColor="text1"/>
          <w:sz w:val="28"/>
          <w:szCs w:val="28"/>
          <w14:textFill>
            <w14:solidFill>
              <w14:schemeClr w14:val="tx1"/>
            </w14:solidFill>
          </w14:textFill>
        </w:rPr>
      </w:pPr>
      <w:r>
        <w:rPr>
          <w:rStyle w:val="25"/>
          <w:rFonts w:hint="eastAsia" w:ascii="黑体" w:hAnsi="黑体" w:eastAsia="黑体"/>
          <w:b w:val="0"/>
          <w:bCs w:val="0"/>
          <w:color w:val="000000" w:themeColor="text1"/>
          <w:sz w:val="28"/>
          <w:szCs w:val="28"/>
          <w14:textFill>
            <w14:solidFill>
              <w14:schemeClr w14:val="tx1"/>
            </w14:solidFill>
          </w14:textFill>
        </w:rPr>
        <w:t>（一）评价结论</w:t>
      </w:r>
    </w:p>
    <w:p>
      <w:pPr>
        <w:tabs>
          <w:tab w:val="left" w:pos="312"/>
        </w:tabs>
        <w:spacing w:line="580" w:lineRule="exact"/>
        <w:ind w:firstLine="560" w:firstLineChars="200"/>
        <w:rPr>
          <w:rStyle w:val="25"/>
          <w:rFonts w:asciiTheme="minorEastAsia" w:hAnsiTheme="minorEastAsia" w:eastAsiaTheme="minorEastAsia" w:cstheme="minorEastAsia"/>
          <w:b w:val="0"/>
          <w:bCs w:val="0"/>
          <w:color w:val="000000" w:themeColor="text1"/>
          <w:sz w:val="28"/>
          <w:szCs w:val="28"/>
          <w14:textFill>
            <w14:solidFill>
              <w14:schemeClr w14:val="tx1"/>
            </w14:solidFill>
          </w14:textFill>
        </w:rPr>
      </w:pPr>
      <w:r>
        <w:rPr>
          <w:rStyle w:val="25"/>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广元市帆舟食品有限责任公司主要淘汰非标苕皮成型蒸煮灶生产线七条、苕皮输送线一条、巴氏杀菌流水线1条、DZ600/24SA真空包装机4台等配套设备；广元市金山食品有限公司主要淘汰琥珀桃仁生产线1条，冷却塔2台、6T-430杀菌釜1台、300L夹层锅5个、ZK-3C2制冷压缩机1台、Z-0.17/7-C空压机1台、WO36/8空压机1台、LHC1-0.69锅炉1台、TF-X-355M-6三相同步发电机1台、6160A-8柴油机1台。</w:t>
      </w:r>
    </w:p>
    <w:p>
      <w:pPr>
        <w:numPr>
          <w:ilvl w:val="0"/>
          <w:numId w:val="7"/>
        </w:numPr>
        <w:tabs>
          <w:tab w:val="left" w:pos="312"/>
        </w:tabs>
        <w:spacing w:line="580" w:lineRule="exact"/>
        <w:rPr>
          <w:rStyle w:val="25"/>
          <w:rFonts w:ascii="黑体" w:hAnsi="黑体" w:eastAsia="黑体"/>
          <w:b w:val="0"/>
          <w:bCs w:val="0"/>
          <w:color w:val="000000" w:themeColor="text1"/>
          <w:sz w:val="28"/>
          <w:szCs w:val="28"/>
          <w14:textFill>
            <w14:solidFill>
              <w14:schemeClr w14:val="tx1"/>
            </w14:solidFill>
          </w14:textFill>
        </w:rPr>
      </w:pPr>
      <w:r>
        <w:rPr>
          <w:rStyle w:val="25"/>
          <w:rFonts w:hint="eastAsia" w:ascii="黑体" w:hAnsi="黑体" w:eastAsia="黑体"/>
          <w:b w:val="0"/>
          <w:bCs w:val="0"/>
          <w:color w:val="000000" w:themeColor="text1"/>
          <w:sz w:val="28"/>
          <w:szCs w:val="28"/>
          <w14:textFill>
            <w14:solidFill>
              <w14:schemeClr w14:val="tx1"/>
            </w14:solidFill>
          </w14:textFill>
        </w:rPr>
        <w:t>绩效分析</w:t>
      </w:r>
    </w:p>
    <w:p>
      <w:pPr>
        <w:tabs>
          <w:tab w:val="left" w:pos="312"/>
        </w:tabs>
        <w:spacing w:line="580" w:lineRule="exact"/>
        <w:rPr>
          <w:rStyle w:val="25"/>
          <w:rFonts w:ascii="黑体" w:hAnsi="黑体" w:eastAsia="黑体"/>
          <w:b w:val="0"/>
          <w:bCs w:val="0"/>
          <w:color w:val="000000" w:themeColor="text1"/>
          <w:sz w:val="28"/>
          <w:szCs w:val="28"/>
          <w14:textFill>
            <w14:solidFill>
              <w14:schemeClr w14:val="tx1"/>
            </w14:solidFill>
          </w14:textFill>
        </w:rPr>
      </w:pPr>
      <w:r>
        <w:rPr>
          <w:rStyle w:val="25"/>
          <w:rFonts w:hint="eastAsia" w:ascii="黑体" w:hAnsi="黑体" w:eastAsia="黑体"/>
          <w:b w:val="0"/>
          <w:bCs w:val="0"/>
          <w:color w:val="000000" w:themeColor="text1"/>
          <w:sz w:val="28"/>
          <w:szCs w:val="28"/>
          <w14:textFill>
            <w14:solidFill>
              <w14:schemeClr w14:val="tx1"/>
            </w14:solidFill>
          </w14:textFill>
        </w:rPr>
        <w:t>1、项目决策</w:t>
      </w:r>
    </w:p>
    <w:p>
      <w:pPr>
        <w:tabs>
          <w:tab w:val="left" w:pos="312"/>
        </w:tabs>
        <w:spacing w:line="5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项目资金使用符合</w:t>
      </w:r>
      <w:r>
        <w:rPr>
          <w:rStyle w:val="25"/>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淘汰落后和过剩产能</w:t>
      </w:r>
      <w:r>
        <w:rPr>
          <w:rFonts w:hint="eastAsia" w:asciiTheme="minorEastAsia" w:hAnsiTheme="minorEastAsia" w:eastAsiaTheme="minorEastAsia" w:cstheme="minorEastAsia"/>
          <w:sz w:val="28"/>
          <w:szCs w:val="28"/>
        </w:rPr>
        <w:t>资金项目申报内容，申报目标合理可行。</w:t>
      </w:r>
    </w:p>
    <w:p>
      <w:pPr>
        <w:tabs>
          <w:tab w:val="left" w:pos="312"/>
        </w:tabs>
        <w:spacing w:line="580" w:lineRule="exact"/>
        <w:rPr>
          <w:rStyle w:val="25"/>
          <w:rFonts w:ascii="黑体" w:hAnsi="黑体" w:eastAsia="黑体"/>
          <w:b w:val="0"/>
          <w:bCs w:val="0"/>
          <w:color w:val="000000" w:themeColor="text1"/>
          <w:sz w:val="28"/>
          <w:szCs w:val="28"/>
          <w14:textFill>
            <w14:solidFill>
              <w14:schemeClr w14:val="tx1"/>
            </w14:solidFill>
          </w14:textFill>
        </w:rPr>
      </w:pPr>
      <w:r>
        <w:rPr>
          <w:rStyle w:val="25"/>
          <w:rFonts w:hint="eastAsia" w:ascii="黑体" w:hAnsi="黑体" w:eastAsia="黑体"/>
          <w:b w:val="0"/>
          <w:bCs w:val="0"/>
          <w:color w:val="000000" w:themeColor="text1"/>
          <w:sz w:val="28"/>
          <w:szCs w:val="28"/>
          <w14:textFill>
            <w14:solidFill>
              <w14:schemeClr w14:val="tx1"/>
            </w14:solidFill>
          </w14:textFill>
        </w:rPr>
        <w:t>2、项目管理</w:t>
      </w:r>
    </w:p>
    <w:p>
      <w:pPr>
        <w:spacing w:line="576" w:lineRule="exact"/>
        <w:ind w:firstLine="560" w:firstLineChars="200"/>
        <w:rPr>
          <w:rStyle w:val="25"/>
          <w:rFonts w:ascii="黑体" w:hAnsi="黑体" w:eastAsia="黑体"/>
          <w:b w:val="0"/>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sz w:val="28"/>
          <w:szCs w:val="28"/>
        </w:rPr>
        <w:t>按照关于下达2018年第二批工业发展资金（淘汰落后产能方向）的通知（广利财建下[2018]24号）文件，下达资金20万元；</w:t>
      </w:r>
      <w:r>
        <w:rPr>
          <w:rStyle w:val="25"/>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广元市帆舟食品有限责任公司下达资金10万元，已足额拨付企业；广元市金山食品有限公司下达资金10万元，已足额拨付企业；资金拨付率达100%；</w:t>
      </w:r>
      <w:r>
        <w:rPr>
          <w:rFonts w:hint="eastAsia" w:asciiTheme="minorEastAsia" w:hAnsiTheme="minorEastAsia" w:eastAsiaTheme="minorEastAsia" w:cstheme="minorEastAsia"/>
          <w:spacing w:val="-8"/>
          <w:sz w:val="28"/>
          <w:szCs w:val="28"/>
        </w:rPr>
        <w:t>项目资金达到专款专用。</w:t>
      </w:r>
    </w:p>
    <w:p>
      <w:pPr>
        <w:tabs>
          <w:tab w:val="left" w:pos="312"/>
        </w:tabs>
        <w:spacing w:line="580" w:lineRule="exact"/>
        <w:rPr>
          <w:rStyle w:val="25"/>
          <w:rFonts w:ascii="黑体" w:hAnsi="黑体" w:eastAsia="黑体"/>
          <w:b w:val="0"/>
          <w:bCs w:val="0"/>
          <w:color w:val="000000" w:themeColor="text1"/>
          <w:sz w:val="28"/>
          <w:szCs w:val="28"/>
          <w14:textFill>
            <w14:solidFill>
              <w14:schemeClr w14:val="tx1"/>
            </w14:solidFill>
          </w14:textFill>
        </w:rPr>
      </w:pPr>
      <w:r>
        <w:rPr>
          <w:rStyle w:val="25"/>
          <w:rFonts w:hint="eastAsia" w:ascii="黑体" w:hAnsi="黑体" w:eastAsia="黑体"/>
          <w:b w:val="0"/>
          <w:bCs w:val="0"/>
          <w:color w:val="000000" w:themeColor="text1"/>
          <w:sz w:val="28"/>
          <w:szCs w:val="28"/>
          <w14:textFill>
            <w14:solidFill>
              <w14:schemeClr w14:val="tx1"/>
            </w14:solidFill>
          </w14:textFill>
        </w:rPr>
        <w:t>3、项目绩效</w:t>
      </w:r>
    </w:p>
    <w:p>
      <w:pPr>
        <w:tabs>
          <w:tab w:val="left" w:pos="312"/>
        </w:tabs>
        <w:spacing w:line="580" w:lineRule="exact"/>
        <w:ind w:firstLine="560" w:firstLineChars="200"/>
        <w:rPr>
          <w:rStyle w:val="25"/>
          <w:rFonts w:ascii="黑体" w:hAnsi="黑体" w:eastAsia="黑体"/>
          <w:b w:val="0"/>
          <w:bCs w:val="0"/>
          <w:color w:val="000000" w:themeColor="text1"/>
          <w:sz w:val="28"/>
          <w:szCs w:val="28"/>
          <w14:textFill>
            <w14:solidFill>
              <w14:schemeClr w14:val="tx1"/>
            </w14:solidFill>
          </w14:textFill>
        </w:rPr>
      </w:pPr>
      <w:r>
        <w:rPr>
          <w:rStyle w:val="25"/>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广元市帆舟食品有限责任公司已完成淘汰非标苕皮成型蒸煮灶生产线七条、苕皮输送线一条、巴氏杀菌流水线1条、DZ600/24SA真空包装机4台等配套设备；广元市金山食品有限公司已完成淘汰琥珀桃仁生产线1条，冷却塔2台、6T-430杀菌釜1台、300L夹层锅5个、ZK-3C2制冷压缩机1台、Z-0.17/7-C空压机1台、WO36/8空压机1台、LHC1-0.69锅炉1台、TF-X-355M-6三相同步发电机1台、6160A-8柴油机1台。</w:t>
      </w:r>
    </w:p>
    <w:p>
      <w:pPr>
        <w:numPr>
          <w:ilvl w:val="0"/>
          <w:numId w:val="8"/>
        </w:numPr>
        <w:tabs>
          <w:tab w:val="left" w:pos="312"/>
        </w:tabs>
        <w:spacing w:line="580" w:lineRule="exact"/>
        <w:rPr>
          <w:rStyle w:val="25"/>
          <w:rFonts w:ascii="黑体" w:hAnsi="黑体" w:eastAsia="黑体"/>
          <w:b w:val="0"/>
          <w:bCs w:val="0"/>
          <w:color w:val="000000" w:themeColor="text1"/>
          <w:sz w:val="28"/>
          <w:szCs w:val="28"/>
          <w14:textFill>
            <w14:solidFill>
              <w14:schemeClr w14:val="tx1"/>
            </w14:solidFill>
          </w14:textFill>
        </w:rPr>
      </w:pPr>
      <w:r>
        <w:rPr>
          <w:rStyle w:val="25"/>
          <w:rFonts w:hint="eastAsia" w:ascii="黑体" w:hAnsi="黑体" w:eastAsia="黑体"/>
          <w:b w:val="0"/>
          <w:bCs w:val="0"/>
          <w:color w:val="000000" w:themeColor="text1"/>
          <w:sz w:val="28"/>
          <w:szCs w:val="28"/>
          <w14:textFill>
            <w14:solidFill>
              <w14:schemeClr w14:val="tx1"/>
            </w14:solidFill>
          </w14:textFill>
        </w:rPr>
        <w:t>存在主要问题</w:t>
      </w:r>
    </w:p>
    <w:p>
      <w:pPr>
        <w:tabs>
          <w:tab w:val="left" w:pos="312"/>
        </w:tabs>
        <w:spacing w:line="580" w:lineRule="exact"/>
        <w:ind w:firstLine="560" w:firstLineChars="200"/>
        <w:rPr>
          <w:rStyle w:val="25"/>
          <w:rFonts w:ascii="黑体" w:hAnsi="黑体" w:eastAsia="黑体"/>
          <w:b w:val="0"/>
          <w:bCs w:val="0"/>
          <w:color w:val="000000" w:themeColor="text1"/>
          <w:sz w:val="28"/>
          <w:szCs w:val="28"/>
          <w14:textFill>
            <w14:solidFill>
              <w14:schemeClr w14:val="tx1"/>
            </w14:solidFill>
          </w14:textFill>
        </w:rPr>
      </w:pPr>
      <w:r>
        <w:rPr>
          <w:rStyle w:val="25"/>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对项目资金绩效管理的重要性认识不够，且管理水平有待进一步提高。</w:t>
      </w:r>
    </w:p>
    <w:p>
      <w:pPr>
        <w:numPr>
          <w:ilvl w:val="0"/>
          <w:numId w:val="8"/>
        </w:numPr>
        <w:tabs>
          <w:tab w:val="left" w:pos="312"/>
        </w:tabs>
        <w:spacing w:line="580" w:lineRule="exact"/>
        <w:rPr>
          <w:rStyle w:val="25"/>
          <w:rFonts w:ascii="黑体" w:hAnsi="黑体" w:eastAsia="黑体"/>
          <w:b w:val="0"/>
          <w:bCs w:val="0"/>
          <w:color w:val="000000" w:themeColor="text1"/>
          <w:sz w:val="28"/>
          <w:szCs w:val="28"/>
          <w14:textFill>
            <w14:solidFill>
              <w14:schemeClr w14:val="tx1"/>
            </w14:solidFill>
          </w14:textFill>
        </w:rPr>
      </w:pPr>
      <w:r>
        <w:rPr>
          <w:rStyle w:val="25"/>
          <w:rFonts w:hint="eastAsia" w:ascii="黑体" w:hAnsi="黑体" w:eastAsia="黑体"/>
          <w:b w:val="0"/>
          <w:bCs w:val="0"/>
          <w:color w:val="000000" w:themeColor="text1"/>
          <w:sz w:val="28"/>
          <w:szCs w:val="28"/>
          <w14:textFill>
            <w14:solidFill>
              <w14:schemeClr w14:val="tx1"/>
            </w14:solidFill>
          </w14:textFill>
        </w:rPr>
        <w:t>相关措施建议</w:t>
      </w:r>
    </w:p>
    <w:p>
      <w:pPr>
        <w:tabs>
          <w:tab w:val="left" w:pos="312"/>
        </w:tabs>
        <w:spacing w:line="580" w:lineRule="exact"/>
        <w:ind w:firstLine="560" w:firstLineChars="200"/>
        <w:rPr>
          <w:rStyle w:val="25"/>
          <w:rFonts w:ascii="黑体" w:hAnsi="黑体" w:eastAsia="黑体"/>
          <w:b w:val="0"/>
          <w:bCs w:val="0"/>
          <w:color w:val="000000" w:themeColor="text1"/>
          <w:sz w:val="28"/>
          <w:szCs w:val="28"/>
          <w14:textFill>
            <w14:solidFill>
              <w14:schemeClr w14:val="tx1"/>
            </w14:solidFill>
          </w14:textFill>
        </w:rPr>
      </w:pPr>
      <w:r>
        <w:rPr>
          <w:rStyle w:val="25"/>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加强领导，切实提高对项目资金绩效管理的认识，逐步建立健全绩效管理的工作机制。</w:t>
      </w:r>
    </w:p>
    <w:p>
      <w:pPr>
        <w:tabs>
          <w:tab w:val="left" w:pos="312"/>
        </w:tabs>
        <w:spacing w:line="580" w:lineRule="exact"/>
        <w:rPr>
          <w:rFonts w:ascii="仿宋_GB2312" w:hAnsi="仿宋_GB2312" w:eastAsia="仿宋_GB2312" w:cs="仿宋_GB2312"/>
          <w:color w:val="000000" w:themeColor="text1"/>
          <w:sz w:val="32"/>
          <w:szCs w:val="32"/>
          <w14:textFill>
            <w14:solidFill>
              <w14:schemeClr w14:val="tx1"/>
            </w14:solidFill>
          </w14:textFill>
        </w:rPr>
      </w:pPr>
    </w:p>
    <w:tbl>
      <w:tblPr>
        <w:tblStyle w:val="12"/>
        <w:tblpPr w:leftFromText="180" w:rightFromText="180" w:vertAnchor="text" w:horzAnchor="page" w:tblpXSpec="center" w:tblpY="423"/>
        <w:tblOverlap w:val="never"/>
        <w:tblW w:w="10021" w:type="dxa"/>
        <w:tblInd w:w="0" w:type="dxa"/>
        <w:tblLayout w:type="fixed"/>
        <w:tblCellMar>
          <w:top w:w="0" w:type="dxa"/>
          <w:left w:w="0" w:type="dxa"/>
          <w:bottom w:w="0" w:type="dxa"/>
          <w:right w:w="0" w:type="dxa"/>
        </w:tblCellMar>
      </w:tblPr>
      <w:tblGrid>
        <w:gridCol w:w="585"/>
        <w:gridCol w:w="1141"/>
        <w:gridCol w:w="1073"/>
        <w:gridCol w:w="2636"/>
        <w:gridCol w:w="2179"/>
        <w:gridCol w:w="2407"/>
      </w:tblGrid>
      <w:tr>
        <w:tblPrEx>
          <w:tblCellMar>
            <w:top w:w="0" w:type="dxa"/>
            <w:left w:w="0" w:type="dxa"/>
            <w:bottom w:w="0" w:type="dxa"/>
            <w:right w:w="0" w:type="dxa"/>
          </w:tblCellMar>
        </w:tblPrEx>
        <w:trPr>
          <w:trHeight w:val="863" w:hRule="atLeast"/>
        </w:trPr>
        <w:tc>
          <w:tcPr>
            <w:tcW w:w="10021" w:type="dxa"/>
            <w:gridSpan w:val="6"/>
            <w:tcMar>
              <w:top w:w="15" w:type="dxa"/>
              <w:left w:w="15" w:type="dxa"/>
              <w:bottom w:w="0" w:type="dxa"/>
              <w:right w:w="15" w:type="dxa"/>
            </w:tcMar>
            <w:vAlign w:val="center"/>
          </w:tcPr>
          <w:p>
            <w:pPr>
              <w:pStyle w:val="23"/>
              <w:widowControl/>
              <w:ind w:left="4178" w:leftChars="1310" w:hanging="1427" w:hangingChars="395"/>
              <w:textAlignment w:val="center"/>
              <w:rPr>
                <w:rFonts w:ascii="黑体" w:hAnsi="黑体" w:eastAsia="黑体" w:cs="宋体"/>
                <w:b/>
                <w:bCs/>
                <w:color w:val="000000" w:themeColor="text1"/>
                <w:kern w:val="0"/>
                <w:sz w:val="36"/>
                <w:szCs w:val="36"/>
                <w14:textFill>
                  <w14:solidFill>
                    <w14:schemeClr w14:val="tx1"/>
                  </w14:solidFill>
                </w14:textFill>
              </w:rPr>
            </w:pPr>
          </w:p>
          <w:p>
            <w:pPr>
              <w:pStyle w:val="23"/>
              <w:widowControl/>
              <w:ind w:left="4178" w:leftChars="1310" w:hanging="1427" w:hangingChars="395"/>
              <w:textAlignment w:val="center"/>
              <w:rPr>
                <w:rFonts w:ascii="黑体" w:hAnsi="黑体" w:eastAsia="黑体" w:cs="宋体"/>
                <w:b/>
                <w:bCs/>
                <w:color w:val="000000" w:themeColor="text1"/>
                <w:kern w:val="0"/>
                <w:sz w:val="36"/>
                <w:szCs w:val="36"/>
                <w14:textFill>
                  <w14:solidFill>
                    <w14:schemeClr w14:val="tx1"/>
                  </w14:solidFill>
                </w14:textFill>
              </w:rPr>
            </w:pPr>
          </w:p>
          <w:p>
            <w:pPr>
              <w:pStyle w:val="23"/>
              <w:widowControl/>
              <w:ind w:left="4178" w:leftChars="1310" w:hanging="1427" w:hangingChars="395"/>
              <w:textAlignment w:val="center"/>
              <w:rPr>
                <w:rFonts w:ascii="黑体" w:hAnsi="黑体" w:eastAsia="黑体" w:cs="宋体"/>
                <w:b/>
                <w:bCs/>
                <w:color w:val="000000" w:themeColor="text1"/>
                <w:kern w:val="0"/>
                <w:sz w:val="36"/>
                <w:szCs w:val="36"/>
                <w14:textFill>
                  <w14:solidFill>
                    <w14:schemeClr w14:val="tx1"/>
                  </w14:solidFill>
                </w14:textFill>
              </w:rPr>
            </w:pPr>
          </w:p>
          <w:p>
            <w:pPr>
              <w:pStyle w:val="23"/>
              <w:widowControl/>
              <w:ind w:left="4178" w:leftChars="1310" w:hanging="1427" w:hangingChars="395"/>
              <w:textAlignment w:val="center"/>
              <w:rPr>
                <w:rFonts w:ascii="黑体" w:hAnsi="黑体" w:eastAsia="黑体" w:cs="宋体"/>
                <w:b/>
                <w:bCs/>
                <w:color w:val="000000" w:themeColor="text1"/>
                <w:kern w:val="0"/>
                <w:sz w:val="36"/>
                <w:szCs w:val="36"/>
                <w14:textFill>
                  <w14:solidFill>
                    <w14:schemeClr w14:val="tx1"/>
                  </w14:solidFill>
                </w14:textFill>
              </w:rPr>
            </w:pPr>
          </w:p>
          <w:p>
            <w:pPr>
              <w:pStyle w:val="23"/>
              <w:widowControl/>
              <w:ind w:left="4178" w:leftChars="1310" w:hanging="1427" w:hangingChars="395"/>
              <w:textAlignment w:val="center"/>
              <w:rPr>
                <w:rFonts w:ascii="宋体" w:hAnsi="宋体" w:cs="宋体"/>
                <w:b/>
                <w:color w:val="000000" w:themeColor="text1"/>
                <w:sz w:val="36"/>
                <w:szCs w:val="36"/>
                <w14:textFill>
                  <w14:solidFill>
                    <w14:schemeClr w14:val="tx1"/>
                  </w14:solidFill>
                </w14:textFill>
              </w:rPr>
            </w:pPr>
            <w:r>
              <w:rPr>
                <w:rFonts w:hint="eastAsia" w:ascii="黑体" w:hAnsi="黑体" w:eastAsia="黑体" w:cs="宋体"/>
                <w:b/>
                <w:bCs/>
                <w:color w:val="000000" w:themeColor="text1"/>
                <w:kern w:val="0"/>
                <w:sz w:val="36"/>
                <w:szCs w:val="36"/>
                <w14:textFill>
                  <w14:solidFill>
                    <w14:schemeClr w14:val="tx1"/>
                  </w14:solidFill>
                </w14:textFill>
              </w:rPr>
              <w:t>项目支出绩效目标完成情况表</w:t>
            </w:r>
            <w:r>
              <w:rPr>
                <w:rFonts w:hint="eastAsia" w:ascii="宋体" w:hAnsi="宋体" w:cs="宋体"/>
                <w:b/>
                <w:bCs/>
                <w:color w:val="000000" w:themeColor="text1"/>
                <w:kern w:val="0"/>
                <w:sz w:val="36"/>
                <w:szCs w:val="36"/>
                <w14:textFill>
                  <w14:solidFill>
                    <w14:schemeClr w14:val="tx1"/>
                  </w14:solidFill>
                </w14:textFill>
              </w:rPr>
              <w:br w:type="textWrapping"/>
            </w:r>
            <w:r>
              <w:rPr>
                <w:rFonts w:hint="eastAsia" w:ascii="宋体" w:hAnsi="宋体" w:cs="宋体"/>
                <w:b/>
                <w:color w:val="000000" w:themeColor="text1"/>
                <w:kern w:val="0"/>
                <w:sz w:val="36"/>
                <w:szCs w:val="36"/>
                <w14:textFill>
                  <w14:solidFill>
                    <w14:schemeClr w14:val="tx1"/>
                  </w14:solidFill>
                </w14:textFill>
              </w:rPr>
              <w:t>(2018 年度)</w:t>
            </w:r>
          </w:p>
        </w:tc>
      </w:tr>
      <w:tr>
        <w:tblPrEx>
          <w:tblCellMar>
            <w:top w:w="0" w:type="dxa"/>
            <w:left w:w="0" w:type="dxa"/>
            <w:bottom w:w="0" w:type="dxa"/>
            <w:right w:w="0" w:type="dxa"/>
          </w:tblCellMar>
        </w:tblPrEx>
        <w:trPr>
          <w:trHeight w:val="230" w:hRule="atLeast"/>
        </w:trPr>
        <w:tc>
          <w:tcPr>
            <w:tcW w:w="279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项目名称</w:t>
            </w:r>
          </w:p>
        </w:tc>
        <w:tc>
          <w:tcPr>
            <w:tcW w:w="722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淘汰落后和过剩产能项目</w:t>
            </w:r>
          </w:p>
        </w:tc>
      </w:tr>
      <w:tr>
        <w:tblPrEx>
          <w:tblCellMar>
            <w:top w:w="0" w:type="dxa"/>
            <w:left w:w="0" w:type="dxa"/>
            <w:bottom w:w="0" w:type="dxa"/>
            <w:right w:w="0" w:type="dxa"/>
          </w:tblCellMar>
        </w:tblPrEx>
        <w:trPr>
          <w:trHeight w:val="230" w:hRule="atLeast"/>
        </w:trPr>
        <w:tc>
          <w:tcPr>
            <w:tcW w:w="279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预算单位</w:t>
            </w:r>
          </w:p>
        </w:tc>
        <w:tc>
          <w:tcPr>
            <w:tcW w:w="722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利州区经济信息化和科学技术局</w:t>
            </w:r>
          </w:p>
        </w:tc>
      </w:tr>
      <w:tr>
        <w:tblPrEx>
          <w:tblCellMar>
            <w:top w:w="0" w:type="dxa"/>
            <w:left w:w="0" w:type="dxa"/>
            <w:bottom w:w="0" w:type="dxa"/>
            <w:right w:w="0" w:type="dxa"/>
          </w:tblCellMar>
        </w:tblPrEx>
        <w:trPr>
          <w:trHeight w:val="230" w:hRule="atLeast"/>
        </w:trPr>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预算执行情况(万元)</w:t>
            </w:r>
          </w:p>
        </w:tc>
        <w:tc>
          <w:tcPr>
            <w:tcW w:w="221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预算数:</w:t>
            </w:r>
          </w:p>
        </w:tc>
        <w:tc>
          <w:tcPr>
            <w:tcW w:w="263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p>
        </w:tc>
        <w:tc>
          <w:tcPr>
            <w:tcW w:w="217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执行数:</w:t>
            </w:r>
          </w:p>
        </w:tc>
        <w:tc>
          <w:tcPr>
            <w:tcW w:w="24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20</w:t>
            </w:r>
          </w:p>
        </w:tc>
      </w:tr>
      <w:tr>
        <w:tblPrEx>
          <w:tblCellMar>
            <w:top w:w="0" w:type="dxa"/>
            <w:left w:w="0" w:type="dxa"/>
            <w:bottom w:w="0" w:type="dxa"/>
            <w:right w:w="0" w:type="dxa"/>
          </w:tblCellMar>
        </w:tblPrEx>
        <w:trPr>
          <w:trHeight w:val="230"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color w:val="000000" w:themeColor="text1"/>
                <w:sz w:val="24"/>
                <w14:textFill>
                  <w14:solidFill>
                    <w14:schemeClr w14:val="tx1"/>
                  </w14:solidFill>
                </w14:textFill>
              </w:rPr>
            </w:pPr>
          </w:p>
        </w:tc>
        <w:tc>
          <w:tcPr>
            <w:tcW w:w="221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其中-财政拨款:</w:t>
            </w:r>
          </w:p>
        </w:tc>
        <w:tc>
          <w:tcPr>
            <w:tcW w:w="263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p>
        </w:tc>
        <w:tc>
          <w:tcPr>
            <w:tcW w:w="217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其中-财政拨款:</w:t>
            </w:r>
          </w:p>
        </w:tc>
        <w:tc>
          <w:tcPr>
            <w:tcW w:w="24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20</w:t>
            </w:r>
          </w:p>
        </w:tc>
      </w:tr>
      <w:tr>
        <w:tblPrEx>
          <w:tblCellMar>
            <w:top w:w="0" w:type="dxa"/>
            <w:left w:w="0" w:type="dxa"/>
            <w:bottom w:w="0" w:type="dxa"/>
            <w:right w:w="0" w:type="dxa"/>
          </w:tblCellMar>
        </w:tblPrEx>
        <w:trPr>
          <w:trHeight w:val="873"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color w:val="000000" w:themeColor="text1"/>
                <w:sz w:val="24"/>
                <w14:textFill>
                  <w14:solidFill>
                    <w14:schemeClr w14:val="tx1"/>
                  </w14:solidFill>
                </w14:textFill>
              </w:rPr>
            </w:pPr>
          </w:p>
        </w:tc>
        <w:tc>
          <w:tcPr>
            <w:tcW w:w="221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其它资金:</w:t>
            </w:r>
          </w:p>
        </w:tc>
        <w:tc>
          <w:tcPr>
            <w:tcW w:w="263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0</w:t>
            </w:r>
          </w:p>
        </w:tc>
        <w:tc>
          <w:tcPr>
            <w:tcW w:w="217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其它资金:</w:t>
            </w:r>
          </w:p>
        </w:tc>
        <w:tc>
          <w:tcPr>
            <w:tcW w:w="24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0</w:t>
            </w:r>
          </w:p>
        </w:tc>
      </w:tr>
      <w:tr>
        <w:tblPrEx>
          <w:tblCellMar>
            <w:top w:w="0" w:type="dxa"/>
            <w:left w:w="0" w:type="dxa"/>
            <w:bottom w:w="0" w:type="dxa"/>
            <w:right w:w="0" w:type="dxa"/>
          </w:tblCellMar>
        </w:tblPrEx>
        <w:trPr>
          <w:trHeight w:val="230" w:hRule="atLeast"/>
        </w:trPr>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年度目标完成情况</w:t>
            </w:r>
          </w:p>
        </w:tc>
        <w:tc>
          <w:tcPr>
            <w:tcW w:w="485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预期目标</w:t>
            </w:r>
          </w:p>
        </w:tc>
        <w:tc>
          <w:tcPr>
            <w:tcW w:w="45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实际完成目标</w:t>
            </w:r>
          </w:p>
        </w:tc>
      </w:tr>
      <w:tr>
        <w:tblPrEx>
          <w:tblCellMar>
            <w:top w:w="0" w:type="dxa"/>
            <w:left w:w="0" w:type="dxa"/>
            <w:bottom w:w="0" w:type="dxa"/>
            <w:right w:w="0" w:type="dxa"/>
          </w:tblCellMar>
        </w:tblPrEx>
        <w:trPr>
          <w:trHeight w:val="966"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color w:val="000000" w:themeColor="text1"/>
                <w:sz w:val="24"/>
                <w14:textFill>
                  <w14:solidFill>
                    <w14:schemeClr w14:val="tx1"/>
                  </w14:solidFill>
                </w14:textFill>
              </w:rPr>
            </w:pPr>
          </w:p>
        </w:tc>
        <w:tc>
          <w:tcPr>
            <w:tcW w:w="485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b/>
                <w:color w:val="000000" w:themeColor="text1"/>
                <w:sz w:val="24"/>
                <w14:textFill>
                  <w14:solidFill>
                    <w14:schemeClr w14:val="tx1"/>
                  </w14:solidFill>
                </w14:textFill>
              </w:rPr>
            </w:pPr>
            <w:r>
              <w:rPr>
                <w:rStyle w:val="25"/>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帆舟食品成淘汰非标苕皮成型蒸煮灶生产线七条、苕皮输送线一条、巴氏杀菌流水线1条、DZ600/24SA真空包装机4台等配套设备；金山食品淘汰琥珀桃仁生产线1条，冷却塔2台、6T-430杀菌釜1台、300L夹层锅5个、ZK-3C2制冷压缩机1台、Z-0.17/7-C空压机1台、WO36/8空压机1台、LHC1-0.69锅炉1台、TF-X-355M-6三相同步发电机1台、6160A-8柴油机1台。</w:t>
            </w:r>
          </w:p>
        </w:tc>
        <w:tc>
          <w:tcPr>
            <w:tcW w:w="45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b/>
                <w:color w:val="000000" w:themeColor="text1"/>
                <w:sz w:val="24"/>
                <w14:textFill>
                  <w14:solidFill>
                    <w14:schemeClr w14:val="tx1"/>
                  </w14:solidFill>
                </w14:textFill>
              </w:rPr>
            </w:pPr>
            <w:r>
              <w:rPr>
                <w:rStyle w:val="25"/>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帆舟食品已完成淘汰非标苕皮成型蒸煮灶生产线七条、苕皮输送线一条、巴氏杀菌流水线1条、DZ600/24SA真空包装机4台等配套设备；金山食品已完成淘汰琥珀桃仁生产线1条，冷却塔2台、6T-430杀菌釜1台、300L夹层锅5个、ZK-3C2制冷压缩机1台、Z-0.17/7-C空压机1台、WO36/8空压机1台、LHC1-0.69锅炉1台、TF-X-355M-6三相同步发电机1台、6160A-8柴油机1台。</w:t>
            </w:r>
          </w:p>
        </w:tc>
      </w:tr>
      <w:tr>
        <w:tblPrEx>
          <w:tblCellMar>
            <w:top w:w="0" w:type="dxa"/>
            <w:left w:w="0" w:type="dxa"/>
            <w:bottom w:w="0" w:type="dxa"/>
            <w:right w:w="0" w:type="dxa"/>
          </w:tblCellMar>
        </w:tblPrEx>
        <w:trPr>
          <w:trHeight w:val="869" w:hRule="atLeast"/>
        </w:trPr>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绩效指标完成情况</w:t>
            </w:r>
          </w:p>
        </w:tc>
        <w:tc>
          <w:tcPr>
            <w:tcW w:w="11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一级指标</w:t>
            </w:r>
          </w:p>
        </w:tc>
        <w:tc>
          <w:tcPr>
            <w:tcW w:w="10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二级指标</w:t>
            </w:r>
          </w:p>
        </w:tc>
        <w:tc>
          <w:tcPr>
            <w:tcW w:w="263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三级指标</w:t>
            </w:r>
          </w:p>
        </w:tc>
        <w:tc>
          <w:tcPr>
            <w:tcW w:w="217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预期指标值(包含数字及文字描述)</w:t>
            </w:r>
          </w:p>
        </w:tc>
        <w:tc>
          <w:tcPr>
            <w:tcW w:w="24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实际完成指标值(包含数字及文字描述)</w:t>
            </w:r>
          </w:p>
        </w:tc>
      </w:tr>
      <w:tr>
        <w:tblPrEx>
          <w:tblCellMar>
            <w:top w:w="0" w:type="dxa"/>
            <w:left w:w="0" w:type="dxa"/>
            <w:bottom w:w="0" w:type="dxa"/>
            <w:right w:w="0" w:type="dxa"/>
          </w:tblCellMar>
        </w:tblPrEx>
        <w:trPr>
          <w:trHeight w:val="795"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color w:val="000000" w:themeColor="text1"/>
                <w:sz w:val="24"/>
                <w14:textFill>
                  <w14:solidFill>
                    <w14:schemeClr w14:val="tx1"/>
                  </w14:solidFill>
                </w14:textFill>
              </w:rPr>
            </w:pPr>
          </w:p>
        </w:tc>
        <w:tc>
          <w:tcPr>
            <w:tcW w:w="11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项目完成指标</w:t>
            </w:r>
          </w:p>
        </w:tc>
        <w:tc>
          <w:tcPr>
            <w:tcW w:w="10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数量指标</w:t>
            </w:r>
          </w:p>
        </w:tc>
        <w:tc>
          <w:tcPr>
            <w:tcW w:w="263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p>
        </w:tc>
        <w:tc>
          <w:tcPr>
            <w:tcW w:w="217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按项目申报内容完成目标</w:t>
            </w:r>
          </w:p>
        </w:tc>
        <w:tc>
          <w:tcPr>
            <w:tcW w:w="24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指标完成</w:t>
            </w:r>
          </w:p>
        </w:tc>
      </w:tr>
      <w:tr>
        <w:tblPrEx>
          <w:tblCellMar>
            <w:top w:w="0" w:type="dxa"/>
            <w:left w:w="0" w:type="dxa"/>
            <w:bottom w:w="0" w:type="dxa"/>
            <w:right w:w="0" w:type="dxa"/>
          </w:tblCellMar>
        </w:tblPrEx>
        <w:trPr>
          <w:trHeight w:val="866"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color w:val="000000" w:themeColor="text1"/>
                <w:sz w:val="24"/>
                <w14:textFill>
                  <w14:solidFill>
                    <w14:schemeClr w14:val="tx1"/>
                  </w14:solidFill>
                </w14:textFill>
              </w:rPr>
            </w:pPr>
          </w:p>
        </w:tc>
        <w:tc>
          <w:tcPr>
            <w:tcW w:w="11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项目完成指标</w:t>
            </w:r>
          </w:p>
        </w:tc>
        <w:tc>
          <w:tcPr>
            <w:tcW w:w="10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质量指标</w:t>
            </w:r>
          </w:p>
        </w:tc>
        <w:tc>
          <w:tcPr>
            <w:tcW w:w="263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p>
        </w:tc>
        <w:tc>
          <w:tcPr>
            <w:tcW w:w="217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按照相关淘汰落后产能政策完成指标</w:t>
            </w:r>
          </w:p>
        </w:tc>
        <w:tc>
          <w:tcPr>
            <w:tcW w:w="24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指标完成</w:t>
            </w:r>
          </w:p>
        </w:tc>
      </w:tr>
      <w:tr>
        <w:tblPrEx>
          <w:tblCellMar>
            <w:top w:w="0" w:type="dxa"/>
            <w:left w:w="0" w:type="dxa"/>
            <w:bottom w:w="0" w:type="dxa"/>
            <w:right w:w="0" w:type="dxa"/>
          </w:tblCellMar>
        </w:tblPrEx>
        <w:trPr>
          <w:trHeight w:val="869"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color w:val="000000" w:themeColor="text1"/>
                <w:sz w:val="24"/>
                <w14:textFill>
                  <w14:solidFill>
                    <w14:schemeClr w14:val="tx1"/>
                  </w14:solidFill>
                </w14:textFill>
              </w:rPr>
            </w:pPr>
          </w:p>
        </w:tc>
        <w:tc>
          <w:tcPr>
            <w:tcW w:w="11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项目完成指标</w:t>
            </w:r>
          </w:p>
        </w:tc>
        <w:tc>
          <w:tcPr>
            <w:tcW w:w="10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abs>
                <w:tab w:val="left" w:pos="427"/>
              </w:tabs>
              <w:jc w:val="left"/>
              <w:textAlignment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时效指标</w:t>
            </w:r>
          </w:p>
        </w:tc>
        <w:tc>
          <w:tcPr>
            <w:tcW w:w="263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p>
        </w:tc>
        <w:tc>
          <w:tcPr>
            <w:tcW w:w="217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按时间要求完成</w:t>
            </w:r>
          </w:p>
        </w:tc>
        <w:tc>
          <w:tcPr>
            <w:tcW w:w="24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时间进度完成</w:t>
            </w:r>
          </w:p>
        </w:tc>
      </w:tr>
      <w:tr>
        <w:tblPrEx>
          <w:tblCellMar>
            <w:top w:w="0" w:type="dxa"/>
            <w:left w:w="0" w:type="dxa"/>
            <w:bottom w:w="0" w:type="dxa"/>
            <w:right w:w="0" w:type="dxa"/>
          </w:tblCellMar>
        </w:tblPrEx>
        <w:trPr>
          <w:trHeight w:val="869"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color w:val="000000" w:themeColor="text1"/>
                <w:sz w:val="24"/>
                <w14:textFill>
                  <w14:solidFill>
                    <w14:schemeClr w14:val="tx1"/>
                  </w14:solidFill>
                </w14:textFill>
              </w:rPr>
            </w:pPr>
          </w:p>
        </w:tc>
        <w:tc>
          <w:tcPr>
            <w:tcW w:w="11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项目完成指标</w:t>
            </w:r>
          </w:p>
        </w:tc>
        <w:tc>
          <w:tcPr>
            <w:tcW w:w="10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成本指标</w:t>
            </w:r>
          </w:p>
        </w:tc>
        <w:tc>
          <w:tcPr>
            <w:tcW w:w="263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p>
        </w:tc>
        <w:tc>
          <w:tcPr>
            <w:tcW w:w="217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 严格执行资金预算管理</w:t>
            </w:r>
          </w:p>
        </w:tc>
        <w:tc>
          <w:tcPr>
            <w:tcW w:w="24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严格执行资金预算管理</w:t>
            </w:r>
          </w:p>
        </w:tc>
      </w:tr>
      <w:tr>
        <w:tblPrEx>
          <w:tblCellMar>
            <w:top w:w="0" w:type="dxa"/>
            <w:left w:w="0" w:type="dxa"/>
            <w:bottom w:w="0" w:type="dxa"/>
            <w:right w:w="0" w:type="dxa"/>
          </w:tblCellMar>
        </w:tblPrEx>
        <w:trPr>
          <w:trHeight w:val="773"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color w:val="000000" w:themeColor="text1"/>
                <w:sz w:val="24"/>
                <w14:textFill>
                  <w14:solidFill>
                    <w14:schemeClr w14:val="tx1"/>
                  </w14:solidFill>
                </w14:textFill>
              </w:rPr>
            </w:pPr>
          </w:p>
        </w:tc>
        <w:tc>
          <w:tcPr>
            <w:tcW w:w="11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效益指标</w:t>
            </w:r>
          </w:p>
        </w:tc>
        <w:tc>
          <w:tcPr>
            <w:tcW w:w="10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经济指标</w:t>
            </w:r>
          </w:p>
        </w:tc>
        <w:tc>
          <w:tcPr>
            <w:tcW w:w="263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p>
        </w:tc>
        <w:tc>
          <w:tcPr>
            <w:tcW w:w="217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Cs/>
                <w:color w:val="000000" w:themeColor="text1"/>
                <w:sz w:val="24"/>
                <w14:textFill>
                  <w14:solidFill>
                    <w14:schemeClr w14:val="tx1"/>
                  </w14:solidFill>
                </w14:textFill>
              </w:rPr>
            </w:pPr>
          </w:p>
        </w:tc>
        <w:tc>
          <w:tcPr>
            <w:tcW w:w="24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p>
        </w:tc>
      </w:tr>
      <w:tr>
        <w:tblPrEx>
          <w:tblCellMar>
            <w:top w:w="0" w:type="dxa"/>
            <w:left w:w="0" w:type="dxa"/>
            <w:bottom w:w="0" w:type="dxa"/>
            <w:right w:w="0" w:type="dxa"/>
          </w:tblCellMar>
        </w:tblPrEx>
        <w:trPr>
          <w:trHeight w:val="1081"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color w:val="000000" w:themeColor="text1"/>
                <w:sz w:val="24"/>
                <w14:textFill>
                  <w14:solidFill>
                    <w14:schemeClr w14:val="tx1"/>
                  </w14:solidFill>
                </w14:textFill>
              </w:rPr>
            </w:pPr>
          </w:p>
        </w:tc>
        <w:tc>
          <w:tcPr>
            <w:tcW w:w="11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效益指标</w:t>
            </w:r>
          </w:p>
        </w:tc>
        <w:tc>
          <w:tcPr>
            <w:tcW w:w="10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社会指标</w:t>
            </w:r>
          </w:p>
        </w:tc>
        <w:tc>
          <w:tcPr>
            <w:tcW w:w="263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p>
        </w:tc>
        <w:tc>
          <w:tcPr>
            <w:tcW w:w="217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p>
        </w:tc>
        <w:tc>
          <w:tcPr>
            <w:tcW w:w="24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p>
        </w:tc>
      </w:tr>
      <w:tr>
        <w:tblPrEx>
          <w:tblCellMar>
            <w:top w:w="0" w:type="dxa"/>
            <w:left w:w="0" w:type="dxa"/>
            <w:bottom w:w="0" w:type="dxa"/>
            <w:right w:w="0" w:type="dxa"/>
          </w:tblCellMar>
        </w:tblPrEx>
        <w:trPr>
          <w:trHeight w:val="876"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color w:val="000000" w:themeColor="text1"/>
                <w:sz w:val="24"/>
                <w14:textFill>
                  <w14:solidFill>
                    <w14:schemeClr w14:val="tx1"/>
                  </w14:solidFill>
                </w14:textFill>
              </w:rPr>
            </w:pPr>
          </w:p>
        </w:tc>
        <w:tc>
          <w:tcPr>
            <w:tcW w:w="11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满意度指标</w:t>
            </w:r>
          </w:p>
        </w:tc>
        <w:tc>
          <w:tcPr>
            <w:tcW w:w="10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p>
        </w:tc>
        <w:tc>
          <w:tcPr>
            <w:tcW w:w="263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p>
        </w:tc>
        <w:tc>
          <w:tcPr>
            <w:tcW w:w="217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淘汰落后产能，净化企业环境</w:t>
            </w:r>
          </w:p>
        </w:tc>
        <w:tc>
          <w:tcPr>
            <w:tcW w:w="24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使企业生产线更先进</w:t>
            </w:r>
          </w:p>
        </w:tc>
      </w:tr>
    </w:tbl>
    <w:p>
      <w:pPr>
        <w:spacing w:line="600" w:lineRule="exact"/>
        <w:ind w:firstLine="2640" w:firstLineChars="600"/>
        <w:outlineLvl w:val="0"/>
        <w:rPr>
          <w:rFonts w:ascii="黑体" w:hAnsi="黑体" w:eastAsia="黑体"/>
          <w:bCs/>
          <w:kern w:val="44"/>
          <w:sz w:val="44"/>
          <w:szCs w:val="44"/>
        </w:rPr>
      </w:pPr>
      <w:r>
        <w:rPr>
          <w:rFonts w:hint="eastAsia" w:ascii="黑体" w:hAnsi="黑体" w:eastAsia="黑体"/>
          <w:color w:val="000000"/>
          <w:sz w:val="44"/>
          <w:szCs w:val="44"/>
        </w:rPr>
        <w:t>第</w:t>
      </w:r>
      <w:r>
        <w:rPr>
          <w:rStyle w:val="24"/>
          <w:rFonts w:hint="eastAsia" w:ascii="黑体" w:hAnsi="黑体" w:eastAsia="黑体"/>
          <w:b w:val="0"/>
        </w:rPr>
        <w:t>五部分 附表</w:t>
      </w:r>
      <w:bookmarkEnd w:id="58"/>
      <w:bookmarkEnd w:id="62"/>
    </w:p>
    <w:p>
      <w:pPr>
        <w:pStyle w:val="3"/>
        <w:rPr>
          <w:rFonts w:ascii="仿宋" w:hAnsi="仿宋" w:eastAsia="仿宋"/>
          <w:color w:val="000000"/>
        </w:rPr>
      </w:pPr>
      <w:bookmarkStart w:id="63"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3"/>
    </w:p>
    <w:p>
      <w:pPr>
        <w:pStyle w:val="3"/>
        <w:rPr>
          <w:rFonts w:ascii="仿宋" w:hAnsi="仿宋" w:eastAsia="仿宋"/>
          <w:color w:val="000000"/>
        </w:rPr>
      </w:pPr>
      <w:bookmarkStart w:id="64" w:name="_Toc15396620"/>
      <w:r>
        <w:rPr>
          <w:rFonts w:hint="eastAsia" w:ascii="仿宋" w:hAnsi="仿宋" w:eastAsia="仿宋"/>
          <w:b w:val="0"/>
          <w:color w:val="000000"/>
        </w:rPr>
        <w:t>二、收</w:t>
      </w:r>
      <w:r>
        <w:rPr>
          <w:rStyle w:val="25"/>
          <w:rFonts w:hint="eastAsia" w:ascii="仿宋" w:hAnsi="仿宋" w:eastAsia="仿宋"/>
          <w:b w:val="0"/>
          <w:bCs w:val="0"/>
        </w:rPr>
        <w:t>入总表</w:t>
      </w:r>
      <w:bookmarkEnd w:id="64"/>
    </w:p>
    <w:p>
      <w:pPr>
        <w:pStyle w:val="3"/>
        <w:rPr>
          <w:rFonts w:ascii="仿宋" w:hAnsi="仿宋" w:eastAsia="仿宋"/>
          <w:color w:val="000000"/>
        </w:rPr>
      </w:pPr>
      <w:bookmarkStart w:id="65"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bookmarkEnd w:id="65"/>
    </w:p>
    <w:p>
      <w:pPr>
        <w:pStyle w:val="3"/>
        <w:rPr>
          <w:rFonts w:ascii="仿宋" w:hAnsi="仿宋" w:eastAsia="仿宋"/>
          <w:b w:val="0"/>
          <w:color w:val="000000"/>
        </w:rPr>
      </w:pPr>
      <w:bookmarkStart w:id="66"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6"/>
    </w:p>
    <w:p>
      <w:pPr>
        <w:pStyle w:val="3"/>
        <w:rPr>
          <w:rFonts w:ascii="仿宋" w:hAnsi="仿宋" w:eastAsia="仿宋"/>
          <w:color w:val="000000"/>
        </w:rPr>
      </w:pPr>
      <w:bookmarkStart w:id="67"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67"/>
    </w:p>
    <w:p>
      <w:pPr>
        <w:pStyle w:val="3"/>
        <w:rPr>
          <w:rFonts w:ascii="仿宋" w:hAnsi="仿宋" w:eastAsia="仿宋"/>
          <w:color w:val="000000"/>
        </w:rPr>
      </w:pPr>
      <w:bookmarkStart w:id="68" w:name="_Toc15396624"/>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8"/>
    </w:p>
    <w:p>
      <w:pPr>
        <w:pStyle w:val="3"/>
        <w:rPr>
          <w:rFonts w:ascii="仿宋" w:hAnsi="仿宋" w:eastAsia="仿宋"/>
          <w:color w:val="000000"/>
        </w:rPr>
      </w:pPr>
      <w:bookmarkStart w:id="69"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9"/>
    </w:p>
    <w:p>
      <w:pPr>
        <w:pStyle w:val="3"/>
        <w:rPr>
          <w:rFonts w:ascii="仿宋" w:hAnsi="仿宋" w:eastAsia="仿宋"/>
          <w:color w:val="000000"/>
        </w:rPr>
      </w:pPr>
      <w:bookmarkStart w:id="70"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70"/>
    </w:p>
    <w:p>
      <w:pPr>
        <w:pStyle w:val="3"/>
        <w:rPr>
          <w:rFonts w:ascii="仿宋" w:hAnsi="仿宋" w:eastAsia="仿宋"/>
          <w:color w:val="000000"/>
        </w:rPr>
      </w:pPr>
      <w:bookmarkStart w:id="71"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71"/>
    </w:p>
    <w:p>
      <w:pPr>
        <w:pStyle w:val="3"/>
        <w:rPr>
          <w:rFonts w:ascii="仿宋" w:hAnsi="仿宋" w:eastAsia="仿宋"/>
          <w:color w:val="000000"/>
        </w:rPr>
      </w:pPr>
      <w:bookmarkStart w:id="72"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72"/>
    </w:p>
    <w:p>
      <w:pPr>
        <w:pStyle w:val="3"/>
        <w:rPr>
          <w:rFonts w:ascii="仿宋" w:hAnsi="仿宋" w:eastAsia="仿宋"/>
          <w:color w:val="000000"/>
        </w:rPr>
      </w:pPr>
      <w:bookmarkStart w:id="73"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3"/>
    </w:p>
    <w:p>
      <w:pPr>
        <w:pStyle w:val="3"/>
        <w:rPr>
          <w:rFonts w:ascii="仿宋" w:hAnsi="仿宋" w:eastAsia="仿宋"/>
          <w:color w:val="000000"/>
        </w:rPr>
      </w:pPr>
      <w:bookmarkStart w:id="74"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4"/>
    </w:p>
    <w:p>
      <w:pPr>
        <w:pStyle w:val="3"/>
        <w:rPr>
          <w:rFonts w:ascii="仿宋" w:hAnsi="仿宋" w:eastAsia="仿宋"/>
          <w:color w:val="000000" w:themeColor="text1"/>
          <w14:textFill>
            <w14:solidFill>
              <w14:schemeClr w14:val="tx1"/>
            </w14:solidFill>
          </w14:textFill>
        </w:rPr>
      </w:pPr>
      <w:bookmarkStart w:id="75"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5"/>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Lucida Sans">
    <w:panose1 w:val="020B0602030504020204"/>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4</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937A89"/>
    <w:multiLevelType w:val="singleLevel"/>
    <w:tmpl w:val="98937A89"/>
    <w:lvl w:ilvl="0" w:tentative="0">
      <w:start w:val="3"/>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4">
    <w:nsid w:val="FBCD32BB"/>
    <w:multiLevelType w:val="singleLevel"/>
    <w:tmpl w:val="FBCD32BB"/>
    <w:lvl w:ilvl="0" w:tentative="0">
      <w:start w:val="3"/>
      <w:numFmt w:val="chineseCounting"/>
      <w:suff w:val="nothing"/>
      <w:lvlText w:val="%1、"/>
      <w:lvlJc w:val="left"/>
      <w:rPr>
        <w:rFonts w:hint="eastAsia"/>
      </w:r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4B003C7E"/>
    <w:multiLevelType w:val="singleLevel"/>
    <w:tmpl w:val="4B003C7E"/>
    <w:lvl w:ilvl="0" w:tentative="0">
      <w:start w:val="2"/>
      <w:numFmt w:val="decimal"/>
      <w:suff w:val="nothing"/>
      <w:lvlText w:val="%1、"/>
      <w:lvlJc w:val="left"/>
    </w:lvl>
  </w:abstractNum>
  <w:abstractNum w:abstractNumId="7">
    <w:nsid w:val="6BA2CFBD"/>
    <w:multiLevelType w:val="singleLevel"/>
    <w:tmpl w:val="6BA2CFBD"/>
    <w:lvl w:ilvl="0" w:tentative="0">
      <w:start w:val="2"/>
      <w:numFmt w:val="chineseCounting"/>
      <w:suff w:val="nothing"/>
      <w:lvlText w:val="（%1）"/>
      <w:lvlJc w:val="left"/>
      <w:rPr>
        <w:rFonts w:hint="eastAsia"/>
      </w:rPr>
    </w:lvl>
  </w:abstractNum>
  <w:num w:numId="1">
    <w:abstractNumId w:val="5"/>
  </w:num>
  <w:num w:numId="2">
    <w:abstractNumId w:val="1"/>
  </w:num>
  <w:num w:numId="3">
    <w:abstractNumId w:val="3"/>
  </w:num>
  <w:num w:numId="4">
    <w:abstractNumId w:val="2"/>
  </w:num>
  <w:num w:numId="5">
    <w:abstractNumId w:val="6"/>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2A3"/>
    <w:rsid w:val="00065F8F"/>
    <w:rsid w:val="000768F2"/>
    <w:rsid w:val="0009184B"/>
    <w:rsid w:val="0009593C"/>
    <w:rsid w:val="000B047F"/>
    <w:rsid w:val="000B5923"/>
    <w:rsid w:val="000B5A48"/>
    <w:rsid w:val="000B6FF3"/>
    <w:rsid w:val="000C1F24"/>
    <w:rsid w:val="000C3467"/>
    <w:rsid w:val="000C3CA6"/>
    <w:rsid w:val="000C6552"/>
    <w:rsid w:val="000D1267"/>
    <w:rsid w:val="000D1D50"/>
    <w:rsid w:val="000D22BE"/>
    <w:rsid w:val="000D5782"/>
    <w:rsid w:val="000E6613"/>
    <w:rsid w:val="000E7119"/>
    <w:rsid w:val="000F0BB8"/>
    <w:rsid w:val="00114E9B"/>
    <w:rsid w:val="0013524F"/>
    <w:rsid w:val="0014729F"/>
    <w:rsid w:val="00157BAB"/>
    <w:rsid w:val="001654D1"/>
    <w:rsid w:val="00177A2E"/>
    <w:rsid w:val="0018106D"/>
    <w:rsid w:val="001877A7"/>
    <w:rsid w:val="00191536"/>
    <w:rsid w:val="00196687"/>
    <w:rsid w:val="001C0962"/>
    <w:rsid w:val="001D1723"/>
    <w:rsid w:val="001D7531"/>
    <w:rsid w:val="001E4BEB"/>
    <w:rsid w:val="001E737D"/>
    <w:rsid w:val="001F0592"/>
    <w:rsid w:val="001F673A"/>
    <w:rsid w:val="001F7506"/>
    <w:rsid w:val="002006CD"/>
    <w:rsid w:val="00202B36"/>
    <w:rsid w:val="00204B7A"/>
    <w:rsid w:val="0021101A"/>
    <w:rsid w:val="00220536"/>
    <w:rsid w:val="00226F83"/>
    <w:rsid w:val="002344B6"/>
    <w:rsid w:val="00235629"/>
    <w:rsid w:val="00243193"/>
    <w:rsid w:val="00260C38"/>
    <w:rsid w:val="002616C0"/>
    <w:rsid w:val="002662AA"/>
    <w:rsid w:val="00280496"/>
    <w:rsid w:val="00295495"/>
    <w:rsid w:val="002B2613"/>
    <w:rsid w:val="002C1A39"/>
    <w:rsid w:val="002F1818"/>
    <w:rsid w:val="002F567B"/>
    <w:rsid w:val="003015FE"/>
    <w:rsid w:val="00301687"/>
    <w:rsid w:val="003216A9"/>
    <w:rsid w:val="0037013F"/>
    <w:rsid w:val="00380C92"/>
    <w:rsid w:val="003A174B"/>
    <w:rsid w:val="003A484F"/>
    <w:rsid w:val="003A4B37"/>
    <w:rsid w:val="003B0BE0"/>
    <w:rsid w:val="003B0C1B"/>
    <w:rsid w:val="003B3D27"/>
    <w:rsid w:val="003B688C"/>
    <w:rsid w:val="003C0291"/>
    <w:rsid w:val="003C39AE"/>
    <w:rsid w:val="003C7B60"/>
    <w:rsid w:val="003D1FB2"/>
    <w:rsid w:val="003D66DA"/>
    <w:rsid w:val="003E1310"/>
    <w:rsid w:val="003E31D1"/>
    <w:rsid w:val="003E5638"/>
    <w:rsid w:val="003E60E5"/>
    <w:rsid w:val="003E6F55"/>
    <w:rsid w:val="00406254"/>
    <w:rsid w:val="0041275E"/>
    <w:rsid w:val="004223DE"/>
    <w:rsid w:val="00434489"/>
    <w:rsid w:val="00437085"/>
    <w:rsid w:val="00443880"/>
    <w:rsid w:val="004464F4"/>
    <w:rsid w:val="00471401"/>
    <w:rsid w:val="00473F31"/>
    <w:rsid w:val="0048263A"/>
    <w:rsid w:val="00487E5D"/>
    <w:rsid w:val="004A711F"/>
    <w:rsid w:val="004B199D"/>
    <w:rsid w:val="004B4690"/>
    <w:rsid w:val="004D1330"/>
    <w:rsid w:val="004E0A2D"/>
    <w:rsid w:val="004E206B"/>
    <w:rsid w:val="004E6DF7"/>
    <w:rsid w:val="004F0FBD"/>
    <w:rsid w:val="00505A47"/>
    <w:rsid w:val="00512FDA"/>
    <w:rsid w:val="00520DA0"/>
    <w:rsid w:val="005664BB"/>
    <w:rsid w:val="0057073A"/>
    <w:rsid w:val="005711BF"/>
    <w:rsid w:val="0057481D"/>
    <w:rsid w:val="0058486E"/>
    <w:rsid w:val="00590285"/>
    <w:rsid w:val="005B33D4"/>
    <w:rsid w:val="005B3F66"/>
    <w:rsid w:val="005C3B33"/>
    <w:rsid w:val="005C5B1D"/>
    <w:rsid w:val="005D1C8B"/>
    <w:rsid w:val="005D5CED"/>
    <w:rsid w:val="005F1A4C"/>
    <w:rsid w:val="00605688"/>
    <w:rsid w:val="006070AF"/>
    <w:rsid w:val="00607E6C"/>
    <w:rsid w:val="006101B1"/>
    <w:rsid w:val="00614E44"/>
    <w:rsid w:val="00622830"/>
    <w:rsid w:val="00630AEF"/>
    <w:rsid w:val="006325F8"/>
    <w:rsid w:val="00634C9A"/>
    <w:rsid w:val="00642A42"/>
    <w:rsid w:val="006440E4"/>
    <w:rsid w:val="0066343B"/>
    <w:rsid w:val="006643AD"/>
    <w:rsid w:val="00664777"/>
    <w:rsid w:val="006748A4"/>
    <w:rsid w:val="00683E73"/>
    <w:rsid w:val="00691CEC"/>
    <w:rsid w:val="00696924"/>
    <w:rsid w:val="006A3141"/>
    <w:rsid w:val="006A5E34"/>
    <w:rsid w:val="006B2422"/>
    <w:rsid w:val="006B2B9A"/>
    <w:rsid w:val="006B67FB"/>
    <w:rsid w:val="006C1937"/>
    <w:rsid w:val="006C2356"/>
    <w:rsid w:val="006C5658"/>
    <w:rsid w:val="006C6B72"/>
    <w:rsid w:val="006D4FB8"/>
    <w:rsid w:val="006F020C"/>
    <w:rsid w:val="007127B7"/>
    <w:rsid w:val="007416B6"/>
    <w:rsid w:val="00746F48"/>
    <w:rsid w:val="0075404D"/>
    <w:rsid w:val="0076182A"/>
    <w:rsid w:val="00767B7E"/>
    <w:rsid w:val="007770C3"/>
    <w:rsid w:val="00784D24"/>
    <w:rsid w:val="00785FBA"/>
    <w:rsid w:val="00786E4A"/>
    <w:rsid w:val="007875EB"/>
    <w:rsid w:val="0079426B"/>
    <w:rsid w:val="00795A56"/>
    <w:rsid w:val="007967BD"/>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A2B5B"/>
    <w:rsid w:val="008B768C"/>
    <w:rsid w:val="008C4DB1"/>
    <w:rsid w:val="008C4EAF"/>
    <w:rsid w:val="008C5176"/>
    <w:rsid w:val="008C7FD0"/>
    <w:rsid w:val="008E1DE7"/>
    <w:rsid w:val="008E707C"/>
    <w:rsid w:val="00900B08"/>
    <w:rsid w:val="00902155"/>
    <w:rsid w:val="00902FA3"/>
    <w:rsid w:val="00916801"/>
    <w:rsid w:val="00923564"/>
    <w:rsid w:val="0092392E"/>
    <w:rsid w:val="009315F9"/>
    <w:rsid w:val="00946945"/>
    <w:rsid w:val="00951248"/>
    <w:rsid w:val="0095152F"/>
    <w:rsid w:val="00954C49"/>
    <w:rsid w:val="00963C78"/>
    <w:rsid w:val="00964035"/>
    <w:rsid w:val="0097099F"/>
    <w:rsid w:val="00971997"/>
    <w:rsid w:val="00971FFC"/>
    <w:rsid w:val="0098660A"/>
    <w:rsid w:val="009931C3"/>
    <w:rsid w:val="009A4874"/>
    <w:rsid w:val="009B2C43"/>
    <w:rsid w:val="009B3A9E"/>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38F3"/>
    <w:rsid w:val="00A56DF2"/>
    <w:rsid w:val="00A67AB5"/>
    <w:rsid w:val="00A77A84"/>
    <w:rsid w:val="00A8264A"/>
    <w:rsid w:val="00A91760"/>
    <w:rsid w:val="00A93B00"/>
    <w:rsid w:val="00A93C21"/>
    <w:rsid w:val="00AA46FB"/>
    <w:rsid w:val="00AC3C6A"/>
    <w:rsid w:val="00AC5EAB"/>
    <w:rsid w:val="00AD5620"/>
    <w:rsid w:val="00AD7C1B"/>
    <w:rsid w:val="00AE16BA"/>
    <w:rsid w:val="00AE1EBE"/>
    <w:rsid w:val="00B02F03"/>
    <w:rsid w:val="00B03C9D"/>
    <w:rsid w:val="00B060AE"/>
    <w:rsid w:val="00B10517"/>
    <w:rsid w:val="00B14A0F"/>
    <w:rsid w:val="00B14E76"/>
    <w:rsid w:val="00B161B8"/>
    <w:rsid w:val="00B2048C"/>
    <w:rsid w:val="00B310B9"/>
    <w:rsid w:val="00B35F3F"/>
    <w:rsid w:val="00B36CBB"/>
    <w:rsid w:val="00B425E0"/>
    <w:rsid w:val="00B440AA"/>
    <w:rsid w:val="00B44B70"/>
    <w:rsid w:val="00B51C43"/>
    <w:rsid w:val="00B53C56"/>
    <w:rsid w:val="00B77EA6"/>
    <w:rsid w:val="00B81598"/>
    <w:rsid w:val="00B841F1"/>
    <w:rsid w:val="00B944D6"/>
    <w:rsid w:val="00BB4DF0"/>
    <w:rsid w:val="00BC289F"/>
    <w:rsid w:val="00BC5361"/>
    <w:rsid w:val="00BC5460"/>
    <w:rsid w:val="00BC6B50"/>
    <w:rsid w:val="00BD0E25"/>
    <w:rsid w:val="00BF5BD6"/>
    <w:rsid w:val="00C03E31"/>
    <w:rsid w:val="00C0554E"/>
    <w:rsid w:val="00C20A00"/>
    <w:rsid w:val="00C239DA"/>
    <w:rsid w:val="00C33E72"/>
    <w:rsid w:val="00C354B2"/>
    <w:rsid w:val="00C35554"/>
    <w:rsid w:val="00C42709"/>
    <w:rsid w:val="00C51FE3"/>
    <w:rsid w:val="00C520AB"/>
    <w:rsid w:val="00C533CC"/>
    <w:rsid w:val="00C5751C"/>
    <w:rsid w:val="00C61BFC"/>
    <w:rsid w:val="00C62B85"/>
    <w:rsid w:val="00C65438"/>
    <w:rsid w:val="00C802FE"/>
    <w:rsid w:val="00C82833"/>
    <w:rsid w:val="00C91CBB"/>
    <w:rsid w:val="00C94BE8"/>
    <w:rsid w:val="00CC09B6"/>
    <w:rsid w:val="00CC38FD"/>
    <w:rsid w:val="00CC666F"/>
    <w:rsid w:val="00CD1E3F"/>
    <w:rsid w:val="00CE44F6"/>
    <w:rsid w:val="00CE49DA"/>
    <w:rsid w:val="00CE7B61"/>
    <w:rsid w:val="00D00095"/>
    <w:rsid w:val="00D20620"/>
    <w:rsid w:val="00D26091"/>
    <w:rsid w:val="00D337DA"/>
    <w:rsid w:val="00D34E7C"/>
    <w:rsid w:val="00D35489"/>
    <w:rsid w:val="00D4296D"/>
    <w:rsid w:val="00D51276"/>
    <w:rsid w:val="00D7035F"/>
    <w:rsid w:val="00D96944"/>
    <w:rsid w:val="00DA42F1"/>
    <w:rsid w:val="00DA65AC"/>
    <w:rsid w:val="00DB1913"/>
    <w:rsid w:val="00DB4E77"/>
    <w:rsid w:val="00DC410D"/>
    <w:rsid w:val="00DC68CA"/>
    <w:rsid w:val="00DC7CBA"/>
    <w:rsid w:val="00DD73B7"/>
    <w:rsid w:val="00DF28BC"/>
    <w:rsid w:val="00DF34B9"/>
    <w:rsid w:val="00E01053"/>
    <w:rsid w:val="00E07ACF"/>
    <w:rsid w:val="00E119E2"/>
    <w:rsid w:val="00E331A1"/>
    <w:rsid w:val="00E33202"/>
    <w:rsid w:val="00E336A9"/>
    <w:rsid w:val="00E50624"/>
    <w:rsid w:val="00E568DF"/>
    <w:rsid w:val="00E63CB7"/>
    <w:rsid w:val="00E64269"/>
    <w:rsid w:val="00E82267"/>
    <w:rsid w:val="00EA010F"/>
    <w:rsid w:val="00EB54C7"/>
    <w:rsid w:val="00ED1B63"/>
    <w:rsid w:val="00ED3C1F"/>
    <w:rsid w:val="00ED4085"/>
    <w:rsid w:val="00ED420E"/>
    <w:rsid w:val="00EE2F57"/>
    <w:rsid w:val="00EF4C34"/>
    <w:rsid w:val="00EF77C6"/>
    <w:rsid w:val="00F05438"/>
    <w:rsid w:val="00F06CD0"/>
    <w:rsid w:val="00F1361C"/>
    <w:rsid w:val="00F160C7"/>
    <w:rsid w:val="00F36D8F"/>
    <w:rsid w:val="00F417B1"/>
    <w:rsid w:val="00F602DF"/>
    <w:rsid w:val="00F81FD9"/>
    <w:rsid w:val="00F841AA"/>
    <w:rsid w:val="00FA23E8"/>
    <w:rsid w:val="00FB69F5"/>
    <w:rsid w:val="00FD05E3"/>
    <w:rsid w:val="00FD3CC1"/>
    <w:rsid w:val="00FE223D"/>
    <w:rsid w:val="00FE5DCD"/>
    <w:rsid w:val="00FE77F3"/>
    <w:rsid w:val="00FF1E02"/>
    <w:rsid w:val="00FF30B4"/>
    <w:rsid w:val="10C055FF"/>
    <w:rsid w:val="16BB723D"/>
    <w:rsid w:val="240371BF"/>
    <w:rsid w:val="289C34A3"/>
    <w:rsid w:val="29FD04D3"/>
    <w:rsid w:val="319F7F4E"/>
    <w:rsid w:val="52DB353E"/>
    <w:rsid w:val="62765DA1"/>
    <w:rsid w:val="725637E4"/>
    <w:rsid w:val="8DA93BD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3">
    <w:name w:val="列出段落1"/>
    <w:basedOn w:val="1"/>
    <w:qFormat/>
    <w:uiPriority w:val="99"/>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6032;&#24314;%20Microsoft%20Office%20Excel%20&#24037;&#20316;&#34920;%20(6).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6032;&#24314;%20Microsoft%20Office%20Excel%20&#24037;&#20316;&#34920;%20(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26032;&#24314;%20Microsoft%20Office%20Excel%20&#24037;&#20316;&#34920;%20(7).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6032;&#24314;%20Microsoft%20Office%20Excel%20&#24037;&#20316;&#34920;%20(6).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26032;&#24314;%20Microsoft%20Office%20Excel%20&#24037;&#20316;&#34920;%20(4).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esktop\&#26032;&#24314;%20Microsoft%20Office%20Excel%20&#24037;&#20316;&#34920;%20(4).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istrator\Desktop\&#26032;&#24314;%20Microsoft%20Office%20Excel%20&#24037;&#20316;&#34920;%20(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tru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Sheet1!$C$6</c:f>
              <c:strCache>
                <c:ptCount val="1"/>
                <c:pt idx="0">
                  <c:v>2018年</c:v>
                </c:pt>
              </c:strCache>
            </c:strRef>
          </c:tx>
          <c:invertIfNegative val="false"/>
          <c:dLbls>
            <c:delete val="true"/>
          </c:dLbls>
          <c:cat>
            <c:strRef>
              <c:f>Sheet1!$B$7:$B$8</c:f>
              <c:strCache>
                <c:ptCount val="2"/>
                <c:pt idx="0">
                  <c:v>收入</c:v>
                </c:pt>
                <c:pt idx="1">
                  <c:v>支出</c:v>
                </c:pt>
              </c:strCache>
            </c:strRef>
          </c:cat>
          <c:val>
            <c:numRef>
              <c:f>Sheet1!$C$7:$C$8</c:f>
              <c:numCache>
                <c:formatCode>General</c:formatCode>
                <c:ptCount val="2"/>
                <c:pt idx="0">
                  <c:v>3795.08</c:v>
                </c:pt>
                <c:pt idx="1">
                  <c:v>3495.58</c:v>
                </c:pt>
              </c:numCache>
            </c:numRef>
          </c:val>
        </c:ser>
        <c:ser>
          <c:idx val="1"/>
          <c:order val="1"/>
          <c:tx>
            <c:strRef>
              <c:f>Sheet1!$D$6</c:f>
              <c:strCache>
                <c:ptCount val="1"/>
                <c:pt idx="0">
                  <c:v>2017年</c:v>
                </c:pt>
              </c:strCache>
            </c:strRef>
          </c:tx>
          <c:invertIfNegative val="false"/>
          <c:dLbls>
            <c:delete val="true"/>
          </c:dLbls>
          <c:cat>
            <c:strRef>
              <c:f>Sheet1!$B$7:$B$8</c:f>
              <c:strCache>
                <c:ptCount val="2"/>
                <c:pt idx="0">
                  <c:v>收入</c:v>
                </c:pt>
                <c:pt idx="1">
                  <c:v>支出</c:v>
                </c:pt>
              </c:strCache>
            </c:strRef>
          </c:cat>
          <c:val>
            <c:numRef>
              <c:f>Sheet1!$D$7:$D$8</c:f>
              <c:numCache>
                <c:formatCode>General</c:formatCode>
                <c:ptCount val="2"/>
                <c:pt idx="0">
                  <c:v>3306.13</c:v>
                </c:pt>
                <c:pt idx="1">
                  <c:v>2744.65</c:v>
                </c:pt>
              </c:numCache>
            </c:numRef>
          </c:val>
        </c:ser>
        <c:dLbls>
          <c:showLegendKey val="false"/>
          <c:showVal val="false"/>
          <c:showCatName val="false"/>
          <c:showSerName val="false"/>
          <c:showPercent val="false"/>
          <c:showBubbleSize val="false"/>
        </c:dLbls>
        <c:gapWidth val="150"/>
        <c:axId val="266644864"/>
        <c:axId val="276104320"/>
      </c:barChart>
      <c:catAx>
        <c:axId val="266644864"/>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276104320"/>
        <c:crosses val="autoZero"/>
        <c:auto val="true"/>
        <c:lblAlgn val="ctr"/>
        <c:lblOffset val="100"/>
        <c:noMultiLvlLbl val="false"/>
      </c:catAx>
      <c:valAx>
        <c:axId val="276104320"/>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266644864"/>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tru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explosion val="0"/>
          <c:dPt>
            <c:idx val="0"/>
            <c:bubble3D val="false"/>
          </c:dPt>
          <c:dPt>
            <c:idx val="1"/>
            <c:bubble3D val="false"/>
          </c:dPt>
          <c:dLbls>
            <c:delete val="true"/>
          </c:dLbls>
          <c:cat>
            <c:strRef>
              <c:f>Sheet1!$D$30:$D$31</c:f>
              <c:strCache>
                <c:ptCount val="2"/>
                <c:pt idx="0">
                  <c:v>一般公共预算财政拨款收入</c:v>
                </c:pt>
                <c:pt idx="1">
                  <c:v>政府性基金预算财政拨款收入</c:v>
                </c:pt>
              </c:strCache>
            </c:strRef>
          </c:cat>
          <c:val>
            <c:numRef>
              <c:f>Sheet1!$E$30:$E$31</c:f>
              <c:numCache>
                <c:formatCode>General</c:formatCode>
                <c:ptCount val="2"/>
                <c:pt idx="0">
                  <c:v>3719.08</c:v>
                </c:pt>
                <c:pt idx="1">
                  <c:v>76</c:v>
                </c:pt>
              </c:numCache>
            </c:numRef>
          </c:val>
        </c:ser>
        <c:dLbls>
          <c:showLegendKey val="false"/>
          <c:showVal val="false"/>
          <c:showCatName val="false"/>
          <c:showSerName val="false"/>
          <c:showPercent val="fals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tru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explosion val="0"/>
          <c:dPt>
            <c:idx val="0"/>
            <c:bubble3D val="false"/>
          </c:dPt>
          <c:dPt>
            <c:idx val="1"/>
            <c:bubble3D val="false"/>
          </c:dPt>
          <c:dLbls>
            <c:delete val="true"/>
          </c:dLbls>
          <c:cat>
            <c:strRef>
              <c:f>Sheet1!$D$6:$D$7</c:f>
              <c:strCache>
                <c:ptCount val="2"/>
                <c:pt idx="0">
                  <c:v>基本支出</c:v>
                </c:pt>
                <c:pt idx="1">
                  <c:v>项目支出</c:v>
                </c:pt>
              </c:strCache>
            </c:strRef>
          </c:cat>
          <c:val>
            <c:numRef>
              <c:f>Sheet1!$E$6:$E$7</c:f>
              <c:numCache>
                <c:formatCode>General</c:formatCode>
                <c:ptCount val="2"/>
                <c:pt idx="0">
                  <c:v>469.84</c:v>
                </c:pt>
                <c:pt idx="1">
                  <c:v>3025.74</c:v>
                </c:pt>
              </c:numCache>
            </c:numRef>
          </c:val>
        </c:ser>
        <c:dLbls>
          <c:showLegendKey val="false"/>
          <c:showVal val="false"/>
          <c:showCatName val="false"/>
          <c:showSerName val="false"/>
          <c:showPercent val="fals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tru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Sheet1!$C$6</c:f>
              <c:strCache>
                <c:ptCount val="1"/>
                <c:pt idx="0">
                  <c:v>2018年</c:v>
                </c:pt>
              </c:strCache>
            </c:strRef>
          </c:tx>
          <c:invertIfNegative val="false"/>
          <c:dLbls>
            <c:delete val="true"/>
          </c:dLbls>
          <c:cat>
            <c:strRef>
              <c:f>Sheet1!$B$7:$B$8</c:f>
              <c:strCache>
                <c:ptCount val="2"/>
                <c:pt idx="0">
                  <c:v>收入</c:v>
                </c:pt>
                <c:pt idx="1">
                  <c:v>支出</c:v>
                </c:pt>
              </c:strCache>
            </c:strRef>
          </c:cat>
          <c:val>
            <c:numRef>
              <c:f>Sheet1!$C$7:$C$8</c:f>
              <c:numCache>
                <c:formatCode>General</c:formatCode>
                <c:ptCount val="2"/>
                <c:pt idx="0">
                  <c:v>3795.08</c:v>
                </c:pt>
                <c:pt idx="1">
                  <c:v>3495.58</c:v>
                </c:pt>
              </c:numCache>
            </c:numRef>
          </c:val>
        </c:ser>
        <c:ser>
          <c:idx val="1"/>
          <c:order val="1"/>
          <c:tx>
            <c:strRef>
              <c:f>Sheet1!$D$6</c:f>
              <c:strCache>
                <c:ptCount val="1"/>
                <c:pt idx="0">
                  <c:v>2017年</c:v>
                </c:pt>
              </c:strCache>
            </c:strRef>
          </c:tx>
          <c:invertIfNegative val="false"/>
          <c:dLbls>
            <c:delete val="true"/>
          </c:dLbls>
          <c:cat>
            <c:strRef>
              <c:f>Sheet1!$B$7:$B$8</c:f>
              <c:strCache>
                <c:ptCount val="2"/>
                <c:pt idx="0">
                  <c:v>收入</c:v>
                </c:pt>
                <c:pt idx="1">
                  <c:v>支出</c:v>
                </c:pt>
              </c:strCache>
            </c:strRef>
          </c:cat>
          <c:val>
            <c:numRef>
              <c:f>Sheet1!$D$7:$D$8</c:f>
              <c:numCache>
                <c:formatCode>General</c:formatCode>
                <c:ptCount val="2"/>
                <c:pt idx="0">
                  <c:v>3306.13</c:v>
                </c:pt>
                <c:pt idx="1">
                  <c:v>2744.65</c:v>
                </c:pt>
              </c:numCache>
            </c:numRef>
          </c:val>
        </c:ser>
        <c:dLbls>
          <c:showLegendKey val="false"/>
          <c:showVal val="false"/>
          <c:showCatName val="false"/>
          <c:showSerName val="false"/>
          <c:showPercent val="false"/>
          <c:showBubbleSize val="false"/>
        </c:dLbls>
        <c:gapWidth val="150"/>
        <c:axId val="277528960"/>
        <c:axId val="277530496"/>
      </c:barChart>
      <c:catAx>
        <c:axId val="277528960"/>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277530496"/>
        <c:crosses val="autoZero"/>
        <c:auto val="true"/>
        <c:lblAlgn val="ctr"/>
        <c:lblOffset val="100"/>
        <c:noMultiLvlLbl val="false"/>
      </c:catAx>
      <c:valAx>
        <c:axId val="277530496"/>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277528960"/>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tru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Sheet1!$E$9</c:f>
              <c:strCache>
                <c:ptCount val="1"/>
                <c:pt idx="0">
                  <c:v>2018年</c:v>
                </c:pt>
              </c:strCache>
            </c:strRef>
          </c:tx>
          <c:invertIfNegative val="false"/>
          <c:dLbls>
            <c:delete val="true"/>
          </c:dLbls>
          <c:cat>
            <c:strRef>
              <c:f>Sheet1!$D$10</c:f>
              <c:strCache>
                <c:ptCount val="1"/>
                <c:pt idx="0">
                  <c:v>一般公共预算财政拨款支出</c:v>
                </c:pt>
              </c:strCache>
            </c:strRef>
          </c:cat>
          <c:val>
            <c:numRef>
              <c:f>Sheet1!$E$10</c:f>
              <c:numCache>
                <c:formatCode>General</c:formatCode>
                <c:ptCount val="1"/>
                <c:pt idx="0">
                  <c:v>3495.58</c:v>
                </c:pt>
              </c:numCache>
            </c:numRef>
          </c:val>
        </c:ser>
        <c:ser>
          <c:idx val="1"/>
          <c:order val="1"/>
          <c:tx>
            <c:strRef>
              <c:f>Sheet1!$F$9</c:f>
              <c:strCache>
                <c:ptCount val="1"/>
                <c:pt idx="0">
                  <c:v>2017年</c:v>
                </c:pt>
              </c:strCache>
            </c:strRef>
          </c:tx>
          <c:invertIfNegative val="false"/>
          <c:dLbls>
            <c:delete val="true"/>
          </c:dLbls>
          <c:cat>
            <c:strRef>
              <c:f>Sheet1!$D$10</c:f>
              <c:strCache>
                <c:ptCount val="1"/>
                <c:pt idx="0">
                  <c:v>一般公共预算财政拨款支出</c:v>
                </c:pt>
              </c:strCache>
            </c:strRef>
          </c:cat>
          <c:val>
            <c:numRef>
              <c:f>Sheet1!$F$10</c:f>
              <c:numCache>
                <c:formatCode>General</c:formatCode>
                <c:ptCount val="1"/>
                <c:pt idx="0">
                  <c:v>2774.65</c:v>
                </c:pt>
              </c:numCache>
            </c:numRef>
          </c:val>
        </c:ser>
        <c:dLbls>
          <c:showLegendKey val="false"/>
          <c:showVal val="false"/>
          <c:showCatName val="false"/>
          <c:showSerName val="false"/>
          <c:showPercent val="false"/>
          <c:showBubbleSize val="false"/>
        </c:dLbls>
        <c:gapWidth val="150"/>
        <c:axId val="277072128"/>
        <c:axId val="277090304"/>
      </c:barChart>
      <c:catAx>
        <c:axId val="277072128"/>
        <c:scaling>
          <c:orientation val="minMax"/>
        </c:scaling>
        <c:delete val="false"/>
        <c:axPos val="b"/>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277090304"/>
        <c:crosses val="autoZero"/>
        <c:auto val="true"/>
        <c:lblAlgn val="ctr"/>
        <c:lblOffset val="100"/>
        <c:noMultiLvlLbl val="false"/>
      </c:catAx>
      <c:valAx>
        <c:axId val="277090304"/>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277072128"/>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tru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explosion val="0"/>
          <c:dPt>
            <c:idx val="0"/>
            <c:bubble3D val="false"/>
          </c:dPt>
          <c:dPt>
            <c:idx val="1"/>
            <c:bubble3D val="false"/>
          </c:dPt>
          <c:dPt>
            <c:idx val="2"/>
            <c:bubble3D val="false"/>
          </c:dPt>
          <c:dPt>
            <c:idx val="3"/>
            <c:bubble3D val="false"/>
          </c:dPt>
          <c:dPt>
            <c:idx val="4"/>
            <c:bubble3D val="false"/>
          </c:dPt>
          <c:dPt>
            <c:idx val="5"/>
            <c:bubble3D val="false"/>
          </c:dPt>
          <c:dPt>
            <c:idx val="6"/>
            <c:bubble3D val="false"/>
          </c:dPt>
          <c:dPt>
            <c:idx val="7"/>
            <c:bubble3D val="false"/>
          </c:dPt>
          <c:dPt>
            <c:idx val="8"/>
            <c:bubble3D val="false"/>
          </c:dPt>
          <c:dLbls>
            <c:delete val="true"/>
          </c:dLbls>
          <c:cat>
            <c:strRef>
              <c:f>Sheet1!$E$4:$E$12</c:f>
              <c:strCache>
                <c:ptCount val="9"/>
                <c:pt idx="0">
                  <c:v>一般公共服务（类）支出</c:v>
                </c:pt>
                <c:pt idx="1">
                  <c:v>科学技术（类）支出</c:v>
                </c:pt>
                <c:pt idx="2">
                  <c:v>社会保障和就业（类）支出</c:v>
                </c:pt>
                <c:pt idx="3">
                  <c:v>医疗卫生与计划生育（类）支出</c:v>
                </c:pt>
                <c:pt idx="4">
                  <c:v>农林水（类）支出</c:v>
                </c:pt>
                <c:pt idx="5">
                  <c:v>资源勘探信息等（类）支出</c:v>
                </c:pt>
                <c:pt idx="6">
                  <c:v>国土海洋气象等（类）支出</c:v>
                </c:pt>
                <c:pt idx="7">
                  <c:v>住房保障（类）支出</c:v>
                </c:pt>
                <c:pt idx="8">
                  <c:v>其他（类）支出</c:v>
                </c:pt>
              </c:strCache>
            </c:strRef>
          </c:cat>
          <c:val>
            <c:numRef>
              <c:f>Sheet1!$F$4:$F$12</c:f>
              <c:numCache>
                <c:formatCode>General</c:formatCode>
                <c:ptCount val="9"/>
                <c:pt idx="0">
                  <c:v>139</c:v>
                </c:pt>
                <c:pt idx="1">
                  <c:v>962.4</c:v>
                </c:pt>
                <c:pt idx="2">
                  <c:v>39.5</c:v>
                </c:pt>
                <c:pt idx="3">
                  <c:v>15.69</c:v>
                </c:pt>
                <c:pt idx="4">
                  <c:v>182.5</c:v>
                </c:pt>
                <c:pt idx="5">
                  <c:v>2034.04</c:v>
                </c:pt>
                <c:pt idx="6">
                  <c:v>2.2</c:v>
                </c:pt>
                <c:pt idx="7">
                  <c:v>20.24</c:v>
                </c:pt>
                <c:pt idx="8">
                  <c:v>100</c:v>
                </c:pt>
              </c:numCache>
            </c:numRef>
          </c:val>
        </c:ser>
        <c:dLbls>
          <c:showLegendKey val="false"/>
          <c:showVal val="false"/>
          <c:showCatName val="false"/>
          <c:showSerName val="false"/>
          <c:showPercent val="false"/>
          <c:showBubbleSize val="false"/>
          <c:showLeaderLines val="true"/>
        </c:dLbls>
        <c:firstSliceAng val="15"/>
      </c:pieChart>
      <c:spPr>
        <a:noFill/>
        <a:ln>
          <a:noFill/>
        </a:ln>
        <a:effectLst/>
      </c:spPr>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tru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explosion val="0"/>
          <c:dPt>
            <c:idx val="0"/>
            <c:bubble3D val="false"/>
          </c:dPt>
          <c:dPt>
            <c:idx val="1"/>
            <c:bubble3D val="false"/>
          </c:dPt>
          <c:dPt>
            <c:idx val="2"/>
            <c:bubble3D val="false"/>
          </c:dPt>
          <c:dLbls>
            <c:delete val="true"/>
          </c:dLbls>
          <c:cat>
            <c:strRef>
              <c:f>Sheet1!$H$7:$H$9</c:f>
              <c:strCache>
                <c:ptCount val="3"/>
                <c:pt idx="0">
                  <c:v>因公出国（境）费支出</c:v>
                </c:pt>
                <c:pt idx="1">
                  <c:v>公务用车购置及运行维护费支出</c:v>
                </c:pt>
                <c:pt idx="2">
                  <c:v>公务接待费支出</c:v>
                </c:pt>
              </c:strCache>
            </c:strRef>
          </c:cat>
          <c:val>
            <c:numRef>
              <c:f>Sheet1!$I$7:$I$9</c:f>
              <c:numCache>
                <c:formatCode>General</c:formatCode>
                <c:ptCount val="3"/>
                <c:pt idx="0">
                  <c:v>0</c:v>
                </c:pt>
                <c:pt idx="1">
                  <c:v>0</c:v>
                </c:pt>
                <c:pt idx="2">
                  <c:v>8.742</c:v>
                </c:pt>
              </c:numCache>
            </c:numRef>
          </c:val>
        </c:ser>
        <c:dLbls>
          <c:showLegendKey val="false"/>
          <c:showVal val="false"/>
          <c:showCatName val="false"/>
          <c:showSerName val="false"/>
          <c:showPercent val="fals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43</Pages>
  <Words>2997</Words>
  <Characters>17089</Characters>
  <Lines>142</Lines>
  <Paragraphs>40</Paragraphs>
  <TotalTime>0</TotalTime>
  <ScaleCrop>false</ScaleCrop>
  <LinksUpToDate>false</LinksUpToDate>
  <CharactersWithSpaces>20046</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2019-08-01T09:14:00Z</dcterms:created>
  <dc:creator>张彬茜</dc:creator>
  <cp:lastModifiedBy>user</cp:lastModifiedBy>
  <cp:lastPrinted>2019-09-15T17:35:00Z</cp:lastPrinted>
  <dcterms:modified xsi:type="dcterms:W3CDTF">2023-07-13T14:38:59Z</dcterms:modified>
  <dc:title>四川省***</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