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8441"/>
      <w:bookmarkStart w:id="3" w:name="_Toc15377425"/>
      <w:bookmarkStart w:id="4" w:name="_Toc15396475"/>
      <w:bookmarkStart w:id="5" w:name="_Toc15396597"/>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78442"/>
      <w:bookmarkStart w:id="8" w:name="_Toc15396476"/>
      <w:bookmarkStart w:id="9" w:name="_Toc15396598"/>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广元市利州区人民检察院部门决算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12</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6"/>
          <w:rFonts w:hint="eastAsia"/>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p>
    <w:p>
      <w:pPr>
        <w:pStyle w:val="5"/>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1.对区人民代表大会及其常务委员会负责并报告工作，接受其监督；接受上级人民检察院的领导并对其负责。</w:t>
      </w:r>
    </w:p>
    <w:p>
      <w:pPr>
        <w:pStyle w:val="5"/>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2.对刑事犯罪案件依法审查批准逮捕、决定逮捕、提起公诉。</w:t>
      </w:r>
    </w:p>
    <w:p>
      <w:pPr>
        <w:pStyle w:val="5"/>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3.对利州区人民法院确有错误的判决书和裁定，依法提出抗诉，对人民法院的审判活动是否合法实行监督。</w:t>
      </w:r>
    </w:p>
    <w:p>
      <w:pPr>
        <w:pStyle w:val="5"/>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4.对刑事案件判决、裁定的执行以及对看守所的活动是否合法实行监督。</w:t>
      </w:r>
    </w:p>
    <w:p>
      <w:pPr>
        <w:pStyle w:val="5"/>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5.开展检察技术工作和物证检验、鉴定、审查复核工作。</w:t>
      </w:r>
    </w:p>
    <w:p>
      <w:pPr>
        <w:pStyle w:val="5"/>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6.对检察工作中遇到的新情况、新问题进行调查研究。</w:t>
      </w:r>
    </w:p>
    <w:p>
      <w:pPr>
        <w:pStyle w:val="5"/>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7.负责全院机关的思想政治工作和队伍建设。依法管理检察官和其它检察人员的工作，制定机关人员管理办法。</w:t>
      </w:r>
    </w:p>
    <w:p>
      <w:pPr>
        <w:pStyle w:val="5"/>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8.规划全院的财务及装备工作，报请上级检察机关和区委，区政府及时解决和改善机关财力及装备状况。</w:t>
      </w:r>
    </w:p>
    <w:p>
      <w:pPr>
        <w:pStyle w:val="5"/>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9.按照上级检察院指示精神部署和总结各项检察工作。</w:t>
      </w:r>
    </w:p>
    <w:p>
      <w:pPr>
        <w:pStyle w:val="5"/>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10.负责其他应当由人民检察院办理的事项。</w:t>
      </w:r>
    </w:p>
    <w:bookmarkEnd w:id="16"/>
    <w:bookmarkEnd w:id="17"/>
    <w:p>
      <w:pPr>
        <w:pStyle w:val="5"/>
        <w:adjustRightInd w:val="0"/>
        <w:snapToGrid w:val="0"/>
        <w:spacing w:before="93" w:line="600" w:lineRule="exact"/>
        <w:ind w:firstLine="672" w:firstLineChars="210"/>
        <w:outlineLvl w:val="2"/>
        <w:rPr>
          <w:rFonts w:ascii="仿宋" w:hAnsi="仿宋" w:eastAsia="仿宋"/>
          <w:bCs/>
          <w:sz w:val="32"/>
          <w:szCs w:val="32"/>
        </w:rPr>
      </w:pPr>
      <w:bookmarkStart w:id="18" w:name="_Toc15377199"/>
      <w:bookmarkStart w:id="19" w:name="_Toc15378446"/>
      <w:r>
        <w:rPr>
          <w:rFonts w:hint="eastAsia" w:ascii="仿宋" w:hAnsi="仿宋" w:eastAsia="仿宋"/>
          <w:bCs/>
          <w:sz w:val="32"/>
          <w:szCs w:val="32"/>
        </w:rPr>
        <w:t>（二）</w:t>
      </w:r>
      <w:r>
        <w:rPr>
          <w:rFonts w:ascii="仿宋" w:hAnsi="仿宋" w:eastAsia="仿宋"/>
          <w:bCs/>
          <w:sz w:val="32"/>
          <w:szCs w:val="32"/>
        </w:rPr>
        <w:t>201</w:t>
      </w:r>
      <w:r>
        <w:rPr>
          <w:rFonts w:hint="eastAsia" w:ascii="仿宋" w:hAnsi="仿宋" w:eastAsia="仿宋"/>
          <w:bCs/>
          <w:sz w:val="32"/>
          <w:szCs w:val="32"/>
        </w:rPr>
        <w:t>8年重点工作完成情况。</w:t>
      </w:r>
      <w:bookmarkEnd w:id="18"/>
      <w:bookmarkEnd w:id="19"/>
    </w:p>
    <w:p>
      <w:pPr>
        <w:pStyle w:val="5"/>
        <w:adjustRightInd w:val="0"/>
        <w:snapToGrid w:val="0"/>
        <w:spacing w:before="93" w:line="600" w:lineRule="exact"/>
        <w:ind w:firstLine="672" w:firstLineChars="210"/>
        <w:outlineLvl w:val="2"/>
        <w:rPr>
          <w:rFonts w:ascii="仿宋" w:hAnsi="仿宋" w:eastAsia="仿宋"/>
          <w:bCs/>
          <w:sz w:val="32"/>
          <w:szCs w:val="32"/>
        </w:rPr>
      </w:pPr>
      <w:r>
        <w:rPr>
          <w:rFonts w:hint="eastAsia" w:ascii="仿宋" w:hAnsi="仿宋" w:eastAsia="仿宋"/>
          <w:bCs/>
          <w:sz w:val="32"/>
          <w:szCs w:val="32"/>
        </w:rPr>
        <w:t>坚持把检察工作置于全区工作大局中来谋划和推进，找准检察工作服务大局的切入点，结合点和着力点，防风险、促发展、惠民生。把打击金融犯罪、防范化解金融风险作为检察工作服务党和国家工作大局的重要内容，把维护人民群众的合法权益贯穿检察办案工作始终，同步做好释法说理、 风险防控、追赃挽损等工作，最大限度维护人民群众的合法权益。依法严惩破坏生态环境领域犯罪，强化执法司法活动监督。不断加大定点帮扶力度，全力落实区委脱贫攻坚部署。依法严厉打击刑事犯罪。全面加强未成年人检察工作。依法化解矛盾定分止争。深入推进公益诉讼工作。加强民事和行政诉讼监督。</w:t>
      </w:r>
    </w:p>
    <w:p>
      <w:pPr>
        <w:pStyle w:val="5"/>
        <w:adjustRightInd w:val="0"/>
        <w:snapToGrid w:val="0"/>
        <w:spacing w:before="93" w:line="600" w:lineRule="exact"/>
        <w:outlineLvl w:val="2"/>
        <w:rPr>
          <w:rFonts w:ascii="仿宋" w:hAnsi="仿宋" w:eastAsia="仿宋"/>
          <w:bCs/>
          <w:color w:val="000000"/>
          <w:sz w:val="32"/>
          <w:szCs w:val="32"/>
        </w:rPr>
      </w:pPr>
    </w:p>
    <w:p>
      <w:pPr>
        <w:pStyle w:val="3"/>
        <w:rPr>
          <w:rStyle w:val="26"/>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rPr>
        <w:t>广元市利州区人民检察院下属二级单位0，其中行政单位0个，参照公务员法管理的事业单位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纳入广元市利州区人民检察院2018年度部门决算编制范围的二级预算单位包括：</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无</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无</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无</w:t>
      </w:r>
    </w:p>
    <w:p>
      <w:pPr>
        <w:pStyle w:val="5"/>
        <w:adjustRightInd w:val="0"/>
        <w:snapToGrid w:val="0"/>
        <w:spacing w:before="93" w:line="600" w:lineRule="exact"/>
        <w:ind w:firstLine="1120" w:firstLineChars="350"/>
        <w:rPr>
          <w:rFonts w:ascii="仿宋" w:hAnsi="仿宋" w:eastAsia="仿宋"/>
          <w:color w:val="000000"/>
          <w:sz w:val="32"/>
          <w:szCs w:val="32"/>
        </w:rPr>
      </w:pPr>
      <w:r>
        <w:rPr>
          <w:rFonts w:hint="eastAsia" w:ascii="仿宋" w:hAnsi="仿宋" w:eastAsia="仿宋"/>
          <w:color w:val="000000"/>
          <w:sz w:val="32"/>
          <w:szCs w:val="32"/>
        </w:rPr>
        <w:t>……</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5"/>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Style w:val="25"/>
          <w:rFonts w:hint="eastAsia" w:ascii="黑体" w:hAnsi="黑体" w:eastAsia="黑体"/>
          <w:b w:val="0"/>
          <w:bCs w:val="0"/>
        </w:rPr>
        <w:t>2018年度部门决算情况说明</w:t>
      </w:r>
      <w:bookmarkEnd w:id="22"/>
      <w:bookmarkEnd w:id="23"/>
    </w:p>
    <w:p/>
    <w:p>
      <w:pPr>
        <w:pStyle w:val="24"/>
        <w:numPr>
          <w:ilvl w:val="0"/>
          <w:numId w:val="2"/>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sz w:val="32"/>
          <w:szCs w:val="32"/>
        </w:rPr>
      </w:pPr>
      <w:r>
        <w:rPr>
          <w:rFonts w:hint="eastAsia" w:ascii="仿宋" w:hAnsi="仿宋" w:eastAsia="仿宋"/>
          <w:sz w:val="32"/>
          <w:szCs w:val="32"/>
        </w:rPr>
        <w:t>2018年度收入总计2,124.05万元、支出总计2021.98万元。与</w:t>
      </w:r>
      <w:r>
        <w:rPr>
          <w:rFonts w:ascii="仿宋" w:hAnsi="仿宋" w:eastAsia="仿宋"/>
          <w:sz w:val="32"/>
          <w:szCs w:val="32"/>
        </w:rPr>
        <w:t>201</w:t>
      </w:r>
      <w:r>
        <w:rPr>
          <w:rFonts w:hint="eastAsia" w:ascii="仿宋" w:hAnsi="仿宋" w:eastAsia="仿宋"/>
          <w:sz w:val="32"/>
          <w:szCs w:val="32"/>
        </w:rPr>
        <w:t>7年相比，收入总计减少142.80万元，下降6.30%；支出总计增加241.42万元，增长13.56</w:t>
      </w:r>
      <w:r>
        <w:rPr>
          <w:rFonts w:ascii="仿宋" w:hAnsi="仿宋" w:eastAsia="仿宋"/>
          <w:sz w:val="32"/>
          <w:szCs w:val="32"/>
        </w:rPr>
        <w:t>%</w:t>
      </w:r>
      <w:r>
        <w:rPr>
          <w:rFonts w:hint="eastAsia" w:ascii="仿宋" w:hAnsi="仿宋" w:eastAsia="仿宋"/>
          <w:sz w:val="32"/>
          <w:szCs w:val="32"/>
        </w:rPr>
        <w:t>。主要变动原因是：2017年收入中含信息化建设项目经费500万元，2018年无此项收入。同时，2018年工资调标、养老保险等保费增加、清算退休人员职业年金、发放抚恤金导致支出较2017年相比有所增加。</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58240" behindDoc="0" locked="0" layoutInCell="1" allowOverlap="1">
            <wp:simplePos x="0" y="0"/>
            <wp:positionH relativeFrom="column">
              <wp:posOffset>515620</wp:posOffset>
            </wp:positionH>
            <wp:positionV relativeFrom="paragraph">
              <wp:posOffset>109220</wp:posOffset>
            </wp:positionV>
            <wp:extent cx="4432935" cy="2705735"/>
            <wp:effectExtent l="4445" t="4445" r="20320" b="1397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spacing w:line="600" w:lineRule="exact"/>
        <w:ind w:firstLine="640" w:firstLineChars="200"/>
        <w:jc w:val="left"/>
        <w:rPr>
          <w:rFonts w:ascii="仿宋_GB2312" w:eastAsia="仿宋_GB2312"/>
          <w:color w:val="000000"/>
          <w:sz w:val="32"/>
          <w:szCs w:val="32"/>
        </w:rPr>
      </w:pPr>
    </w:p>
    <w:p>
      <w:pPr>
        <w:pStyle w:val="24"/>
        <w:numPr>
          <w:ilvl w:val="0"/>
          <w:numId w:val="2"/>
        </w:numPr>
        <w:spacing w:line="600" w:lineRule="exact"/>
        <w:ind w:firstLineChars="0"/>
        <w:outlineLvl w:val="1"/>
        <w:rPr>
          <w:rStyle w:val="26"/>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8年本年收入合计2124.05万元，其中：一般公共预算财政拨款收入2124.05万元，占100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290195</wp:posOffset>
            </wp:positionH>
            <wp:positionV relativeFrom="paragraph">
              <wp:posOffset>238125</wp:posOffset>
            </wp:positionV>
            <wp:extent cx="5080000" cy="3810000"/>
            <wp:effectExtent l="4445" t="4445" r="20955" b="1460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000000" w:themeColor="text1"/>
          <w:sz w:val="32"/>
          <w:szCs w:val="32"/>
        </w:rPr>
        <w:t>（图2：收入决算结构图）（饼状图）</w:t>
      </w:r>
    </w:p>
    <w:p>
      <w:pPr>
        <w:spacing w:line="600" w:lineRule="exact"/>
        <w:ind w:firstLine="640" w:firstLineChars="200"/>
        <w:rPr>
          <w:rFonts w:ascii="仿宋_GB2312" w:eastAsia="仿宋_GB2312"/>
          <w:color w:val="FF0000"/>
          <w:sz w:val="32"/>
          <w:szCs w:val="32"/>
        </w:rPr>
      </w:pPr>
    </w:p>
    <w:p>
      <w:pPr>
        <w:pStyle w:val="24"/>
        <w:numPr>
          <w:ilvl w:val="0"/>
          <w:numId w:val="2"/>
        </w:numPr>
        <w:spacing w:line="600" w:lineRule="exact"/>
        <w:ind w:firstLineChars="0"/>
        <w:outlineLvl w:val="1"/>
        <w:rPr>
          <w:rStyle w:val="26"/>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8年本年支出合计2021.98万元，其中：基本支出1816.76万元，占89.85</w:t>
      </w:r>
      <w:r>
        <w:rPr>
          <w:rFonts w:ascii="仿宋" w:hAnsi="仿宋" w:eastAsia="仿宋"/>
          <w:color w:val="000000"/>
          <w:sz w:val="32"/>
          <w:szCs w:val="32"/>
        </w:rPr>
        <w:t>%</w:t>
      </w:r>
      <w:r>
        <w:rPr>
          <w:rFonts w:hint="eastAsia" w:ascii="仿宋" w:hAnsi="仿宋" w:eastAsia="仿宋"/>
          <w:color w:val="000000"/>
          <w:sz w:val="32"/>
          <w:szCs w:val="32"/>
        </w:rPr>
        <w:t>；项目支出205.22万元，占10.15</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0288" behindDoc="0" locked="0" layoutInCell="1" allowOverlap="1">
            <wp:simplePos x="0" y="0"/>
            <wp:positionH relativeFrom="column">
              <wp:posOffset>448945</wp:posOffset>
            </wp:positionH>
            <wp:positionV relativeFrom="paragraph">
              <wp:posOffset>328295</wp:posOffset>
            </wp:positionV>
            <wp:extent cx="5080000" cy="3810000"/>
            <wp:effectExtent l="4445" t="4445" r="20955" b="1460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6"/>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8年财政拨款收入总计2,124.05万元、支出总计2021.98万元。与</w:t>
      </w:r>
      <w:r>
        <w:rPr>
          <w:rFonts w:ascii="仿宋" w:hAnsi="仿宋" w:eastAsia="仿宋"/>
          <w:sz w:val="32"/>
          <w:szCs w:val="32"/>
        </w:rPr>
        <w:t>201</w:t>
      </w:r>
      <w:r>
        <w:rPr>
          <w:rFonts w:hint="eastAsia" w:ascii="仿宋" w:hAnsi="仿宋" w:eastAsia="仿宋"/>
          <w:sz w:val="32"/>
          <w:szCs w:val="32"/>
        </w:rPr>
        <w:t>7年相比，财政拨款收入总计减少142.80万元，下降6.30%；支出总计增加241.42万元，增长13.56</w:t>
      </w:r>
      <w:r>
        <w:rPr>
          <w:rFonts w:ascii="仿宋" w:hAnsi="仿宋" w:eastAsia="仿宋"/>
          <w:sz w:val="32"/>
          <w:szCs w:val="32"/>
        </w:rPr>
        <w:t>%</w:t>
      </w:r>
      <w:r>
        <w:rPr>
          <w:rFonts w:hint="eastAsia" w:ascii="仿宋" w:hAnsi="仿宋" w:eastAsia="仿宋"/>
          <w:sz w:val="32"/>
          <w:szCs w:val="32"/>
        </w:rPr>
        <w:t>。主要变动原因是：2017年收入中含信息化建设项目经费500万元，2018年无此项收入。同时，2018年工资调标、养老保险等保费增加、清算退休人员职业年金、发放抚恤金导致支出较2017年相比有所增加。</w:t>
      </w:r>
    </w:p>
    <w:p>
      <w:pPr>
        <w:ind w:firstLine="640"/>
        <w:rPr>
          <w:rFonts w:ascii="仿宋" w:hAnsi="仿宋" w:eastAsia="仿宋"/>
          <w:sz w:val="32"/>
          <w:szCs w:val="32"/>
        </w:rPr>
      </w:pPr>
      <w:r>
        <w:rPr>
          <w:rFonts w:hint="eastAsia" w:ascii="仿宋" w:hAnsi="仿宋" w:eastAsia="仿宋"/>
          <w:sz w:val="32"/>
          <w:szCs w:val="32"/>
        </w:rPr>
        <w:drawing>
          <wp:inline distT="0" distB="0" distL="114300" distR="114300">
            <wp:extent cx="5080000" cy="3810000"/>
            <wp:effectExtent l="4445" t="4445" r="2095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0"/>
        <w:rPr>
          <w:rFonts w:ascii="仿宋" w:hAnsi="仿宋" w:eastAsia="仿宋"/>
          <w:b/>
          <w:color w:val="000000" w:themeColor="text1"/>
          <w:sz w:val="32"/>
          <w:szCs w:val="32"/>
        </w:rPr>
      </w:pPr>
      <w:r>
        <w:rPr>
          <w:rFonts w:hint="eastAsia" w:ascii="仿宋" w:hAnsi="仿宋" w:eastAsia="仿宋"/>
          <w:b/>
          <w:color w:val="000000" w:themeColor="text1"/>
          <w:sz w:val="32"/>
          <w:szCs w:val="32"/>
        </w:rPr>
        <w:t>（除国有资本经营预算外，数据来源于财决</w:t>
      </w:r>
      <w:r>
        <w:rPr>
          <w:rFonts w:ascii="仿宋" w:hAnsi="仿宋" w:eastAsia="仿宋"/>
          <w:b/>
          <w:color w:val="000000" w:themeColor="text1"/>
          <w:sz w:val="32"/>
          <w:szCs w:val="32"/>
        </w:rPr>
        <w:t>Z01-1</w:t>
      </w:r>
      <w:r>
        <w:rPr>
          <w:rFonts w:hint="eastAsia" w:ascii="仿宋" w:hAnsi="仿宋" w:eastAsia="仿宋"/>
          <w:b/>
          <w:color w:val="000000" w:themeColor="text1"/>
          <w:sz w:val="32"/>
          <w:szCs w:val="32"/>
        </w:rPr>
        <w:t>表，口径为“总计”数+国有资本经营预算。）</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6"/>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sz w:val="32"/>
          <w:szCs w:val="32"/>
        </w:rPr>
        <w:t>2021.98</w:t>
      </w:r>
      <w:r>
        <w:rPr>
          <w:rFonts w:hint="eastAsia" w:ascii="仿宋" w:hAnsi="仿宋" w:eastAsia="仿宋"/>
          <w:color w:val="000000"/>
          <w:sz w:val="32"/>
          <w:szCs w:val="32"/>
        </w:rPr>
        <w:t>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7年相比，一般公共预算财政拨款增加241.42万元，增长13.56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sz w:val="32"/>
          <w:szCs w:val="32"/>
        </w:rPr>
        <w:t>2018年工资调标、养老保险等保费增加、清算退休人员职业年金、发放抚恤金导致支出较2017年相比有所增加。</w:t>
      </w:r>
    </w:p>
    <w:p>
      <w:pPr>
        <w:spacing w:line="600" w:lineRule="exact"/>
        <w:rPr>
          <w:rFonts w:ascii="仿宋" w:hAnsi="仿宋" w:eastAsia="仿宋"/>
          <w:sz w:val="32"/>
          <w:szCs w:val="32"/>
        </w:rPr>
      </w:pPr>
      <w:r>
        <w:rPr>
          <w:rFonts w:hint="eastAsia" w:ascii="仿宋" w:hAnsi="仿宋" w:eastAsia="仿宋"/>
          <w:sz w:val="32"/>
          <w:szCs w:val="32"/>
        </w:rPr>
        <w:drawing>
          <wp:anchor distT="0" distB="0" distL="114300" distR="114300" simplePos="0" relativeHeight="251661312" behindDoc="0" locked="0" layoutInCell="1" allowOverlap="1">
            <wp:simplePos x="0" y="0"/>
            <wp:positionH relativeFrom="column">
              <wp:posOffset>201295</wp:posOffset>
            </wp:positionH>
            <wp:positionV relativeFrom="paragraph">
              <wp:posOffset>233045</wp:posOffset>
            </wp:positionV>
            <wp:extent cx="5080000" cy="3810000"/>
            <wp:effectExtent l="4445" t="4445" r="20955" b="1460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b/>
          <w:sz w:val="32"/>
          <w:szCs w:val="32"/>
        </w:rPr>
      </w:pPr>
      <w:r>
        <w:rPr>
          <w:rFonts w:ascii="仿宋" w:hAnsi="仿宋" w:eastAsia="仿宋"/>
          <w:sz w:val="32"/>
          <w:szCs w:val="32"/>
        </w:rPr>
        <w:t>201</w:t>
      </w:r>
      <w:r>
        <w:rPr>
          <w:rFonts w:hint="eastAsia" w:ascii="仿宋" w:hAnsi="仿宋" w:eastAsia="仿宋"/>
          <w:sz w:val="32"/>
          <w:szCs w:val="32"/>
        </w:rPr>
        <w:t>8年一般公共预算财政拨款支出2021.98万元，主要用于以下方面</w:t>
      </w:r>
      <w:r>
        <w:rPr>
          <w:rFonts w:ascii="仿宋" w:hAnsi="仿宋" w:eastAsia="仿宋"/>
          <w:sz w:val="32"/>
          <w:szCs w:val="32"/>
        </w:rPr>
        <w:t>:</w:t>
      </w:r>
      <w:r>
        <w:rPr>
          <w:rFonts w:hint="eastAsia" w:ascii="仿宋" w:hAnsi="仿宋" w:eastAsia="仿宋"/>
          <w:b/>
          <w:sz w:val="32"/>
          <w:szCs w:val="32"/>
        </w:rPr>
        <w:t>公共安全（类）</w:t>
      </w:r>
      <w:r>
        <w:rPr>
          <w:rFonts w:hint="eastAsia" w:ascii="仿宋" w:hAnsi="仿宋" w:eastAsia="仿宋"/>
          <w:sz w:val="32"/>
          <w:szCs w:val="32"/>
        </w:rPr>
        <w:t>支出1659.44万元，占82.07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支出247.14万元，占12.22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医疗卫生与计划生育（类）</w:t>
      </w:r>
      <w:r>
        <w:rPr>
          <w:rFonts w:hint="eastAsia" w:ascii="仿宋" w:hAnsi="仿宋" w:eastAsia="仿宋"/>
          <w:sz w:val="32"/>
          <w:szCs w:val="32"/>
        </w:rPr>
        <w:t>支出49.5万元，占2.45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农林水（类）</w:t>
      </w:r>
      <w:r>
        <w:rPr>
          <w:rFonts w:hint="eastAsia" w:ascii="仿宋" w:hAnsi="仿宋" w:eastAsia="仿宋"/>
          <w:sz w:val="32"/>
          <w:szCs w:val="32"/>
        </w:rPr>
        <w:t>支出1.5万元，占0.07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住房保障（类）</w:t>
      </w:r>
      <w:r>
        <w:rPr>
          <w:rFonts w:hint="eastAsia" w:ascii="仿宋" w:hAnsi="仿宋" w:eastAsia="仿宋"/>
          <w:sz w:val="32"/>
          <w:szCs w:val="32"/>
        </w:rPr>
        <w:t>支出64.39万元，占3.19%。</w:t>
      </w:r>
      <w:r>
        <w:rPr>
          <w:rFonts w:hint="eastAsia" w:ascii="仿宋" w:hAnsi="仿宋" w:eastAsia="仿宋"/>
          <w:b/>
          <w:sz w:val="32"/>
          <w:szCs w:val="32"/>
        </w:rPr>
        <w:t>（罗列全部功能分类科目，至类级。）</w:t>
      </w:r>
    </w:p>
    <w:p>
      <w:pPr>
        <w:spacing w:line="600" w:lineRule="exact"/>
        <w:ind w:firstLine="640"/>
        <w:rPr>
          <w:rFonts w:ascii="仿宋" w:hAnsi="仿宋" w:eastAsia="仿宋"/>
          <w:b/>
          <w:sz w:val="32"/>
          <w:szCs w:val="32"/>
        </w:rPr>
      </w:pPr>
    </w:p>
    <w:p>
      <w:pPr>
        <w:spacing w:line="600" w:lineRule="exact"/>
        <w:ind w:firstLine="640"/>
        <w:rPr>
          <w:rFonts w:ascii="仿宋" w:hAnsi="仿宋" w:eastAsia="仿宋"/>
          <w:b/>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4384" behindDoc="0" locked="0" layoutInCell="1" allowOverlap="1">
            <wp:simplePos x="0" y="0"/>
            <wp:positionH relativeFrom="column">
              <wp:posOffset>223520</wp:posOffset>
            </wp:positionH>
            <wp:positionV relativeFrom="paragraph">
              <wp:posOffset>156845</wp:posOffset>
            </wp:positionV>
            <wp:extent cx="5080000" cy="3810000"/>
            <wp:effectExtent l="4445" t="4445" r="20955" b="1460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213"/>
      <w:bookmarkStart w:id="38" w:name="_Toc15378460"/>
      <w:bookmarkStart w:id="39" w:name="_Toc15377444"/>
      <w:r>
        <w:rPr>
          <w:rFonts w:hint="eastAsia" w:ascii="仿宋" w:hAnsi="仿宋" w:eastAsia="仿宋"/>
          <w:b/>
          <w:color w:val="000000" w:themeColor="text1"/>
          <w:sz w:val="32"/>
          <w:szCs w:val="32"/>
        </w:rPr>
        <w:t>2018年般公共预算支出决算数为2021.98万元</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预算95.19</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2" w:firstLineChars="200"/>
        <w:rPr>
          <w:rStyle w:val="15"/>
          <w:rFonts w:ascii="仿宋" w:hAnsi="仿宋" w:eastAsia="仿宋"/>
          <w:b w:val="0"/>
          <w:bCs/>
          <w:sz w:val="32"/>
          <w:szCs w:val="32"/>
        </w:rPr>
      </w:pPr>
      <w:r>
        <w:rPr>
          <w:rStyle w:val="15"/>
          <w:rFonts w:ascii="仿宋" w:hAnsi="仿宋" w:eastAsia="仿宋"/>
          <w:bCs/>
          <w:sz w:val="32"/>
          <w:szCs w:val="32"/>
        </w:rPr>
        <w:t>1.</w:t>
      </w:r>
      <w:r>
        <w:rPr>
          <w:rStyle w:val="15"/>
          <w:rFonts w:hint="eastAsia" w:ascii="仿宋" w:hAnsi="仿宋" w:eastAsia="仿宋"/>
          <w:bCs/>
          <w:sz w:val="32"/>
          <w:szCs w:val="32"/>
        </w:rPr>
        <w:t>公共安全（类）检察（款）行政运行（项）</w:t>
      </w:r>
      <w:r>
        <w:rPr>
          <w:rStyle w:val="15"/>
          <w:rFonts w:ascii="仿宋" w:hAnsi="仿宋" w:eastAsia="仿宋"/>
          <w:bCs/>
          <w:sz w:val="32"/>
          <w:szCs w:val="32"/>
        </w:rPr>
        <w:t>:</w:t>
      </w:r>
      <w:r>
        <w:rPr>
          <w:rStyle w:val="15"/>
          <w:rFonts w:hint="eastAsia" w:ascii="仿宋" w:hAnsi="仿宋" w:eastAsia="仿宋"/>
          <w:b w:val="0"/>
          <w:bCs/>
          <w:sz w:val="32"/>
          <w:szCs w:val="32"/>
        </w:rPr>
        <w:t>支出决算为1455.72万元，完成预算99.74</w:t>
      </w:r>
      <w:r>
        <w:rPr>
          <w:rStyle w:val="15"/>
          <w:rFonts w:ascii="仿宋" w:hAnsi="仿宋" w:eastAsia="仿宋"/>
          <w:b w:val="0"/>
          <w:bCs/>
          <w:sz w:val="32"/>
          <w:szCs w:val="32"/>
        </w:rPr>
        <w:t>%</w:t>
      </w:r>
      <w:r>
        <w:rPr>
          <w:rStyle w:val="15"/>
          <w:rFonts w:hint="eastAsia" w:ascii="仿宋" w:hAnsi="仿宋" w:eastAsia="仿宋"/>
          <w:b w:val="0"/>
          <w:bCs/>
          <w:sz w:val="32"/>
          <w:szCs w:val="32"/>
        </w:rPr>
        <w:t>，决算数小于预算数的主要原因是扣发人员绩效考核及单项考核奖未支出。</w:t>
      </w:r>
    </w:p>
    <w:p>
      <w:pPr>
        <w:spacing w:line="600" w:lineRule="exact"/>
        <w:ind w:firstLine="642" w:firstLineChars="200"/>
        <w:rPr>
          <w:rStyle w:val="15"/>
          <w:rFonts w:ascii="仿宋" w:hAnsi="仿宋" w:eastAsia="仿宋"/>
          <w:b w:val="0"/>
          <w:bCs/>
          <w:sz w:val="32"/>
          <w:szCs w:val="32"/>
        </w:rPr>
      </w:pPr>
      <w:r>
        <w:rPr>
          <w:rStyle w:val="15"/>
          <w:rFonts w:hint="eastAsia" w:ascii="仿宋" w:hAnsi="仿宋" w:eastAsia="仿宋"/>
          <w:sz w:val="32"/>
          <w:szCs w:val="32"/>
        </w:rPr>
        <w:t>公共安全（类）检察（款）一般行政管理事务（项）</w:t>
      </w:r>
      <w:r>
        <w:rPr>
          <w:rStyle w:val="15"/>
          <w:rFonts w:hint="eastAsia" w:ascii="仿宋" w:hAnsi="仿宋" w:eastAsia="仿宋"/>
          <w:b w:val="0"/>
          <w:bCs/>
          <w:sz w:val="32"/>
          <w:szCs w:val="32"/>
        </w:rPr>
        <w:t>：支出决算为193.72万元，完成预算66.62</w:t>
      </w:r>
      <w:r>
        <w:rPr>
          <w:rStyle w:val="15"/>
          <w:rFonts w:ascii="仿宋" w:hAnsi="仿宋" w:eastAsia="仿宋"/>
          <w:b w:val="0"/>
          <w:bCs/>
          <w:sz w:val="32"/>
          <w:szCs w:val="32"/>
        </w:rPr>
        <w:t>%</w:t>
      </w:r>
      <w:r>
        <w:rPr>
          <w:rStyle w:val="15"/>
          <w:rFonts w:hint="eastAsia" w:ascii="仿宋" w:hAnsi="仿宋" w:eastAsia="仿宋"/>
          <w:b w:val="0"/>
          <w:bCs/>
          <w:sz w:val="32"/>
          <w:szCs w:val="32"/>
        </w:rPr>
        <w:t>，决算数小于预算数的主要原因是一科技强检信息化建设经费还正在招投标过程中，还未进入具体项目的实施阶段；二是上级转移支付装备资金还未申报装备采购计划，待上级机关统一要求申报再进行计划申报和采购工作。</w:t>
      </w:r>
    </w:p>
    <w:p>
      <w:pPr>
        <w:spacing w:line="600" w:lineRule="exact"/>
        <w:ind w:firstLine="642" w:firstLineChars="200"/>
        <w:rPr>
          <w:rStyle w:val="15"/>
          <w:rFonts w:ascii="仿宋" w:hAnsi="仿宋" w:eastAsia="仿宋"/>
          <w:b w:val="0"/>
          <w:bCs/>
          <w:color w:val="FF0000"/>
          <w:sz w:val="32"/>
          <w:szCs w:val="32"/>
        </w:rPr>
      </w:pPr>
      <w:r>
        <w:rPr>
          <w:rStyle w:val="15"/>
          <w:rFonts w:hint="eastAsia" w:ascii="仿宋" w:hAnsi="仿宋" w:eastAsia="仿宋"/>
          <w:sz w:val="32"/>
          <w:szCs w:val="32"/>
        </w:rPr>
        <w:t>公共安全（类）检察（款）查办和预防职务犯罪（项）</w:t>
      </w:r>
      <w:r>
        <w:rPr>
          <w:rStyle w:val="15"/>
          <w:rFonts w:hint="eastAsia" w:ascii="仿宋" w:hAnsi="仿宋" w:eastAsia="仿宋"/>
          <w:b w:val="0"/>
          <w:bCs/>
          <w:sz w:val="32"/>
          <w:szCs w:val="32"/>
        </w:rPr>
        <w:t>：支出决算为10.00万元，完成预算100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2" w:firstLineChars="200"/>
        <w:rPr>
          <w:rStyle w:val="15"/>
          <w:rFonts w:ascii="仿宋" w:hAnsi="仿宋" w:eastAsia="仿宋"/>
          <w:b w:val="0"/>
          <w:bCs/>
          <w:color w:val="FF0000"/>
          <w:sz w:val="32"/>
          <w:szCs w:val="32"/>
        </w:rPr>
      </w:pPr>
      <w:r>
        <w:rPr>
          <w:rStyle w:val="15"/>
          <w:rFonts w:ascii="仿宋" w:hAnsi="仿宋" w:eastAsia="仿宋"/>
          <w:bCs/>
          <w:sz w:val="32"/>
          <w:szCs w:val="32"/>
        </w:rPr>
        <w:t>2.</w:t>
      </w:r>
      <w:r>
        <w:rPr>
          <w:rStyle w:val="15"/>
          <w:rFonts w:hint="eastAsia" w:ascii="仿宋" w:hAnsi="仿宋" w:eastAsia="仿宋"/>
          <w:bCs/>
          <w:sz w:val="32"/>
          <w:szCs w:val="32"/>
        </w:rPr>
        <w:t>社会保障和就业支出（类）行政事业单位离退休（款）机关事业单位基本养老保险缴费支出（项）</w:t>
      </w:r>
      <w:r>
        <w:rPr>
          <w:rStyle w:val="15"/>
          <w:rFonts w:ascii="仿宋" w:hAnsi="仿宋" w:eastAsia="仿宋"/>
          <w:bCs/>
          <w:sz w:val="32"/>
          <w:szCs w:val="32"/>
        </w:rPr>
        <w:t>:</w:t>
      </w:r>
      <w:r>
        <w:rPr>
          <w:rStyle w:val="15"/>
          <w:rFonts w:hint="eastAsia" w:ascii="仿宋" w:hAnsi="仿宋" w:eastAsia="仿宋"/>
          <w:b w:val="0"/>
          <w:bCs/>
          <w:sz w:val="32"/>
          <w:szCs w:val="32"/>
        </w:rPr>
        <w:t>支出决算为103.68万元，完成预算91.74</w:t>
      </w:r>
      <w:r>
        <w:rPr>
          <w:rStyle w:val="15"/>
          <w:rFonts w:ascii="仿宋" w:hAnsi="仿宋" w:eastAsia="仿宋"/>
          <w:b w:val="0"/>
          <w:bCs/>
          <w:sz w:val="32"/>
          <w:szCs w:val="32"/>
        </w:rPr>
        <w:t>%</w:t>
      </w:r>
      <w:r>
        <w:rPr>
          <w:rStyle w:val="15"/>
          <w:rFonts w:hint="eastAsia" w:ascii="仿宋" w:hAnsi="仿宋" w:eastAsia="仿宋"/>
          <w:b w:val="0"/>
          <w:bCs/>
          <w:sz w:val="32"/>
          <w:szCs w:val="32"/>
        </w:rPr>
        <w:t>，决算数小于预算数的主要原因是人员变动，未支出相应费用，还未进行清算。</w:t>
      </w:r>
    </w:p>
    <w:p>
      <w:pPr>
        <w:spacing w:line="600" w:lineRule="exact"/>
        <w:ind w:firstLine="642" w:firstLineChars="200"/>
        <w:rPr>
          <w:rStyle w:val="15"/>
          <w:rFonts w:ascii="仿宋" w:hAnsi="仿宋" w:eastAsia="仿宋"/>
          <w:b w:val="0"/>
          <w:bCs/>
          <w:sz w:val="32"/>
          <w:szCs w:val="32"/>
        </w:rPr>
      </w:pPr>
      <w:r>
        <w:rPr>
          <w:rStyle w:val="15"/>
          <w:rFonts w:hint="eastAsia" w:ascii="仿宋" w:hAnsi="仿宋" w:eastAsia="仿宋"/>
          <w:bCs/>
          <w:sz w:val="32"/>
          <w:szCs w:val="32"/>
        </w:rPr>
        <w:t>社会保障和就业支出（类）行政事业单位离退休（款）机关事业单位职业年金缴费支出（项）</w:t>
      </w:r>
      <w:r>
        <w:rPr>
          <w:rStyle w:val="15"/>
          <w:rFonts w:ascii="仿宋" w:hAnsi="仿宋" w:eastAsia="仿宋"/>
          <w:bCs/>
          <w:sz w:val="32"/>
          <w:szCs w:val="32"/>
        </w:rPr>
        <w:t>:</w:t>
      </w:r>
      <w:r>
        <w:rPr>
          <w:rStyle w:val="15"/>
          <w:rFonts w:hint="eastAsia" w:ascii="仿宋" w:hAnsi="仿宋" w:eastAsia="仿宋"/>
          <w:b w:val="0"/>
          <w:bCs/>
          <w:sz w:val="32"/>
          <w:szCs w:val="32"/>
        </w:rPr>
        <w:t>支出决算为26.32万元，完成预算100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2" w:firstLineChars="200"/>
        <w:rPr>
          <w:rStyle w:val="15"/>
          <w:rFonts w:ascii="仿宋" w:hAnsi="仿宋" w:eastAsia="仿宋"/>
          <w:b w:val="0"/>
          <w:bCs/>
          <w:color w:val="000000" w:themeColor="text1"/>
          <w:sz w:val="32"/>
          <w:szCs w:val="32"/>
        </w:rPr>
      </w:pPr>
      <w:r>
        <w:rPr>
          <w:rStyle w:val="15"/>
          <w:rFonts w:hint="eastAsia" w:ascii="仿宋" w:hAnsi="仿宋" w:eastAsia="仿宋"/>
          <w:bCs/>
          <w:sz w:val="32"/>
          <w:szCs w:val="32"/>
        </w:rPr>
        <w:t>社会保障和就业支出（类）抚恤（款）死亡抚恤（项）</w:t>
      </w:r>
      <w:r>
        <w:rPr>
          <w:rStyle w:val="15"/>
          <w:rFonts w:ascii="仿宋" w:hAnsi="仿宋" w:eastAsia="仿宋"/>
          <w:bCs/>
          <w:sz w:val="32"/>
          <w:szCs w:val="32"/>
        </w:rPr>
        <w:t>:</w:t>
      </w:r>
      <w:r>
        <w:rPr>
          <w:rStyle w:val="15"/>
          <w:rFonts w:hint="eastAsia" w:ascii="仿宋" w:hAnsi="仿宋" w:eastAsia="仿宋"/>
          <w:b w:val="0"/>
          <w:bCs/>
          <w:sz w:val="32"/>
          <w:szCs w:val="32"/>
        </w:rPr>
        <w:t>支出决算为117.14万元，完成预算114.50</w:t>
      </w:r>
      <w:r>
        <w:rPr>
          <w:rStyle w:val="15"/>
          <w:rFonts w:ascii="仿宋" w:hAnsi="仿宋" w:eastAsia="仿宋"/>
          <w:b w:val="0"/>
          <w:bCs/>
          <w:sz w:val="32"/>
          <w:szCs w:val="32"/>
        </w:rPr>
        <w:t>%</w:t>
      </w:r>
      <w:r>
        <w:rPr>
          <w:rStyle w:val="15"/>
          <w:rFonts w:hint="eastAsia" w:ascii="仿宋" w:hAnsi="仿宋" w:eastAsia="仿宋"/>
          <w:b w:val="0"/>
          <w:bCs/>
          <w:color w:val="000000" w:themeColor="text1"/>
          <w:sz w:val="32"/>
          <w:szCs w:val="32"/>
        </w:rPr>
        <w:t>，决算数大于预算数的原因是预算时将对子女的生活补助纳入公共安全（类）检察（款）行政运行（项）中，但该笔支出含在死亡抚恤中一并发放给受益人，故在决算中体现在该项支出中，造成支出大于预算的情况。</w:t>
      </w:r>
    </w:p>
    <w:p>
      <w:pPr>
        <w:spacing w:line="600" w:lineRule="exact"/>
        <w:ind w:firstLine="642" w:firstLineChars="200"/>
        <w:rPr>
          <w:rFonts w:ascii="仿宋" w:hAnsi="仿宋" w:eastAsia="仿宋"/>
          <w:b/>
          <w:color w:val="FF0000"/>
          <w:sz w:val="32"/>
          <w:szCs w:val="32"/>
        </w:rPr>
      </w:pPr>
      <w:r>
        <w:rPr>
          <w:rStyle w:val="15"/>
          <w:rFonts w:ascii="仿宋" w:hAnsi="仿宋" w:eastAsia="仿宋"/>
          <w:bCs/>
          <w:sz w:val="32"/>
          <w:szCs w:val="32"/>
        </w:rPr>
        <w:t>3.</w:t>
      </w:r>
      <w:r>
        <w:rPr>
          <w:rStyle w:val="15"/>
          <w:rFonts w:hint="eastAsia" w:ascii="仿宋" w:hAnsi="仿宋" w:eastAsia="仿宋"/>
          <w:bCs/>
          <w:sz w:val="32"/>
          <w:szCs w:val="32"/>
        </w:rPr>
        <w:t>医疗卫生与计划生育支出（类）行政事业单位医疗（款）行政单位医疗（项）</w:t>
      </w:r>
      <w:r>
        <w:rPr>
          <w:rStyle w:val="15"/>
          <w:rFonts w:ascii="仿宋" w:hAnsi="仿宋" w:eastAsia="仿宋"/>
          <w:bCs/>
          <w:sz w:val="32"/>
          <w:szCs w:val="32"/>
        </w:rPr>
        <w:t>:</w:t>
      </w:r>
      <w:r>
        <w:rPr>
          <w:rStyle w:val="15"/>
          <w:rFonts w:hint="eastAsia" w:ascii="仿宋" w:hAnsi="仿宋" w:eastAsia="仿宋"/>
          <w:b w:val="0"/>
          <w:bCs/>
          <w:sz w:val="32"/>
          <w:szCs w:val="32"/>
        </w:rPr>
        <w:t>支出决算为49.5万元，完成预算88</w:t>
      </w:r>
      <w:r>
        <w:rPr>
          <w:rStyle w:val="15"/>
          <w:rFonts w:ascii="仿宋" w:hAnsi="仿宋" w:eastAsia="仿宋"/>
          <w:b w:val="0"/>
          <w:bCs/>
          <w:sz w:val="32"/>
          <w:szCs w:val="32"/>
        </w:rPr>
        <w:t>%</w:t>
      </w:r>
      <w:r>
        <w:rPr>
          <w:rStyle w:val="15"/>
          <w:rFonts w:hint="eastAsia" w:ascii="仿宋" w:hAnsi="仿宋" w:eastAsia="仿宋"/>
          <w:b w:val="0"/>
          <w:bCs/>
          <w:sz w:val="32"/>
          <w:szCs w:val="32"/>
        </w:rPr>
        <w:t>，决算数小于预算数的主要原因是人员变动，未支出相应费用，还未进行清算。</w:t>
      </w:r>
    </w:p>
    <w:p>
      <w:pPr>
        <w:spacing w:line="600" w:lineRule="exact"/>
        <w:ind w:firstLine="642" w:firstLineChars="200"/>
        <w:rPr>
          <w:rFonts w:ascii="仿宋" w:hAnsi="仿宋" w:eastAsia="仿宋"/>
          <w:b/>
          <w:sz w:val="32"/>
          <w:szCs w:val="32"/>
        </w:rPr>
      </w:pPr>
      <w:r>
        <w:rPr>
          <w:rStyle w:val="15"/>
          <w:rFonts w:ascii="仿宋" w:hAnsi="仿宋" w:eastAsia="仿宋"/>
          <w:bCs/>
          <w:sz w:val="32"/>
          <w:szCs w:val="32"/>
        </w:rPr>
        <w:t>4.</w:t>
      </w:r>
      <w:r>
        <w:rPr>
          <w:rStyle w:val="15"/>
          <w:rFonts w:hint="eastAsia" w:ascii="仿宋" w:hAnsi="仿宋" w:eastAsia="仿宋"/>
          <w:bCs/>
          <w:sz w:val="32"/>
          <w:szCs w:val="32"/>
        </w:rPr>
        <w:t>农林水支出（类）扶贫（款）其他扶贫支出（项）</w:t>
      </w:r>
      <w:r>
        <w:rPr>
          <w:rStyle w:val="15"/>
          <w:rFonts w:ascii="仿宋" w:hAnsi="仿宋" w:eastAsia="仿宋"/>
          <w:bCs/>
          <w:sz w:val="32"/>
          <w:szCs w:val="32"/>
        </w:rPr>
        <w:t>:</w:t>
      </w:r>
      <w:r>
        <w:rPr>
          <w:rStyle w:val="15"/>
          <w:rFonts w:hint="eastAsia" w:ascii="仿宋" w:hAnsi="仿宋" w:eastAsia="仿宋"/>
          <w:b w:val="0"/>
          <w:bCs/>
          <w:sz w:val="32"/>
          <w:szCs w:val="32"/>
        </w:rPr>
        <w:t>支出决算为1.5万元，完成预算100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2" w:firstLineChars="200"/>
        <w:rPr>
          <w:rFonts w:ascii="仿宋" w:hAnsi="仿宋" w:eastAsia="仿宋"/>
          <w:sz w:val="32"/>
          <w:szCs w:val="32"/>
        </w:rPr>
      </w:pPr>
      <w:r>
        <w:rPr>
          <w:rStyle w:val="15"/>
          <w:rFonts w:ascii="仿宋" w:hAnsi="仿宋" w:eastAsia="仿宋"/>
          <w:bCs/>
          <w:sz w:val="32"/>
          <w:szCs w:val="32"/>
        </w:rPr>
        <w:t>5.</w:t>
      </w:r>
      <w:r>
        <w:rPr>
          <w:rStyle w:val="15"/>
          <w:rFonts w:hint="eastAsia" w:ascii="仿宋" w:hAnsi="仿宋" w:eastAsia="仿宋"/>
          <w:bCs/>
          <w:sz w:val="32"/>
          <w:szCs w:val="32"/>
        </w:rPr>
        <w:t>住房保障支出（类）住房改革支出（款）住房公积金（项）：</w:t>
      </w:r>
      <w:r>
        <w:rPr>
          <w:rStyle w:val="15"/>
          <w:rFonts w:hint="eastAsia" w:ascii="仿宋" w:hAnsi="仿宋" w:eastAsia="仿宋"/>
          <w:b w:val="0"/>
          <w:bCs/>
          <w:sz w:val="32"/>
          <w:szCs w:val="32"/>
        </w:rPr>
        <w:t>支出决算为64.39万元，完成预算100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0"/>
        <w:rPr>
          <w:rFonts w:ascii="仿宋" w:hAnsi="仿宋" w:eastAsia="仿宋"/>
          <w:b/>
          <w:sz w:val="32"/>
          <w:szCs w:val="32"/>
        </w:rPr>
      </w:pPr>
      <w:r>
        <w:rPr>
          <w:rFonts w:hint="eastAsia" w:ascii="仿宋" w:hAnsi="仿宋" w:eastAsia="仿宋"/>
          <w:b/>
          <w:sz w:val="32"/>
          <w:szCs w:val="32"/>
        </w:rPr>
        <w:t>（数据来源财决</w:t>
      </w:r>
      <w:r>
        <w:rPr>
          <w:rFonts w:ascii="仿宋" w:hAnsi="仿宋" w:eastAsia="仿宋"/>
          <w:b/>
          <w:sz w:val="32"/>
          <w:szCs w:val="32"/>
        </w:rPr>
        <w:t>08</w:t>
      </w:r>
      <w:r>
        <w:rPr>
          <w:rFonts w:hint="eastAsia" w:ascii="仿宋" w:hAnsi="仿宋" w:eastAsia="仿宋"/>
          <w:b/>
          <w:sz w:val="32"/>
          <w:szCs w:val="32"/>
        </w:rPr>
        <w:t>表，罗列全部功能分类科目至项级。上述“预算”口径为调整预算数。增减变动原因为决算数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和调整预算数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8年一般公共预算财政拨款基本支出1816.76万元，其中：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1606.82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209.94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000000" w:themeColor="text1"/>
          <w:sz w:val="32"/>
          <w:szCs w:val="32"/>
        </w:rPr>
      </w:pPr>
      <w:r>
        <w:rPr>
          <w:rFonts w:hint="eastAsia" w:ascii="仿宋" w:hAnsi="仿宋" w:eastAsia="仿宋"/>
          <w:b/>
          <w:color w:val="000000" w:themeColor="text1"/>
          <w:sz w:val="32"/>
          <w:szCs w:val="32"/>
        </w:rPr>
        <w:t>（数据来源财决</w:t>
      </w:r>
      <w:r>
        <w:rPr>
          <w:rFonts w:ascii="仿宋" w:hAnsi="仿宋" w:eastAsia="仿宋"/>
          <w:b/>
          <w:color w:val="000000" w:themeColor="text1"/>
          <w:sz w:val="32"/>
          <w:szCs w:val="32"/>
        </w:rPr>
        <w:t>0</w:t>
      </w:r>
      <w:r>
        <w:rPr>
          <w:rFonts w:hint="eastAsia" w:ascii="仿宋" w:hAnsi="仿宋" w:eastAsia="仿宋"/>
          <w:b/>
          <w:color w:val="000000" w:themeColor="text1"/>
          <w:sz w:val="32"/>
          <w:szCs w:val="32"/>
        </w:rPr>
        <w:t>7表，根据本部门实际支出情况罗列全部经济分类科目。）</w:t>
      </w:r>
    </w:p>
    <w:p>
      <w:pPr>
        <w:spacing w:line="600" w:lineRule="exact"/>
        <w:ind w:firstLine="640"/>
        <w:rPr>
          <w:rFonts w:ascii="仿宋" w:hAnsi="仿宋" w:eastAsia="仿宋"/>
          <w:b/>
          <w:color w:val="FF0000"/>
          <w:sz w:val="32"/>
          <w:szCs w:val="32"/>
        </w:rPr>
      </w:pPr>
    </w:p>
    <w:p>
      <w:pPr>
        <w:spacing w:line="600" w:lineRule="exact"/>
        <w:ind w:firstLine="640"/>
        <w:outlineLvl w:val="1"/>
        <w:rPr>
          <w:rStyle w:val="26"/>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8年“三公”经费财政拨款支出决算为18.73万元，完成预算100</w:t>
      </w:r>
      <w:r>
        <w:rPr>
          <w:rFonts w:ascii="仿宋" w:hAnsi="仿宋" w:eastAsia="仿宋"/>
          <w:color w:val="000000"/>
          <w:sz w:val="32"/>
          <w:szCs w:val="32"/>
        </w:rPr>
        <w:t>%</w:t>
      </w:r>
      <w:r>
        <w:rPr>
          <w:rFonts w:hint="eastAsia" w:ascii="仿宋" w:hAnsi="仿宋" w:eastAsia="仿宋"/>
          <w:color w:val="000000"/>
          <w:sz w:val="32"/>
          <w:szCs w:val="32"/>
        </w:rPr>
        <w:t>，决算数与预算数持平的主要原因是严格把控三公经费开支，尤其是公务车辆运行和公务接待费，依据相关制度规范，做到不能用的不用、该用的谨慎用。</w:t>
      </w:r>
    </w:p>
    <w:p>
      <w:pPr>
        <w:spacing w:line="600" w:lineRule="exact"/>
        <w:ind w:firstLine="640"/>
        <w:rPr>
          <w:rFonts w:ascii="仿宋" w:hAnsi="仿宋" w:eastAsia="仿宋"/>
          <w:b/>
          <w:color w:val="000000" w:themeColor="text1"/>
          <w:sz w:val="32"/>
          <w:szCs w:val="32"/>
        </w:rPr>
      </w:pPr>
      <w:r>
        <w:rPr>
          <w:rFonts w:hint="eastAsia" w:ascii="仿宋" w:hAnsi="仿宋" w:eastAsia="仿宋"/>
          <w:b/>
          <w:color w:val="000000"/>
          <w:sz w:val="32"/>
          <w:szCs w:val="32"/>
        </w:rPr>
        <w:t>（上述“预算”口径为调整预</w:t>
      </w:r>
      <w:r>
        <w:rPr>
          <w:rFonts w:hint="eastAsia" w:ascii="仿宋" w:hAnsi="仿宋" w:eastAsia="仿宋"/>
          <w:b/>
          <w:color w:val="000000" w:themeColor="text1"/>
          <w:sz w:val="32"/>
          <w:szCs w:val="32"/>
        </w:rPr>
        <w:t>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5408" behindDoc="0" locked="0" layoutInCell="1" allowOverlap="1">
            <wp:simplePos x="0" y="0"/>
            <wp:positionH relativeFrom="column">
              <wp:posOffset>277495</wp:posOffset>
            </wp:positionH>
            <wp:positionV relativeFrom="paragraph">
              <wp:posOffset>1646555</wp:posOffset>
            </wp:positionV>
            <wp:extent cx="4651375" cy="3057525"/>
            <wp:effectExtent l="4445" t="4445" r="11430" b="508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；公务用车购置及运行维护费支出决算15万元，占80.09</w:t>
      </w:r>
      <w:r>
        <w:rPr>
          <w:rFonts w:ascii="仿宋" w:hAnsi="仿宋" w:eastAsia="仿宋"/>
          <w:color w:val="000000"/>
          <w:sz w:val="32"/>
          <w:szCs w:val="32"/>
        </w:rPr>
        <w:t>%</w:t>
      </w:r>
      <w:r>
        <w:rPr>
          <w:rFonts w:hint="eastAsia" w:ascii="仿宋" w:hAnsi="仿宋" w:eastAsia="仿宋"/>
          <w:color w:val="000000"/>
          <w:sz w:val="32"/>
          <w:szCs w:val="32"/>
        </w:rPr>
        <w:t>；公务接待费支出决算3.73万元，占19.91</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。主要原因是未开展出国出境活动。</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开支内容包括：无（团组名称、出访地点、取得成效）。</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15万元,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。主要原因是继续规范车辆管理，严格把控开支，做到有预算才用，无预算不用。</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0万元。全年按规定更新购置公务用车0辆，其中：轿车0辆、金额0万元，越野车0辆、金额0万元，载客汽车0辆、金额0万元，主要用于无。截至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月底，单位共有公务用车9辆，其中：轿车8辆、越野车1辆、载客汽车0辆。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15万元。主要用于开展公诉业务、公益诉讼调查取证、法制宣传等所需的公务用车燃料费、维修费、过路过桥费、保险费等支出。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3.73万元，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7年增加0.03万元，增长0.81</w:t>
      </w:r>
      <w:r>
        <w:rPr>
          <w:rFonts w:ascii="仿宋_GB2312" w:eastAsia="仿宋_GB2312"/>
          <w:color w:val="000000"/>
          <w:sz w:val="32"/>
          <w:szCs w:val="32"/>
        </w:rPr>
        <w:t>%</w:t>
      </w:r>
      <w:r>
        <w:rPr>
          <w:rFonts w:hint="eastAsia" w:ascii="仿宋_GB2312" w:eastAsia="仿宋_GB2312"/>
          <w:color w:val="000000"/>
          <w:sz w:val="32"/>
          <w:szCs w:val="32"/>
        </w:rPr>
        <w:t>。主要原因是考虑到物价上涨等因素，预算较上年比有所增加。</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主要用于执行公务、开展业务活动开支的交通费、住宿费、用餐费等。国内公务接待50批次，500人次（不包括陪同人员），共计支出3.73万元，具</w:t>
      </w:r>
      <w:r>
        <w:rPr>
          <w:rFonts w:hint="eastAsia" w:ascii="仿宋_GB2312" w:eastAsia="仿宋_GB2312"/>
          <w:color w:val="000000" w:themeColor="text1"/>
          <w:sz w:val="32"/>
          <w:szCs w:val="32"/>
        </w:rPr>
        <w:t>体内容包括：接待</w:t>
      </w:r>
      <w:r>
        <w:rPr>
          <w:rFonts w:hint="eastAsia" w:ascii="仿宋_GB2312" w:eastAsia="仿宋_GB2312"/>
          <w:color w:val="000000"/>
          <w:sz w:val="32"/>
          <w:szCs w:val="32"/>
        </w:rPr>
        <w:t>异地检察院等其他单位来我院调研交流30余次、接待异地公安等政法单位办案人员10余次</w:t>
      </w:r>
      <w:r>
        <w:rPr>
          <w:rFonts w:hint="eastAsia" w:ascii="仿宋_GB2312" w:eastAsia="仿宋_GB2312"/>
          <w:color w:val="000000" w:themeColor="text1"/>
          <w:sz w:val="32"/>
          <w:szCs w:val="32"/>
        </w:rPr>
        <w:t>。</w:t>
      </w:r>
      <w:r>
        <w:rPr>
          <w:rFonts w:hint="eastAsia" w:ascii="仿宋_GB2312" w:eastAsia="仿宋_GB2312"/>
          <w:color w:val="000000"/>
          <w:sz w:val="32"/>
          <w:szCs w:val="32"/>
        </w:rPr>
        <w:t>其中：</w:t>
      </w:r>
    </w:p>
    <w:p>
      <w:pPr>
        <w:spacing w:line="600" w:lineRule="exact"/>
        <w:ind w:firstLine="642"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，外事接待0批次，0人，共计支出0万元，主要用于接待无（具体项目）。主要用于无。</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3.73</w:t>
      </w:r>
      <w:r>
        <w:rPr>
          <w:rFonts w:hint="eastAsia" w:ascii="仿宋_GB2312" w:eastAsia="仿宋_GB2312"/>
          <w:color w:val="000000"/>
          <w:sz w:val="32"/>
          <w:szCs w:val="32"/>
        </w:rPr>
        <w:t>万元，主要用于异地检察院等其他单位来我院调研交流时的餐饮费、异地公安等政法单位办案人员的工作餐开支等。</w:t>
      </w:r>
    </w:p>
    <w:p>
      <w:pPr>
        <w:spacing w:line="600" w:lineRule="exact"/>
        <w:ind w:firstLine="640"/>
        <w:outlineLvl w:val="1"/>
        <w:rPr>
          <w:rFonts w:ascii="黑体" w:eastAsia="黑体"/>
          <w:color w:val="000000"/>
          <w:sz w:val="32"/>
          <w:szCs w:val="32"/>
        </w:rPr>
      </w:pPr>
      <w:bookmarkStart w:id="46" w:name="_Toc15377218"/>
      <w:bookmarkStart w:id="47" w:name="_Toc15396610"/>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8年政府性基金预算拨款支出0万元。</w:t>
      </w:r>
    </w:p>
    <w:p>
      <w:pPr>
        <w:spacing w:line="600" w:lineRule="exact"/>
        <w:ind w:firstLine="640"/>
        <w:rPr>
          <w:rFonts w:ascii="仿宋_GB2312" w:eastAsia="仿宋_GB2312"/>
          <w:color w:val="000000"/>
          <w:sz w:val="32"/>
          <w:szCs w:val="32"/>
        </w:rPr>
      </w:pPr>
    </w:p>
    <w:p>
      <w:pPr>
        <w:numPr>
          <w:ilvl w:val="0"/>
          <w:numId w:val="3"/>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pStyle w:val="24"/>
        <w:numPr>
          <w:ilvl w:val="0"/>
          <w:numId w:val="4"/>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5"/>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人民监督员、案件线索举报、查办与预防职务犯罪和公诉审判监督办案专项经费、援藏援彝、检察人员及司法警察换装等项目开展了预算事前绩效评估，对5个项目编制了绩效目标，预算执行过程中，选取5个项目开展绩效监控，年终执行完毕后，对个5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本部门按要求对2018年部门整体支出开展绩效自评，从评价情况来看各项目按进度完成，达到了预期效果。本部门还自行组织了5个项目绩效评价，从评价情况来看达到绩效目标，收效良好。</w:t>
      </w:r>
    </w:p>
    <w:p>
      <w:pPr>
        <w:numPr>
          <w:ilvl w:val="0"/>
          <w:numId w:val="5"/>
        </w:numPr>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本部门在2018年度部门决算中反映“人民监督员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案件线索举报奖励</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查办与预防职务犯罪和公诉审判监督办案专项经费”“援藏援彝工作”“检察人员及司法警察换装”等5个项目绩效目标实际完成情况。（本单位部门项目绩效目标个数在5个以上的，选取5个项目进行公开，目标个数在5个以下的，全部进行公开，公开内容包括完成情况综述和完成情况表）。</w:t>
      </w:r>
    </w:p>
    <w:p>
      <w:pPr>
        <w:numPr>
          <w:ilvl w:val="0"/>
          <w:numId w:val="6"/>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民监督员项目绩效目标完成情况综述。项目全年预算数3万元，执行数为3万元，完成预算的100%。通过项目实施，保障了人民监督员对检察机关拟作撤案、不起诉处理以及在办案中发生的超期羁押、违法搜查等情况进行监督并提出监督意见，发现的主要问题：人民监督员意在防止和纠正检察机关执法不公的问题，随着检察业务的复杂化，人民监督员参与度也会越来越高，而相应的保障措施还未到位。下一步改进措施：继续做好专款专用，保障开支需求。</w:t>
      </w:r>
    </w:p>
    <w:p>
      <w:pPr>
        <w:numPr>
          <w:ilvl w:val="0"/>
          <w:numId w:val="6"/>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案件线索举报奖励项目绩效目标完成情况综述。项目全年预算数4万元，执行数为4万元，完成预算的100%。通过项目实施，保障了案件线索收集，发现的主要问题：线索排查数量多、任务重，需及时选取有价值的线索给予奖励。下一步改进措施：继续做好专款专用，保障开支需求。</w:t>
      </w:r>
    </w:p>
    <w:p>
      <w:pPr>
        <w:numPr>
          <w:ilvl w:val="0"/>
          <w:numId w:val="6"/>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查办与预防职务犯罪和公诉审判监督办案专项经费项目绩效目标完成情况综述。项目全年预算数10万元，执行数为10万元，完成预算的100%。通过项目实施，促进了公诉等检察业务的开展，发现的主要问题：查办和预防职务犯罪类案件收尾工作完成，公诉等其他检察工作业务量逐日增大，随着公益诉讼、未成年检察的工作推进，经费开支较大。下一步改进措施：细化开支，最大限度压缩经费，同时争取更多的财政资金投入。</w:t>
      </w:r>
    </w:p>
    <w:p>
      <w:pPr>
        <w:numPr>
          <w:ilvl w:val="0"/>
          <w:numId w:val="6"/>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援藏援彝项目绩效目标完成情况综述。项目全年预算数1万元，执行数为1万元，完成预算的100%。通过项目实施，支持了对援藏援彝的对口单位昭觉县检察院的工作开展，发现的主要问题：无。下一步改进措施：继续做好专款专用，及时给予必要的支援。</w:t>
      </w:r>
    </w:p>
    <w:p>
      <w:pPr>
        <w:numPr>
          <w:ilvl w:val="0"/>
          <w:numId w:val="6"/>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察人员及司法警察换装项目绩效目标完成情况综述。项目全年预算数22.78万元，执行数为22.78万元，完成预算的100%。通过项目实施，保障了检察制服的更新换代，发现的主要问题：无。下一步改进措施：继续做好人员管理及统计工作，做到专款专用。</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人民监督员</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广元市利州区人民检察院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人民监督员参与司法办案，监督检察机关执法公正。</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人民监督员对我院办理案件时拟作撤案、不起诉决定时参与案件讨论，提出意见。并始终监督我院开展各项检察活动时的规范性、公正性。</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人民监督员参与率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按规定监督相关检察业务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30。案件监督符合规定。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30。案件监督符合规定。</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意见采纳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积极听取人民监督员意见，并采纳正确的意见</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30。案件决议无差错。</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30。案件决议无差错。</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政府指令性任务落实</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响应司法为公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10。完成政府工作部署。</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10。完成政府工作部署。</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政府指令性任务落实</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落实案件监督制度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10。规定人民监督员参与的案件需请人民监督员参与。</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10。规定人民监督员参与的案件需请人民监督员参与。</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公众满意度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年度政风评价</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20。不发生影响恶劣的群众上访事件。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20。未发生影响恶劣的群众上访事件。</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黑体" w:hAnsi="黑体" w:eastAsia="黑体" w:cs="宋体"/>
                <w:bCs/>
                <w:color w:val="000000"/>
                <w:kern w:val="0"/>
                <w:sz w:val="36"/>
                <w:szCs w:val="36"/>
              </w:rPr>
            </w:pPr>
          </w:p>
          <w:p>
            <w:pPr>
              <w:pStyle w:val="24"/>
              <w:widowControl/>
              <w:ind w:left="4173" w:leftChars="1310" w:hanging="1422" w:hangingChars="395"/>
              <w:textAlignment w:val="center"/>
              <w:rPr>
                <w:rFonts w:ascii="黑体" w:hAnsi="黑体" w:eastAsia="黑体" w:cs="宋体"/>
                <w:bCs/>
                <w:color w:val="000000"/>
                <w:kern w:val="0"/>
                <w:sz w:val="36"/>
                <w:szCs w:val="36"/>
              </w:rPr>
            </w:pPr>
          </w:p>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案件线索举报奖励</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广元市利州区人民检察院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收集举报线索</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收集举报线索</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线索收集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对收集的线索进行登记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无漏记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无漏记</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线索上报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对需要上报的线索及时上报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无漏报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无漏报</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线索筛查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筛查有价值的线索</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对线索进行初步筛选</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对线索进行初步筛选</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费用控制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对有价值的线索予以奖励</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无超支、超范围奖励</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无超支、超范围奖励</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对举报人实施必要保护及奖励</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保障安全同时奖励发放到位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保障安全同时奖励发放到位</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查办与预防职务犯罪和公诉审判监督办案专项经费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广元市利州区人民检察院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积极开展检察业务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依法打击刑事犯罪，实现办案零差错</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检察工作的开展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严厉打击刑事犯罪</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开展批捕和公诉案件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开展批捕和公诉案件</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检察工作的开展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加强未成年人检察工作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落实未成年人检察各项特殊制度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落实未成年人检察各项特殊制度</w:t>
            </w:r>
          </w:p>
        </w:tc>
      </w:tr>
      <w:tr>
        <w:tblPrEx>
          <w:tblCellMar>
            <w:top w:w="0" w:type="dxa"/>
            <w:left w:w="0" w:type="dxa"/>
            <w:bottom w:w="0" w:type="dxa"/>
            <w:right w:w="0" w:type="dxa"/>
          </w:tblCellMar>
        </w:tblPrEx>
        <w:trPr>
          <w:trHeight w:val="103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检察工作的开展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依法化解矛盾定纷止争</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 妥善处理各类信访矛盾纠纷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 妥善处理各类信访矛盾纠纷</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检察工作的开展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加强诉讼监督</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依法监督有案不立、有罪不究等问题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依法监督有案不立、有罪不究等问题</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政府性指令落实</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贯彻宽严相济刑事政策</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10 完善检察环节轻微刑事案件从宽处理机制，深化刑事和解、检调对接工作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20 完善检察环节轻微刑事案件从宽处理机制，深化刑事和解、检调对接工作</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政府性指令落实</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深入推进公益诉讼工作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 开展公益诉讼</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 开展公益诉讼</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落实司法责任制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确保监管不缺位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 围绕监督主责主任，严守公平正义防线</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 围绕监督主责主任，严守公平正义防线</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援藏援彝</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广元市利州区人民检察院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对昭觉县检察院予以工作支持</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对昭觉县检察院予以工作支持</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经费保障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给予经费支持</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 按规定予以支持</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按规定予以支持</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工作交流</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开展案件讨论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 积极交流检察业务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 积极交流检察业务</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政府性指令落实</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落实援藏援彝工作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对昭觉县检察院给予支持</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对昭觉县检察院给予支持</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偏远地区发展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昭觉县检察事业有序发展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20昭觉县检察院无因人财物导致的发展落后</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20昭觉县检察院无因人财物导致的发展落后</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rPr>
              <w:t>检察人员及司法警察换装</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22.78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22.78</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22.78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22.78</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换装工作及时、无差错</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换装工作及时、无差错</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经费预算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按标准测算</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 测算准确无差错</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 测算准确无差错</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服装登记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制服类型、尺寸的统计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 依照实时人员做好统计工作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 依照实时人员做好统计工作</w:t>
            </w:r>
          </w:p>
        </w:tc>
      </w:tr>
      <w:tr>
        <w:tblPrEx>
          <w:tblCellMar>
            <w:top w:w="0" w:type="dxa"/>
            <w:left w:w="0" w:type="dxa"/>
            <w:bottom w:w="0" w:type="dxa"/>
            <w:right w:w="0" w:type="dxa"/>
          </w:tblCellMar>
        </w:tblPrEx>
        <w:trPr>
          <w:trHeight w:val="103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服装上报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及时填报各项表格</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 及时上报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 及时上报</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费用控制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详实测算</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无多计漏计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 无多计漏计</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服装发放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发放无差错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 发放无差错</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 发放无差错</w:t>
            </w:r>
          </w:p>
        </w:tc>
      </w:tr>
    </w:tbl>
    <w:p>
      <w:pPr>
        <w:numPr>
          <w:ilvl w:val="0"/>
          <w:numId w:val="5"/>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本部门按要求对2018年部门整体支出绩效评价情况开展自评，《广元市利州区人民检察院2018年部门整体支出绩效评价报告》见附件。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人民监督员、案件线索举报、查办与预防职务犯罪和公诉审判监督办案专项经费、援藏援彝、检察人员及司法警察换装等项目开展了绩效评价，《人民监督员项目2018年绩效评价报告》《案件线索举报奖励项目2018年绩效评价报告》《查办与预防职务犯罪和公诉审判监督办案专项经费项目2018年绩效评价报告》《援藏援彝项目2018年绩效评价报告》《检察人员及司法警察换装项目2018年绩效评价报告》见附件。（非涉密部门均需公开部门整体支出评价报告，部门自行组织的绩效评价情况根据部门实际公开）</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6"/>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8年，广元市利州区人民检察院机关运行经费支出209.94万元，比</w:t>
      </w:r>
      <w:r>
        <w:rPr>
          <w:rFonts w:ascii="仿宋_GB2312" w:eastAsia="仿宋_GB2312"/>
          <w:color w:val="000000"/>
          <w:sz w:val="32"/>
          <w:szCs w:val="32"/>
        </w:rPr>
        <w:t>201</w:t>
      </w:r>
      <w:r>
        <w:rPr>
          <w:rFonts w:hint="eastAsia" w:ascii="仿宋_GB2312" w:eastAsia="仿宋_GB2312"/>
          <w:color w:val="000000"/>
          <w:sz w:val="32"/>
          <w:szCs w:val="32"/>
        </w:rPr>
        <w:t>7年减少57.58万元，下降21.52</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主要原因是严控各项开支，创建节约型单位。</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sz w:val="32"/>
          <w:szCs w:val="32"/>
        </w:rPr>
        <w:t>201</w:t>
      </w:r>
      <w:r>
        <w:rPr>
          <w:rFonts w:hint="eastAsia" w:ascii="仿宋_GB2312" w:eastAsia="仿宋_GB2312"/>
          <w:sz w:val="32"/>
          <w:szCs w:val="32"/>
        </w:rPr>
        <w:t>8年，</w:t>
      </w:r>
      <w:r>
        <w:rPr>
          <w:rFonts w:hint="eastAsia" w:ascii="仿宋_GB2312" w:eastAsia="仿宋_GB2312"/>
          <w:color w:val="000000"/>
          <w:sz w:val="32"/>
          <w:szCs w:val="32"/>
        </w:rPr>
        <w:t>广元市利州区人民检察院政府采购支出总额192.045万元，其中：政府采购货物支出112.545万元、政府采购工程支出</w:t>
      </w:r>
      <w:r>
        <w:rPr>
          <w:rFonts w:ascii="仿宋_GB2312" w:eastAsia="仿宋_GB2312"/>
          <w:color w:val="000000"/>
          <w:sz w:val="32"/>
          <w:szCs w:val="32"/>
        </w:rPr>
        <w:t>**</w:t>
      </w:r>
      <w:r>
        <w:rPr>
          <w:rFonts w:hint="eastAsia" w:ascii="仿宋_GB2312" w:eastAsia="仿宋_GB2312"/>
          <w:color w:val="000000"/>
          <w:sz w:val="32"/>
          <w:szCs w:val="32"/>
        </w:rPr>
        <w:t>万元、政府采购服务支出79.5万元。主要用于办公办案的业务装备采购（包括电脑打印机、公诉装备、无人机等）和物业管理服务政府采购项目。授予中小企业合同金额</w:t>
      </w:r>
      <w:r>
        <w:rPr>
          <w:rFonts w:ascii="仿宋_GB2312" w:eastAsia="仿宋_GB2312"/>
          <w:color w:val="000000"/>
          <w:sz w:val="32"/>
          <w:szCs w:val="32"/>
        </w:rPr>
        <w:t>**</w:t>
      </w:r>
      <w:r>
        <w:rPr>
          <w:rFonts w:hint="eastAsia" w:ascii="仿宋_GB2312" w:eastAsia="仿宋_GB2312"/>
          <w:color w:val="000000"/>
          <w:sz w:val="32"/>
          <w:szCs w:val="32"/>
        </w:rPr>
        <w:t>万元，占政府采购支出总额的</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ascii="仿宋_GB2312" w:eastAsia="仿宋_GB2312"/>
          <w:color w:val="000000"/>
          <w:sz w:val="32"/>
          <w:szCs w:val="32"/>
        </w:rPr>
        <w:t>**</w:t>
      </w:r>
      <w:r>
        <w:rPr>
          <w:rFonts w:hint="eastAsia" w:ascii="仿宋_GB2312" w:eastAsia="仿宋_GB2312"/>
          <w:color w:val="000000"/>
          <w:sz w:val="32"/>
          <w:szCs w:val="32"/>
        </w:rPr>
        <w:t>万元，占政府采购支出总额的</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日，广元市利州区人民检察院共有车辆9辆，其中：部级领导干部用车0辆、一般公务用车0辆、一般执法执勤用车9辆、特种专业技术用车0辆、其他用车0辆，</w:t>
      </w:r>
      <w:r>
        <w:rPr>
          <w:rFonts w:hint="eastAsia" w:ascii="仿宋_GB2312" w:eastAsia="仿宋_GB2312"/>
          <w:color w:val="000000" w:themeColor="text1"/>
          <w:sz w:val="32"/>
          <w:szCs w:val="32"/>
        </w:rPr>
        <w:t>其他用车主要是用于无。单价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7"/>
        </w:numPr>
        <w:spacing w:line="600" w:lineRule="exact"/>
        <w:ind w:firstLine="662" w:firstLineChars="150"/>
        <w:jc w:val="center"/>
        <w:outlineLvl w:val="0"/>
        <w:rPr>
          <w:rStyle w:val="25"/>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公共安全（类）检察（款）行政运行（项）</w:t>
      </w:r>
      <w:r>
        <w:rPr>
          <w:rFonts w:ascii="仿宋_GB2312" w:eastAsia="仿宋_GB2312"/>
          <w:sz w:val="32"/>
          <w:szCs w:val="32"/>
        </w:rPr>
        <w:t>:</w:t>
      </w:r>
      <w:r>
        <w:rPr>
          <w:rFonts w:hint="eastAsia" w:ascii="仿宋_GB2312" w:eastAsia="仿宋_GB2312"/>
          <w:sz w:val="32"/>
          <w:szCs w:val="32"/>
        </w:rPr>
        <w:t>指反映行政单位（包括实行公务员管理的事业单位）的基本支出。</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公共安全（类）检察（款）一般行政管理事务（项）：：指反映行政单位（包括实行公务员管理的事业单位）未单独设置项级科目的其他项目支出。</w:t>
      </w:r>
    </w:p>
    <w:p>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公共安全（类）检察（款）查办和预防职务犯罪（项）：指反映查办贪污贿赂、渎职侵权等职位犯罪案所发生的</w:t>
      </w:r>
      <w:bookmarkStart w:id="76" w:name="_GoBack"/>
      <w:bookmarkEnd w:id="76"/>
      <w:r>
        <w:rPr>
          <w:rFonts w:hint="eastAsia" w:ascii="仿宋_GB2312" w:eastAsia="仿宋_GB2312"/>
          <w:sz w:val="32"/>
          <w:szCs w:val="32"/>
        </w:rPr>
        <w:t>支出以及开展预防职务犯罪工作的支出。</w:t>
      </w:r>
    </w:p>
    <w:p>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社会保障和就业支出（类）行政事业单位离退休（款）机关事业单位基本养老保险缴费支出（项）</w:t>
      </w:r>
      <w:r>
        <w:rPr>
          <w:rFonts w:ascii="仿宋_GB2312" w:eastAsia="仿宋_GB2312"/>
          <w:sz w:val="32"/>
          <w:szCs w:val="32"/>
        </w:rPr>
        <w:t>:</w:t>
      </w:r>
      <w:r>
        <w:rPr>
          <w:rFonts w:hint="eastAsia" w:ascii="仿宋_GB2312" w:eastAsia="仿宋_GB2312"/>
          <w:sz w:val="32"/>
          <w:szCs w:val="32"/>
        </w:rPr>
        <w:t>指反映机关事业单位实施养老保险制度由单位缴纳的基本养老保险费支出。</w:t>
      </w:r>
    </w:p>
    <w:p>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社会保障和就业支出（类）行政事业单位离退休（款）机关事业单位职业年金缴费支出（项）</w:t>
      </w:r>
      <w:r>
        <w:rPr>
          <w:rFonts w:ascii="仿宋_GB2312" w:eastAsia="仿宋_GB2312"/>
          <w:sz w:val="32"/>
          <w:szCs w:val="32"/>
        </w:rPr>
        <w:t xml:space="preserve">: </w:t>
      </w:r>
      <w:r>
        <w:rPr>
          <w:rFonts w:hint="eastAsia" w:ascii="仿宋_GB2312" w:eastAsia="仿宋_GB2312"/>
          <w:sz w:val="32"/>
          <w:szCs w:val="32"/>
        </w:rPr>
        <w:t>指反映机关事业单位实施养老保险制度由单位实际缴纳的职业年金支出。</w:t>
      </w:r>
    </w:p>
    <w:p>
      <w:pPr>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社会保障和就业支出（类）抚恤（款）死亡抚恤（项）：指反映按规定用于烈士和牺牲、病故人员家属的一次性和定期抚恤金以及丧葬补助费。</w:t>
      </w:r>
    </w:p>
    <w:p>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医疗卫生与计划生育支出（类）行政事业单位医疗（款）行政单位医疗（项）</w:t>
      </w:r>
      <w:r>
        <w:rPr>
          <w:rFonts w:ascii="仿宋_GB2312" w:eastAsia="仿宋_GB2312"/>
          <w:sz w:val="32"/>
          <w:szCs w:val="32"/>
        </w:rPr>
        <w:t>:</w:t>
      </w:r>
      <w:r>
        <w:rPr>
          <w:rFonts w:hint="eastAsia" w:ascii="仿宋_GB2312" w:eastAsia="仿宋_GB2312"/>
          <w:sz w:val="32"/>
          <w:szCs w:val="32"/>
        </w:rPr>
        <w:t>指反映财政部门集中安排的行政单位基本医疗保险缴费经费，未参加医疗保险的行政单位的公费医疗经费，按国家规定享受离休人员、红军老战士待遇人员的医疗经费。</w:t>
      </w:r>
    </w:p>
    <w:p>
      <w:pPr>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农林水支出（类）扶贫（款）其他扶贫支出（项）</w:t>
      </w:r>
      <w:r>
        <w:rPr>
          <w:rFonts w:ascii="仿宋_GB2312" w:eastAsia="仿宋_GB2312"/>
          <w:sz w:val="32"/>
          <w:szCs w:val="32"/>
        </w:rPr>
        <w:t>:</w:t>
      </w:r>
      <w:r>
        <w:rPr>
          <w:rFonts w:hint="eastAsia" w:ascii="仿宋_GB2312" w:eastAsia="仿宋_GB2312"/>
          <w:sz w:val="32"/>
          <w:szCs w:val="32"/>
        </w:rPr>
        <w:t>指反映除上述项目以外其他用于扶贫方面的支出。</w:t>
      </w:r>
    </w:p>
    <w:p>
      <w:pPr>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住房保障支出（类）住房改革支出（款）住房公积金（项）：指反映行政事业单位按人力资源和社会保障部、财政部规定的基本工资和津贴补贴以及规定比例为职工缴纳的住房公积金。</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18</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19</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0</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21</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22</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5"/>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spacing w:line="600" w:lineRule="exact"/>
        <w:jc w:val="center"/>
        <w:outlineLvl w:val="0"/>
        <w:rPr>
          <w:rStyle w:val="25"/>
        </w:rPr>
      </w:pPr>
    </w:p>
    <w:p>
      <w:pPr>
        <w:pStyle w:val="3"/>
        <w:rPr>
          <w:rStyle w:val="25"/>
          <w:rFonts w:ascii="仿宋" w:hAnsi="仿宋" w:eastAsia="仿宋"/>
          <w:b w:val="0"/>
          <w:bCs w:val="0"/>
          <w:sz w:val="32"/>
          <w:szCs w:val="32"/>
        </w:rPr>
      </w:pPr>
      <w:bookmarkStart w:id="59" w:name="_Toc15396615"/>
      <w:r>
        <w:rPr>
          <w:rStyle w:val="25"/>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广元市利州区人民检察院</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院内设机构</w:t>
      </w:r>
      <w:r>
        <w:rPr>
          <w:rFonts w:ascii="仿宋" w:hAnsi="仿宋" w:eastAsia="仿宋" w:cs="仿宋_GB2312"/>
          <w:sz w:val="32"/>
          <w:szCs w:val="32"/>
        </w:rPr>
        <w:t>16</w:t>
      </w:r>
      <w:r>
        <w:rPr>
          <w:rFonts w:hint="eastAsia" w:ascii="仿宋" w:hAnsi="仿宋" w:eastAsia="仿宋" w:cs="仿宋_GB2312"/>
          <w:sz w:val="32"/>
          <w:szCs w:val="32"/>
        </w:rPr>
        <w:t>个：政治处、机关党委、办公室、纪检监察科、法律政策研究室、侦查监督科、刑事执行检察局、公诉科、未检科、民事行政检察科、控告申诉检察科、生态环境检察科、案件管理办公室、宝轮检察室、开发区检察室、东坝检察室。反渎职侵权局、反贪污贿赂局于</w:t>
      </w:r>
      <w:r>
        <w:rPr>
          <w:rFonts w:ascii="仿宋" w:hAnsi="仿宋" w:eastAsia="仿宋" w:cs="仿宋_GB2312"/>
          <w:sz w:val="32"/>
          <w:szCs w:val="32"/>
        </w:rPr>
        <w:t>2018</w:t>
      </w:r>
      <w:r>
        <w:rPr>
          <w:rFonts w:hint="eastAsia" w:ascii="仿宋" w:hAnsi="仿宋" w:eastAsia="仿宋" w:cs="仿宋_GB2312"/>
          <w:sz w:val="32"/>
          <w:szCs w:val="32"/>
        </w:rPr>
        <w:t>年</w:t>
      </w:r>
      <w:r>
        <w:rPr>
          <w:rFonts w:ascii="仿宋" w:hAnsi="仿宋" w:eastAsia="仿宋" w:cs="仿宋_GB2312"/>
          <w:sz w:val="32"/>
          <w:szCs w:val="32"/>
        </w:rPr>
        <w:t>8</w:t>
      </w:r>
      <w:r>
        <w:rPr>
          <w:rFonts w:hint="eastAsia" w:ascii="仿宋" w:hAnsi="仿宋" w:eastAsia="仿宋" w:cs="仿宋_GB2312"/>
          <w:sz w:val="32"/>
          <w:szCs w:val="32"/>
        </w:rPr>
        <w:t>月转隶至区纪监委。</w:t>
      </w:r>
    </w:p>
    <w:p>
      <w:pPr>
        <w:numPr>
          <w:ilvl w:val="0"/>
          <w:numId w:val="8"/>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机构职能。</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广元市利州区人民检察院通过行使国家检察权来完成自己的任务。对于危害国家安全案、危害公共安全案、侵犯公民人身权利民主权利案和其他重大犯罪案件，行使检察权；对于公安机关侦查的案件进行审查，决定是否逮捕、起诉或者不起诉；对于刑事案件提起公诉、支持公诉；对于公安机关、人民法院和监狱、看守所、劳动改造机关的活动是否合法，实行监督。</w:t>
      </w:r>
    </w:p>
    <w:p>
      <w:pPr>
        <w:numPr>
          <w:ilvl w:val="0"/>
          <w:numId w:val="8"/>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人员概况。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我院编制70人，其中行政编制64人，公益一类事业6人。2018年年末在职人数70人，退休人数47人，另有协警14人，工勤控制编2人，检察辅助人员12，遗嘱补助人员2人。</w:t>
      </w:r>
    </w:p>
    <w:p>
      <w:pPr>
        <w:spacing w:line="580" w:lineRule="exact"/>
        <w:ind w:left="420" w:leftChars="200"/>
        <w:rPr>
          <w:rFonts w:ascii="仿宋" w:hAnsi="仿宋" w:eastAsia="仿宋" w:cs="仿宋_GB2312"/>
          <w:sz w:val="32"/>
          <w:szCs w:val="32"/>
        </w:rPr>
      </w:pP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600" w:lineRule="exact"/>
        <w:ind w:firstLine="640" w:firstLineChars="200"/>
        <w:outlineLvl w:val="1"/>
        <w:rPr>
          <w:rFonts w:ascii="仿宋" w:hAnsi="仿宋" w:eastAsia="仿宋" w:cs="仿宋_GB2312"/>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8年本年收入合计2124.05万元，其中：一般公共预算财政拨款收入2124.05万元，占100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numPr>
          <w:ilvl w:val="0"/>
          <w:numId w:val="9"/>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部门财政资金支出情况。</w:t>
      </w:r>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8年本年支出合计2021.98万元，其中：基本支出1816.76万元，占89.85</w:t>
      </w:r>
      <w:r>
        <w:rPr>
          <w:rFonts w:ascii="仿宋" w:hAnsi="仿宋" w:eastAsia="仿宋"/>
          <w:color w:val="000000"/>
          <w:sz w:val="32"/>
          <w:szCs w:val="32"/>
        </w:rPr>
        <w:t>%</w:t>
      </w:r>
      <w:r>
        <w:rPr>
          <w:rFonts w:hint="eastAsia" w:ascii="仿宋" w:hAnsi="仿宋" w:eastAsia="仿宋"/>
          <w:color w:val="000000"/>
          <w:sz w:val="32"/>
          <w:szCs w:val="32"/>
        </w:rPr>
        <w:t>；项目支出205.22万元，占10.15</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580" w:lineRule="exact"/>
        <w:rPr>
          <w:rFonts w:ascii="仿宋" w:hAnsi="仿宋" w:eastAsia="仿宋" w:cs="仿宋_GB2312"/>
          <w:sz w:val="32"/>
          <w:szCs w:val="32"/>
        </w:rPr>
      </w:pP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按照国家相关法律法规，</w:t>
      </w:r>
      <w:r>
        <w:rPr>
          <w:rFonts w:hint="eastAsia" w:ascii="仿宋" w:hAnsi="仿宋" w:eastAsia="仿宋" w:cs="仿宋_GB2312"/>
          <w:sz w:val="32"/>
          <w:szCs w:val="32"/>
        </w:rPr>
        <w:t>我院党组结合我院实际</w:t>
      </w:r>
      <w:r>
        <w:rPr>
          <w:rFonts w:ascii="仿宋" w:hAnsi="仿宋" w:eastAsia="仿宋" w:cs="仿宋_GB2312"/>
          <w:sz w:val="32"/>
          <w:szCs w:val="32"/>
        </w:rPr>
        <w:t>制定了机关财务、公物购置使用、接待、会务、差旅等管理制度，</w:t>
      </w:r>
      <w:r>
        <w:rPr>
          <w:rFonts w:hint="eastAsia" w:ascii="仿宋" w:hAnsi="仿宋" w:eastAsia="仿宋" w:cs="仿宋_GB2312"/>
          <w:sz w:val="32"/>
          <w:szCs w:val="32"/>
        </w:rPr>
        <w:t>并以此为契机，以节约为原则确立绩效目标。在预算编制中，我院细化各项开支，较为准确地反应了各项开支。在支出时，我院</w:t>
      </w:r>
      <w:r>
        <w:rPr>
          <w:rFonts w:ascii="仿宋" w:hAnsi="仿宋" w:eastAsia="仿宋" w:cs="仿宋_GB2312"/>
          <w:sz w:val="32"/>
          <w:szCs w:val="32"/>
        </w:rPr>
        <w:t>严格按照制度管理和执行，防范风险，保证财政资金的安全和高效运行。</w:t>
      </w:r>
      <w:r>
        <w:rPr>
          <w:rFonts w:hint="eastAsia" w:ascii="仿宋" w:hAnsi="仿宋" w:eastAsia="仿宋" w:cs="仿宋_GB2312"/>
          <w:sz w:val="32"/>
          <w:szCs w:val="32"/>
        </w:rPr>
        <w:t>全年无违规事件发生</w:t>
      </w:r>
      <w:r>
        <w:rPr>
          <w:rFonts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依据纳入专项预算的项目，严格测算所需资金，并分别对各个项目进行合理规划，</w:t>
      </w:r>
      <w:r>
        <w:rPr>
          <w:rFonts w:ascii="仿宋" w:hAnsi="仿宋" w:eastAsia="仿宋" w:cs="仿宋_GB2312"/>
          <w:sz w:val="32"/>
          <w:szCs w:val="32"/>
        </w:rPr>
        <w:t>程序严密、规划合理、结果符合、分配科学、分配及时</w:t>
      </w:r>
      <w:r>
        <w:rPr>
          <w:rFonts w:hint="eastAsia" w:ascii="仿宋" w:hAnsi="仿宋" w:eastAsia="仿宋" w:cs="仿宋_GB2312"/>
          <w:sz w:val="32"/>
          <w:szCs w:val="32"/>
        </w:rPr>
        <w:t>。对已经开展的</w:t>
      </w:r>
      <w:r>
        <w:rPr>
          <w:rFonts w:ascii="仿宋" w:hAnsi="仿宋" w:eastAsia="仿宋" w:cs="仿宋_GB2312"/>
          <w:sz w:val="32"/>
          <w:szCs w:val="32"/>
        </w:rPr>
        <w:t>专项预算绩效目标完成、实施绩效、违规记录等情况</w:t>
      </w:r>
      <w:r>
        <w:rPr>
          <w:rFonts w:hint="eastAsia" w:ascii="仿宋" w:hAnsi="仿宋" w:eastAsia="仿宋" w:cs="仿宋_GB2312"/>
          <w:sz w:val="32"/>
          <w:szCs w:val="32"/>
        </w:rPr>
        <w:t>进行记录</w:t>
      </w:r>
      <w:r>
        <w:rPr>
          <w:rFonts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本年预算配置控制较好，财政供养人员控制在预算编制以内，实际在职人员数与编制数相同；“三公”经费支出与预算持平。</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预算执行方面，支出总额控制在预算总额以内，基本支出中财政政策性工资有所追加，本年部门预算未进行预算相关事项的调整；预算资金按规定管理使用，财政拨款支出总体控制较好。</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预算管理方面，制定了切实有效的内部财务、资产内部管理制度，执行总体较为有效。</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广元市利州区人民检察院</w:t>
      </w:r>
      <w:r>
        <w:rPr>
          <w:rFonts w:ascii="仿宋" w:hAnsi="仿宋" w:eastAsia="仿宋" w:cs="仿宋_GB2312"/>
          <w:sz w:val="32"/>
          <w:szCs w:val="32"/>
        </w:rPr>
        <w:t>整体支出，严格按照国家的相关财务管理制度规定，财务制度健全、会计核算规范，依照计划管理使用。按照部门整体支出绩效评价指标体系</w:t>
      </w:r>
      <w:r>
        <w:rPr>
          <w:rFonts w:hint="eastAsia" w:ascii="仿宋" w:hAnsi="仿宋" w:eastAsia="仿宋" w:cs="仿宋_GB2312"/>
          <w:sz w:val="32"/>
          <w:szCs w:val="32"/>
        </w:rPr>
        <w:t>得出结果为</w:t>
      </w:r>
      <w:r>
        <w:rPr>
          <w:rFonts w:ascii="仿宋" w:hAnsi="仿宋" w:eastAsia="仿宋" w:cs="仿宋_GB2312"/>
          <w:sz w:val="32"/>
          <w:szCs w:val="32"/>
        </w:rPr>
        <w:t>良好。</w:t>
      </w:r>
    </w:p>
    <w:p>
      <w:pPr>
        <w:numPr>
          <w:ilvl w:val="0"/>
          <w:numId w:val="9"/>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存在问题。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一是预算编制有待更严格执行。预算编制与实际支出项目有的存在差异。</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二是各检察业务项目细分有待更严格的维护管理。每年检察工作重心有所不同，需在重点工作上加大预算。</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一是按照预算规定的项目和用途严格财务审核，经费支出严格按预算规定项目的财务支出内容进行财务核算，在预算金额内严格控制费用的支出。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二是预算财务分析常态化，定期做好预算支出财务分析，做好部门整体支出预算评价工作。</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5"/>
          <w:rFonts w:ascii="仿宋" w:hAnsi="仿宋" w:eastAsia="仿宋"/>
          <w:b w:val="0"/>
          <w:bCs w:val="0"/>
          <w:sz w:val="32"/>
          <w:szCs w:val="32"/>
        </w:rPr>
      </w:pPr>
      <w:bookmarkStart w:id="61" w:name="_Toc15396617"/>
      <w:r>
        <w:rPr>
          <w:rStyle w:val="25"/>
          <w:rFonts w:hint="eastAsia" w:ascii="仿宋" w:hAnsi="仿宋" w:eastAsia="仿宋"/>
          <w:b w:val="0"/>
          <w:bCs w:val="0"/>
          <w:sz w:val="32"/>
          <w:szCs w:val="32"/>
        </w:rPr>
        <w:t>附件2</w:t>
      </w:r>
      <w:bookmarkEnd w:id="61"/>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2018年人民监督员项目</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1.前期准备：按照绩效自评工作要求，组成以王绍连同志为组长的绩效评价工作小组，对相关的国家法律法规进行了认真学习，掌握政策，根据人民监督员项目支出情况制定了项目支出绩效评价实施方案，设计了绩效评价指标体系和问卷调查表。</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组织实施：采用核查法核查2018年同级财政预算批复执行及人民监督员项目支出情况，着重核查了人民监督员参与办案记录表、相关经费及内部控制制度情况，根据年初制定的绩效考核目标，进行了实地绩效考评。针对人民监督员监督办案情况，进行了实地调研和电话走访。</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3.分析评价：对评价过程中收集资料进行归纳，汇总分析，依据人民监督员项目支出绩效评价指标体系进行了评分，形成了综合性书面报告。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2018年我院人民监督员项目开展情况较好，在实现项目效果的同时严格控制经费，项目决算数与预算数持平。</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1367"/>
        <w:gridCol w:w="1389"/>
        <w:gridCol w:w="2760"/>
        <w:gridCol w:w="1662"/>
        <w:gridCol w:w="2782"/>
      </w:tblGrid>
      <w:tr>
        <w:tblPrEx>
          <w:tblCellMar>
            <w:top w:w="0" w:type="dxa"/>
            <w:left w:w="0" w:type="dxa"/>
            <w:bottom w:w="0" w:type="dxa"/>
            <w:right w:w="0" w:type="dxa"/>
          </w:tblCellMar>
        </w:tblPrEx>
        <w:trPr>
          <w:trHeight w:val="1034" w:hRule="atLeast"/>
        </w:trPr>
        <w:tc>
          <w:tcPr>
            <w:tcW w:w="9960" w:type="dxa"/>
            <w:gridSpan w:val="5"/>
            <w:tcMar>
              <w:top w:w="15" w:type="dxa"/>
              <w:left w:w="15" w:type="dxa"/>
              <w:bottom w:w="0" w:type="dxa"/>
              <w:right w:w="15" w:type="dxa"/>
            </w:tcMar>
            <w:vAlign w:val="center"/>
          </w:tcPr>
          <w:p>
            <w:pPr>
              <w:pStyle w:val="24"/>
              <w:widowControl/>
              <w:ind w:left="4171" w:leftChars="1652" w:hanging="702" w:hangingChars="195"/>
              <w:textAlignment w:val="center"/>
              <w:rPr>
                <w:rFonts w:ascii="黑体" w:hAnsi="黑体" w:eastAsia="黑体" w:cs="宋体"/>
                <w:bCs/>
                <w:color w:val="000000"/>
                <w:kern w:val="0"/>
                <w:sz w:val="36"/>
                <w:szCs w:val="36"/>
              </w:rPr>
            </w:pPr>
            <w:r>
              <w:rPr>
                <w:rFonts w:hint="eastAsia" w:ascii="黑体" w:hAnsi="黑体" w:eastAsia="黑体" w:cs="宋体"/>
                <w:bCs/>
                <w:color w:val="000000"/>
                <w:kern w:val="0"/>
                <w:sz w:val="36"/>
                <w:szCs w:val="36"/>
              </w:rPr>
              <w:t>项目评价得分表</w:t>
            </w:r>
          </w:p>
          <w:p>
            <w:pPr>
              <w:pStyle w:val="24"/>
              <w:widowControl/>
              <w:ind w:left="4170" w:leftChars="1823" w:hanging="342" w:hangingChars="95"/>
              <w:textAlignment w:val="center"/>
              <w:rPr>
                <w:rFonts w:ascii="宋体" w:hAnsi="宋体" w:cs="宋体"/>
                <w:color w:val="000000"/>
                <w:sz w:val="36"/>
                <w:szCs w:val="36"/>
              </w:rPr>
            </w:pP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1042" w:hRule="atLeast"/>
        </w:trPr>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评分类别</w:t>
            </w: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评分项目</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评分要求</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总分</w:t>
            </w:r>
          </w:p>
        </w:tc>
        <w:tc>
          <w:tcPr>
            <w:tcW w:w="27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得分</w:t>
            </w:r>
          </w:p>
        </w:tc>
      </w:tr>
      <w:tr>
        <w:tblPrEx>
          <w:tblCellMar>
            <w:top w:w="0" w:type="dxa"/>
            <w:left w:w="0" w:type="dxa"/>
            <w:bottom w:w="0" w:type="dxa"/>
            <w:right w:w="0" w:type="dxa"/>
          </w:tblCellMar>
        </w:tblPrEx>
        <w:trPr>
          <w:trHeight w:val="953" w:hRule="atLeast"/>
        </w:trPr>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人民监督员参与度</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按规定监督相关检察业务</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w:t>
            </w:r>
          </w:p>
        </w:tc>
        <w:tc>
          <w:tcPr>
            <w:tcW w:w="27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w:t>
            </w:r>
          </w:p>
        </w:tc>
      </w:tr>
      <w:tr>
        <w:tblPrEx>
          <w:tblCellMar>
            <w:top w:w="0" w:type="dxa"/>
            <w:left w:w="0" w:type="dxa"/>
            <w:bottom w:w="0" w:type="dxa"/>
            <w:right w:w="0" w:type="dxa"/>
          </w:tblCellMar>
        </w:tblPrEx>
        <w:trPr>
          <w:trHeight w:val="1297" w:hRule="atLeast"/>
        </w:trPr>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意见采纳</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积极听取人民监督员意见，并采纳正确的意见</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w:t>
            </w:r>
          </w:p>
        </w:tc>
        <w:tc>
          <w:tcPr>
            <w:tcW w:w="27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w:t>
            </w:r>
          </w:p>
        </w:tc>
      </w:tr>
      <w:tr>
        <w:tblPrEx>
          <w:tblCellMar>
            <w:top w:w="0" w:type="dxa"/>
            <w:left w:w="0" w:type="dxa"/>
            <w:bottom w:w="0" w:type="dxa"/>
            <w:right w:w="0" w:type="dxa"/>
          </w:tblCellMar>
        </w:tblPrEx>
        <w:trPr>
          <w:trHeight w:val="1042" w:hRule="atLeast"/>
        </w:trPr>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政府指令性任务落实</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响应司法为公</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w:t>
            </w:r>
          </w:p>
        </w:tc>
        <w:tc>
          <w:tcPr>
            <w:tcW w:w="27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w:t>
            </w:r>
          </w:p>
        </w:tc>
      </w:tr>
      <w:tr>
        <w:tblPrEx>
          <w:tblCellMar>
            <w:top w:w="0" w:type="dxa"/>
            <w:left w:w="0" w:type="dxa"/>
            <w:bottom w:w="0" w:type="dxa"/>
            <w:right w:w="0" w:type="dxa"/>
          </w:tblCellMar>
        </w:tblPrEx>
        <w:trPr>
          <w:trHeight w:val="1297" w:hRule="atLeast"/>
        </w:trPr>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政府指令性任务落实</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落实案件监督制度</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w:t>
            </w:r>
          </w:p>
        </w:tc>
        <w:tc>
          <w:tcPr>
            <w:tcW w:w="27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w:t>
            </w:r>
          </w:p>
        </w:tc>
      </w:tr>
      <w:tr>
        <w:tblPrEx>
          <w:tblCellMar>
            <w:top w:w="0" w:type="dxa"/>
            <w:left w:w="0" w:type="dxa"/>
            <w:bottom w:w="0" w:type="dxa"/>
            <w:right w:w="0" w:type="dxa"/>
          </w:tblCellMar>
        </w:tblPrEx>
        <w:trPr>
          <w:trHeight w:val="1297" w:hRule="atLeast"/>
        </w:trPr>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公众满意度</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年度政风评价</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p>
        </w:tc>
        <w:tc>
          <w:tcPr>
            <w:tcW w:w="27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p>
        </w:tc>
      </w:tr>
    </w:tbl>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了加强外部监督，切实防止和纠正检察机关查办职务犯罪工作中执法不公的问题，根据宪法和法律关于一切国家机关必须倾听人民的意见、接受人民的监督的规定，最高人民检察院经报告全国人大常委会并经中央同意，从2003年9月起开展人民监督员制度试点工作。2016年07月14日，司法部会同最高人民检察院出台《</w:t>
      </w:r>
      <w:r>
        <w:fldChar w:fldCharType="begin"/>
      </w:r>
      <w:r>
        <w:instrText xml:space="preserve"> HYPERLINK "https://baike.baidu.com/item/%E4%BA%BA%E6%B0%91%E7%9B%91%E7%9D%A3%E5%91%98%E9%80%89%E4%BB%BB%E7%AE%A1%E7%90%86%E5%8A%9E%E6%B3%95/19833152" \t "https://baike.baidu.com/item/%E4%BA%BA%E6%B0%91%E7%9B%91%E7%9D%A3%E5%91%98%E5%88%B6%E5%BA%A6/_blank" </w:instrText>
      </w:r>
      <w:r>
        <w:fldChar w:fldCharType="separate"/>
      </w:r>
      <w:r>
        <w:rPr>
          <w:rFonts w:ascii="仿宋" w:hAnsi="仿宋" w:eastAsia="仿宋" w:cs="仿宋_GB2312"/>
          <w:sz w:val="32"/>
          <w:szCs w:val="32"/>
        </w:rPr>
        <w:t>人民监督员选任管理办法</w:t>
      </w:r>
      <w:r>
        <w:rPr>
          <w:rFonts w:ascii="仿宋" w:hAnsi="仿宋" w:eastAsia="仿宋" w:cs="仿宋_GB2312"/>
          <w:sz w:val="32"/>
          <w:szCs w:val="32"/>
        </w:rPr>
        <w:fldChar w:fldCharType="end"/>
      </w:r>
      <w:r>
        <w:rPr>
          <w:rFonts w:ascii="仿宋" w:hAnsi="仿宋" w:eastAsia="仿宋" w:cs="仿宋_GB2312"/>
          <w:sz w:val="32"/>
          <w:szCs w:val="32"/>
        </w:rPr>
        <w:t>》，最高人民检察院出台《关于人民监督员监督工作的规定》。</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我院依法实行人民监督员制度，其内容完全与政策相符合，是司法公正的体现。</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在</w:t>
      </w:r>
      <w:r>
        <w:rPr>
          <w:rFonts w:ascii="仿宋" w:hAnsi="仿宋" w:eastAsia="仿宋" w:cs="仿宋_GB2312"/>
          <w:sz w:val="32"/>
          <w:szCs w:val="32"/>
        </w:rPr>
        <w:t>绩效目标设置</w:t>
      </w:r>
      <w:r>
        <w:rPr>
          <w:rFonts w:hint="eastAsia" w:ascii="仿宋" w:hAnsi="仿宋" w:eastAsia="仿宋" w:cs="仿宋_GB2312"/>
          <w:sz w:val="32"/>
          <w:szCs w:val="32"/>
        </w:rPr>
        <w:t>上，我院分别从人民监督员参与度、意见采纳、落实政府指令、群众满意度来评价，细化了从司法、政府、群众三个方面的项目效果，明确了目标任务。</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严格按照预算执行专款专用，科学计划资金使用进度，每笔支出力求规范、合理。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w:t>
      </w:r>
      <w:r>
        <w:rPr>
          <w:rFonts w:hint="eastAsia" w:ascii="仿宋" w:hAnsi="仿宋" w:eastAsia="仿宋" w:cs="仿宋_GB2312"/>
          <w:sz w:val="32"/>
          <w:szCs w:val="32"/>
        </w:rPr>
        <w:t>良好</w:t>
      </w:r>
      <w:r>
        <w:rPr>
          <w:rFonts w:ascii="仿宋" w:hAnsi="仿宋" w:eastAsia="仿宋" w:cs="仿宋_GB2312"/>
          <w:sz w:val="32"/>
          <w:szCs w:val="32"/>
        </w:rPr>
        <w:t>，</w:t>
      </w:r>
      <w:r>
        <w:rPr>
          <w:rFonts w:hint="eastAsia" w:ascii="仿宋" w:hAnsi="仿宋" w:eastAsia="仿宋" w:cs="仿宋_GB2312"/>
          <w:sz w:val="32"/>
          <w:szCs w:val="32"/>
        </w:rPr>
        <w:t>达成了</w:t>
      </w:r>
      <w:r>
        <w:rPr>
          <w:rFonts w:ascii="仿宋" w:hAnsi="仿宋" w:eastAsia="仿宋" w:cs="仿宋_GB2312"/>
          <w:sz w:val="32"/>
          <w:szCs w:val="32"/>
        </w:rPr>
        <w:t>项目社会效益、</w:t>
      </w:r>
      <w:r>
        <w:rPr>
          <w:rFonts w:hint="eastAsia" w:ascii="仿宋" w:hAnsi="仿宋" w:eastAsia="仿宋" w:cs="仿宋_GB2312"/>
          <w:sz w:val="32"/>
          <w:szCs w:val="32"/>
        </w:rPr>
        <w:t>彰显</w:t>
      </w:r>
      <w:r>
        <w:rPr>
          <w:rFonts w:ascii="仿宋" w:hAnsi="仿宋" w:eastAsia="仿宋" w:cs="仿宋_GB2312"/>
          <w:sz w:val="32"/>
          <w:szCs w:val="32"/>
        </w:rPr>
        <w:t>公平性</w:t>
      </w:r>
      <w:r>
        <w:rPr>
          <w:rFonts w:hint="eastAsia" w:ascii="仿宋" w:hAnsi="仿宋" w:eastAsia="仿宋" w:cs="仿宋_GB2312"/>
          <w:sz w:val="32"/>
          <w:szCs w:val="32"/>
        </w:rPr>
        <w:t>。</w:t>
      </w:r>
      <w:r>
        <w:rPr>
          <w:rFonts w:ascii="仿宋" w:hAnsi="仿宋" w:eastAsia="仿宋" w:cs="仿宋_GB2312"/>
          <w:sz w:val="32"/>
          <w:szCs w:val="32"/>
        </w:rPr>
        <w:t>受益群体</w:t>
      </w:r>
      <w:r>
        <w:rPr>
          <w:rFonts w:hint="eastAsia" w:ascii="仿宋" w:hAnsi="仿宋" w:eastAsia="仿宋" w:cs="仿宋_GB2312"/>
          <w:sz w:val="32"/>
          <w:szCs w:val="32"/>
        </w:rPr>
        <w:t>对人民监督员工作给予肯定</w:t>
      </w:r>
      <w:r>
        <w:rPr>
          <w:rFonts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人民监督员熟悉的知识领域不同，无法有针对性地选择人民监督员来探讨不同案件。</w:t>
      </w:r>
    </w:p>
    <w:p>
      <w:pPr>
        <w:numPr>
          <w:ilvl w:val="0"/>
          <w:numId w:val="2"/>
        </w:numPr>
        <w:spacing w:line="580" w:lineRule="exact"/>
        <w:rPr>
          <w:rFonts w:ascii="仿宋" w:hAnsi="仿宋" w:eastAsia="仿宋" w:cs="仿宋_GB2312"/>
          <w:sz w:val="32"/>
          <w:szCs w:val="32"/>
        </w:rPr>
      </w:pPr>
      <w:r>
        <w:rPr>
          <w:rFonts w:ascii="仿宋" w:hAnsi="仿宋" w:eastAsia="仿宋" w:cs="仿宋_GB2312"/>
          <w:sz w:val="32"/>
          <w:szCs w:val="32"/>
        </w:rPr>
        <w:t>相关措施建议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在人民监督员信息化管理的同时，不断加强教育熏陶，力求最大限度做到司法公正。</w:t>
      </w:r>
    </w:p>
    <w:p>
      <w:pPr>
        <w:pStyle w:val="3"/>
        <w:rPr>
          <w:rStyle w:val="25"/>
          <w:rFonts w:ascii="仿宋" w:hAnsi="仿宋" w:eastAsia="仿宋"/>
          <w:b w:val="0"/>
          <w:bCs w:val="0"/>
          <w:sz w:val="32"/>
          <w:szCs w:val="32"/>
        </w:rPr>
      </w:pPr>
      <w:r>
        <w:rPr>
          <w:rStyle w:val="25"/>
          <w:rFonts w:hint="eastAsia" w:ascii="仿宋" w:hAnsi="仿宋" w:eastAsia="仿宋"/>
          <w:b w:val="0"/>
          <w:bCs w:val="0"/>
          <w:sz w:val="32"/>
          <w:szCs w:val="32"/>
        </w:rPr>
        <w:t>附件2</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2018年案件线索举报奖励</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前期准备：按照绩效自评工作要求，组成以王绍连同志为组长的绩效评价工作小组，对相关的国家法律法规进行了认真学习，掌握政策，根据案件线索举报奖励支出情况制定了项目支出绩效评价实施方案，设计了绩效评价指标体系和问卷调查表。</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组织实施：采用核查法核查2018年同级财政预算批复执行及案件线索举报奖励项目支出情况，着重核查了案件线索登记册、案件上报记录及内部控制制度情况，根据年初制定的绩效考核目标，进行了实地绩效考评。针对收集线索情况，进行了实地调研和电话走访。</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3.分析评价：对评价过程中收集资料进行归纳，汇总分析，依据案件线索举报项目支出绩效评价指标体系进行了评分，形成了综合性书面报告。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2018年我院案件线索举报奖励项目开展情况较好，在实现项目效果的同时严格控制经费，项目决算数与预算数持平。</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1367"/>
        <w:gridCol w:w="1389"/>
        <w:gridCol w:w="2760"/>
        <w:gridCol w:w="1662"/>
        <w:gridCol w:w="2782"/>
      </w:tblGrid>
      <w:tr>
        <w:tblPrEx>
          <w:tblCellMar>
            <w:top w:w="0" w:type="dxa"/>
            <w:left w:w="0" w:type="dxa"/>
            <w:bottom w:w="0" w:type="dxa"/>
            <w:right w:w="0" w:type="dxa"/>
          </w:tblCellMar>
        </w:tblPrEx>
        <w:trPr>
          <w:trHeight w:val="1034" w:hRule="atLeast"/>
        </w:trPr>
        <w:tc>
          <w:tcPr>
            <w:tcW w:w="9960" w:type="dxa"/>
            <w:gridSpan w:val="5"/>
            <w:tcMar>
              <w:top w:w="15" w:type="dxa"/>
              <w:left w:w="15" w:type="dxa"/>
              <w:bottom w:w="0" w:type="dxa"/>
              <w:right w:w="15" w:type="dxa"/>
            </w:tcMar>
            <w:vAlign w:val="center"/>
          </w:tcPr>
          <w:p>
            <w:pPr>
              <w:pStyle w:val="24"/>
              <w:widowControl/>
              <w:ind w:left="4171" w:leftChars="1652" w:hanging="702" w:hangingChars="195"/>
              <w:textAlignment w:val="center"/>
              <w:rPr>
                <w:rFonts w:ascii="黑体" w:hAnsi="黑体" w:eastAsia="黑体" w:cs="宋体"/>
                <w:bCs/>
                <w:color w:val="000000"/>
                <w:kern w:val="0"/>
                <w:sz w:val="36"/>
                <w:szCs w:val="36"/>
              </w:rPr>
            </w:pPr>
            <w:r>
              <w:rPr>
                <w:rFonts w:hint="eastAsia" w:ascii="黑体" w:hAnsi="黑体" w:eastAsia="黑体" w:cs="宋体"/>
                <w:bCs/>
                <w:color w:val="000000"/>
                <w:kern w:val="0"/>
                <w:sz w:val="36"/>
                <w:szCs w:val="36"/>
              </w:rPr>
              <w:t>项目评价得分表</w:t>
            </w:r>
          </w:p>
          <w:p>
            <w:pPr>
              <w:pStyle w:val="24"/>
              <w:widowControl/>
              <w:ind w:left="4170" w:leftChars="1823" w:hanging="342" w:hangingChars="95"/>
              <w:textAlignment w:val="center"/>
              <w:rPr>
                <w:rFonts w:ascii="宋体" w:hAnsi="宋体" w:cs="宋体"/>
                <w:color w:val="000000"/>
                <w:sz w:val="36"/>
                <w:szCs w:val="36"/>
              </w:rPr>
            </w:pP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1042" w:hRule="atLeast"/>
        </w:trPr>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评分类别</w:t>
            </w: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评分项目</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评分要求</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总分</w:t>
            </w:r>
          </w:p>
        </w:tc>
        <w:tc>
          <w:tcPr>
            <w:tcW w:w="27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得分</w:t>
            </w:r>
          </w:p>
        </w:tc>
      </w:tr>
      <w:tr>
        <w:tblPrEx>
          <w:tblCellMar>
            <w:top w:w="0" w:type="dxa"/>
            <w:left w:w="0" w:type="dxa"/>
            <w:bottom w:w="0" w:type="dxa"/>
            <w:right w:w="0" w:type="dxa"/>
          </w:tblCellMar>
        </w:tblPrEx>
        <w:trPr>
          <w:trHeight w:val="953" w:hRule="atLeast"/>
        </w:trPr>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线索收集</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对收集的线索进行登记</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20 </w:t>
            </w:r>
          </w:p>
        </w:tc>
        <w:tc>
          <w:tcPr>
            <w:tcW w:w="27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p>
        </w:tc>
      </w:tr>
      <w:tr>
        <w:tblPrEx>
          <w:tblCellMar>
            <w:top w:w="0" w:type="dxa"/>
            <w:left w:w="0" w:type="dxa"/>
            <w:bottom w:w="0" w:type="dxa"/>
            <w:right w:w="0" w:type="dxa"/>
          </w:tblCellMar>
        </w:tblPrEx>
        <w:trPr>
          <w:trHeight w:val="1297" w:hRule="atLeast"/>
        </w:trPr>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线索上报</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对需要上报的线索及时上报</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20 </w:t>
            </w:r>
          </w:p>
        </w:tc>
        <w:tc>
          <w:tcPr>
            <w:tcW w:w="27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p>
        </w:tc>
      </w:tr>
      <w:tr>
        <w:tblPrEx>
          <w:tblCellMar>
            <w:top w:w="0" w:type="dxa"/>
            <w:left w:w="0" w:type="dxa"/>
            <w:bottom w:w="0" w:type="dxa"/>
            <w:right w:w="0" w:type="dxa"/>
          </w:tblCellMar>
        </w:tblPrEx>
        <w:trPr>
          <w:trHeight w:val="1042" w:hRule="atLeast"/>
        </w:trPr>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线索筛查</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筛查有价值的线索</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p>
        </w:tc>
        <w:tc>
          <w:tcPr>
            <w:tcW w:w="27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p>
        </w:tc>
      </w:tr>
      <w:tr>
        <w:tblPrEx>
          <w:tblCellMar>
            <w:top w:w="0" w:type="dxa"/>
            <w:left w:w="0" w:type="dxa"/>
            <w:bottom w:w="0" w:type="dxa"/>
            <w:right w:w="0" w:type="dxa"/>
          </w:tblCellMar>
        </w:tblPrEx>
        <w:trPr>
          <w:trHeight w:val="1297" w:hRule="atLeast"/>
        </w:trPr>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费用控制</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对有价值的线索予以奖励</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20 </w:t>
            </w:r>
          </w:p>
        </w:tc>
        <w:tc>
          <w:tcPr>
            <w:tcW w:w="27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p>
        </w:tc>
      </w:tr>
      <w:tr>
        <w:tblPrEx>
          <w:tblCellMar>
            <w:top w:w="0" w:type="dxa"/>
            <w:left w:w="0" w:type="dxa"/>
            <w:bottom w:w="0" w:type="dxa"/>
            <w:right w:w="0" w:type="dxa"/>
          </w:tblCellMar>
        </w:tblPrEx>
        <w:trPr>
          <w:trHeight w:val="1297" w:hRule="atLeast"/>
        </w:trPr>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可持续发展</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对举报人实施必要保护及奖励</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p>
        </w:tc>
        <w:tc>
          <w:tcPr>
            <w:tcW w:w="27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为了加强对国家利益和社会公共利益的保护，引导、鼓励社会公众依法向检察机关举报案件线索，奖励举报有功人员，根据《中华人民共和国民事诉讼法》《中华人民共和国行政诉讼法》《人民检察院举报工作规定》等有关规定，</w:t>
      </w:r>
      <w:r>
        <w:rPr>
          <w:rFonts w:hint="eastAsia" w:ascii="仿宋" w:hAnsi="仿宋" w:eastAsia="仿宋" w:cs="仿宋_GB2312"/>
          <w:sz w:val="32"/>
          <w:szCs w:val="32"/>
        </w:rPr>
        <w:t>我院设立了案件线索举报奖励项目。在绩效目标设置上，我院从收集、上报、筛查、费用控制和可持续发展上明确了合理的目标任务。</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严格按照预算执行专款专用，科学计划资金使用进度，每笔支出力求规范、合理。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w:t>
      </w:r>
      <w:r>
        <w:rPr>
          <w:rFonts w:hint="eastAsia" w:ascii="仿宋" w:hAnsi="仿宋" w:eastAsia="仿宋" w:cs="仿宋_GB2312"/>
          <w:sz w:val="32"/>
          <w:szCs w:val="32"/>
        </w:rPr>
        <w:t>良好</w:t>
      </w:r>
      <w:r>
        <w:rPr>
          <w:rFonts w:ascii="仿宋" w:hAnsi="仿宋" w:eastAsia="仿宋" w:cs="仿宋_GB2312"/>
          <w:sz w:val="32"/>
          <w:szCs w:val="32"/>
        </w:rPr>
        <w:t>，</w:t>
      </w:r>
      <w:r>
        <w:rPr>
          <w:rFonts w:hint="eastAsia" w:ascii="仿宋" w:hAnsi="仿宋" w:eastAsia="仿宋" w:cs="仿宋_GB2312"/>
          <w:sz w:val="32"/>
          <w:szCs w:val="32"/>
        </w:rPr>
        <w:t>达成了</w:t>
      </w:r>
      <w:r>
        <w:rPr>
          <w:rFonts w:ascii="仿宋" w:hAnsi="仿宋" w:eastAsia="仿宋" w:cs="仿宋_GB2312"/>
          <w:sz w:val="32"/>
          <w:szCs w:val="32"/>
        </w:rPr>
        <w:t>项目社会效益</w:t>
      </w:r>
      <w:r>
        <w:rPr>
          <w:rFonts w:hint="eastAsia" w:ascii="仿宋" w:hAnsi="仿宋" w:eastAsia="仿宋" w:cs="仿宋_GB2312"/>
          <w:sz w:val="32"/>
          <w:szCs w:val="32"/>
        </w:rPr>
        <w:t>，利于开展线索收集工作。</w:t>
      </w:r>
      <w:r>
        <w:rPr>
          <w:rFonts w:ascii="仿宋" w:hAnsi="仿宋" w:eastAsia="仿宋" w:cs="仿宋_GB2312"/>
          <w:sz w:val="32"/>
          <w:szCs w:val="32"/>
        </w:rPr>
        <w:t>受益群体</w:t>
      </w:r>
      <w:r>
        <w:rPr>
          <w:rFonts w:hint="eastAsia" w:ascii="仿宋" w:hAnsi="仿宋" w:eastAsia="仿宋" w:cs="仿宋_GB2312"/>
          <w:sz w:val="32"/>
          <w:szCs w:val="32"/>
        </w:rPr>
        <w:t>给予肯定</w:t>
      </w:r>
      <w:r>
        <w:rPr>
          <w:rFonts w:ascii="仿宋" w:hAnsi="仿宋" w:eastAsia="仿宋" w:cs="仿宋_GB2312"/>
          <w:sz w:val="32"/>
          <w:szCs w:val="32"/>
        </w:rPr>
        <w:t>。</w:t>
      </w:r>
    </w:p>
    <w:p>
      <w:pPr>
        <w:numPr>
          <w:ilvl w:val="0"/>
          <w:numId w:val="10"/>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存在主要问题</w:t>
      </w:r>
    </w:p>
    <w:p>
      <w:pPr>
        <w:spacing w:line="580" w:lineRule="exact"/>
        <w:rPr>
          <w:rFonts w:ascii="仿宋" w:hAnsi="仿宋" w:eastAsia="仿宋" w:cs="仿宋_GB2312"/>
          <w:sz w:val="32"/>
          <w:szCs w:val="32"/>
        </w:rPr>
      </w:pPr>
      <w:r>
        <w:rPr>
          <w:rFonts w:hint="eastAsia" w:ascii="仿宋" w:hAnsi="仿宋" w:eastAsia="仿宋" w:cs="仿宋_GB2312"/>
          <w:sz w:val="32"/>
          <w:szCs w:val="32"/>
        </w:rPr>
        <w:t xml:space="preserve">    收到的线索繁杂，需要甄选出有价值的线索，并对符合条件的给予奖励。工作量大，容易遗漏。</w:t>
      </w:r>
    </w:p>
    <w:p>
      <w:pPr>
        <w:numPr>
          <w:ilvl w:val="0"/>
          <w:numId w:val="10"/>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相关措施建议</w:t>
      </w:r>
    </w:p>
    <w:p>
      <w:pPr>
        <w:spacing w:line="580" w:lineRule="exact"/>
        <w:rPr>
          <w:rFonts w:ascii="仿宋" w:hAnsi="仿宋" w:eastAsia="仿宋" w:cs="仿宋_GB2312"/>
          <w:sz w:val="32"/>
          <w:szCs w:val="32"/>
        </w:rPr>
      </w:pPr>
      <w:r>
        <w:rPr>
          <w:rFonts w:hint="eastAsia" w:ascii="仿宋" w:hAnsi="仿宋" w:eastAsia="仿宋" w:cs="仿宋_GB2312"/>
          <w:sz w:val="32"/>
          <w:szCs w:val="32"/>
        </w:rPr>
        <w:t xml:space="preserve">    继续做好线索收集工作，并不断更新线索台账，及时排查，剔除无用的线索。</w:t>
      </w:r>
    </w:p>
    <w:p>
      <w:pPr>
        <w:pStyle w:val="3"/>
        <w:rPr>
          <w:rStyle w:val="25"/>
          <w:rFonts w:ascii="仿宋" w:hAnsi="仿宋" w:eastAsia="仿宋"/>
          <w:b w:val="0"/>
          <w:bCs w:val="0"/>
          <w:sz w:val="32"/>
          <w:szCs w:val="32"/>
        </w:rPr>
      </w:pPr>
      <w:r>
        <w:rPr>
          <w:rStyle w:val="25"/>
          <w:rFonts w:hint="eastAsia" w:ascii="仿宋" w:hAnsi="仿宋" w:eastAsia="仿宋"/>
          <w:b w:val="0"/>
          <w:bCs w:val="0"/>
          <w:sz w:val="32"/>
          <w:szCs w:val="32"/>
        </w:rPr>
        <w:t>附件2</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2018年查办与预防职务犯罪和公诉审判监督办案专项经费项目支出绩效评价报告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前期准备：按照绩效自评工作要求，组成以王绍连同志为组长的绩效评价工作小组，对相关的国家法律法规进行了认真学习，掌握政策，根据开展公诉等检察业务的支出情况制定了项目支出绩效评价实施方案，设计了绩效评价指标体系和任务对照表。</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组织实施：采用核查法核查2018年同级财政预算批复执行及查办与预防职务犯罪和公诉审判监督办案专项经费项目支出情况，着重核查了办案差旅费、车辆燃油费及案卷情况，根据年初制定的绩效考核目标，进行了实地绩效考评。</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3.分析评价：对评价过程中收集资料进行归纳，汇总分析，依据查办与预防职务犯罪和公诉审判监督办案项目支出绩效评价指标体系进行了评分，形成了综合性书面报告。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2018年我院查办与预防职务犯罪和公诉审判监督办案项目开展情况较好，在实现项目效果的同时严格控制经费，项目决算数与预算数持平。</w:t>
      </w:r>
    </w:p>
    <w:tbl>
      <w:tblPr>
        <w:tblStyle w:val="13"/>
        <w:tblpPr w:leftFromText="180" w:rightFromText="180" w:vertAnchor="text" w:horzAnchor="page" w:tblpXSpec="center" w:tblpY="423"/>
        <w:tblOverlap w:val="never"/>
        <w:tblW w:w="9865" w:type="dxa"/>
        <w:tblInd w:w="95" w:type="dxa"/>
        <w:tblLayout w:type="fixed"/>
        <w:tblCellMar>
          <w:top w:w="0" w:type="dxa"/>
          <w:left w:w="0" w:type="dxa"/>
          <w:bottom w:w="0" w:type="dxa"/>
          <w:right w:w="0" w:type="dxa"/>
        </w:tblCellMar>
      </w:tblPr>
      <w:tblGrid>
        <w:gridCol w:w="1272"/>
        <w:gridCol w:w="1389"/>
        <w:gridCol w:w="2760"/>
        <w:gridCol w:w="1662"/>
        <w:gridCol w:w="2782"/>
      </w:tblGrid>
      <w:tr>
        <w:tblPrEx>
          <w:tblCellMar>
            <w:top w:w="0" w:type="dxa"/>
            <w:left w:w="0" w:type="dxa"/>
            <w:bottom w:w="0" w:type="dxa"/>
            <w:right w:w="0" w:type="dxa"/>
          </w:tblCellMar>
        </w:tblPrEx>
        <w:trPr>
          <w:trHeight w:val="1034" w:hRule="atLeast"/>
        </w:trPr>
        <w:tc>
          <w:tcPr>
            <w:tcW w:w="9865" w:type="dxa"/>
            <w:gridSpan w:val="5"/>
            <w:tcMar>
              <w:top w:w="15" w:type="dxa"/>
              <w:left w:w="15" w:type="dxa"/>
              <w:bottom w:w="0" w:type="dxa"/>
              <w:right w:w="15" w:type="dxa"/>
            </w:tcMar>
            <w:vAlign w:val="center"/>
          </w:tcPr>
          <w:p>
            <w:pPr>
              <w:pStyle w:val="24"/>
              <w:widowControl/>
              <w:ind w:left="4171" w:leftChars="1652" w:hanging="702" w:hangingChars="195"/>
              <w:textAlignment w:val="center"/>
              <w:rPr>
                <w:rFonts w:ascii="黑体" w:hAnsi="黑体" w:eastAsia="黑体" w:cs="宋体"/>
                <w:bCs/>
                <w:color w:val="000000"/>
                <w:kern w:val="0"/>
                <w:sz w:val="36"/>
                <w:szCs w:val="36"/>
              </w:rPr>
            </w:pPr>
            <w:r>
              <w:rPr>
                <w:rFonts w:hint="eastAsia" w:ascii="黑体" w:hAnsi="黑体" w:eastAsia="黑体" w:cs="宋体"/>
                <w:bCs/>
                <w:color w:val="000000"/>
                <w:kern w:val="0"/>
                <w:sz w:val="36"/>
                <w:szCs w:val="36"/>
              </w:rPr>
              <w:t>项目评价得分表</w:t>
            </w:r>
          </w:p>
          <w:p>
            <w:pPr>
              <w:pStyle w:val="24"/>
              <w:widowControl/>
              <w:ind w:left="4170" w:leftChars="1823" w:hanging="342" w:hangingChars="95"/>
              <w:textAlignment w:val="center"/>
              <w:rPr>
                <w:rFonts w:ascii="宋体" w:hAnsi="宋体" w:cs="宋体"/>
                <w:color w:val="000000"/>
                <w:sz w:val="36"/>
                <w:szCs w:val="36"/>
              </w:rPr>
            </w:pP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1042" w:hRule="atLeast"/>
        </w:trPr>
        <w:tc>
          <w:tcPr>
            <w:tcW w:w="1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评分类别</w:t>
            </w: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评分项目</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评分要求</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总分</w:t>
            </w:r>
          </w:p>
        </w:tc>
        <w:tc>
          <w:tcPr>
            <w:tcW w:w="27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得分</w:t>
            </w:r>
          </w:p>
        </w:tc>
      </w:tr>
      <w:tr>
        <w:tblPrEx>
          <w:tblCellMar>
            <w:top w:w="0" w:type="dxa"/>
            <w:left w:w="0" w:type="dxa"/>
            <w:bottom w:w="0" w:type="dxa"/>
            <w:right w:w="0" w:type="dxa"/>
          </w:tblCellMar>
        </w:tblPrEx>
        <w:trPr>
          <w:trHeight w:val="953" w:hRule="atLeast"/>
        </w:trPr>
        <w:tc>
          <w:tcPr>
            <w:tcW w:w="1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检察工作的开展</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严厉打击刑事犯罪</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20 </w:t>
            </w:r>
          </w:p>
        </w:tc>
        <w:tc>
          <w:tcPr>
            <w:tcW w:w="27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20 </w:t>
            </w:r>
          </w:p>
        </w:tc>
      </w:tr>
      <w:tr>
        <w:tblPrEx>
          <w:tblCellMar>
            <w:top w:w="0" w:type="dxa"/>
            <w:left w:w="0" w:type="dxa"/>
            <w:bottom w:w="0" w:type="dxa"/>
            <w:right w:w="0" w:type="dxa"/>
          </w:tblCellMar>
        </w:tblPrEx>
        <w:trPr>
          <w:trHeight w:val="1297" w:hRule="atLeast"/>
        </w:trPr>
        <w:tc>
          <w:tcPr>
            <w:tcW w:w="1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检察工作的开展</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加强未成年人检察工作</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p>
        </w:tc>
        <w:tc>
          <w:tcPr>
            <w:tcW w:w="27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p>
        </w:tc>
      </w:tr>
      <w:tr>
        <w:tblPrEx>
          <w:tblCellMar>
            <w:top w:w="0" w:type="dxa"/>
            <w:left w:w="0" w:type="dxa"/>
            <w:bottom w:w="0" w:type="dxa"/>
            <w:right w:w="0" w:type="dxa"/>
          </w:tblCellMar>
        </w:tblPrEx>
        <w:trPr>
          <w:trHeight w:val="1042" w:hRule="atLeast"/>
        </w:trPr>
        <w:tc>
          <w:tcPr>
            <w:tcW w:w="1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检察工作的开展</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依法化解矛盾定纷止争</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10 </w:t>
            </w:r>
          </w:p>
        </w:tc>
        <w:tc>
          <w:tcPr>
            <w:tcW w:w="27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10 </w:t>
            </w:r>
          </w:p>
        </w:tc>
      </w:tr>
      <w:tr>
        <w:tblPrEx>
          <w:tblCellMar>
            <w:top w:w="0" w:type="dxa"/>
            <w:left w:w="0" w:type="dxa"/>
            <w:bottom w:w="0" w:type="dxa"/>
            <w:right w:w="0" w:type="dxa"/>
          </w:tblCellMar>
        </w:tblPrEx>
        <w:trPr>
          <w:trHeight w:val="1297" w:hRule="atLeast"/>
        </w:trPr>
        <w:tc>
          <w:tcPr>
            <w:tcW w:w="1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检察工作的开展</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加强诉讼监督</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20 </w:t>
            </w:r>
          </w:p>
        </w:tc>
        <w:tc>
          <w:tcPr>
            <w:tcW w:w="27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p>
        </w:tc>
      </w:tr>
      <w:tr>
        <w:tblPrEx>
          <w:tblCellMar>
            <w:top w:w="0" w:type="dxa"/>
            <w:left w:w="0" w:type="dxa"/>
            <w:bottom w:w="0" w:type="dxa"/>
            <w:right w:w="0" w:type="dxa"/>
          </w:tblCellMar>
        </w:tblPrEx>
        <w:trPr>
          <w:trHeight w:val="1297" w:hRule="atLeast"/>
        </w:trPr>
        <w:tc>
          <w:tcPr>
            <w:tcW w:w="1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政府性指令落实</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贯彻宽严相济刑事政策</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720" w:firstLineChars="300"/>
              <w:textAlignment w:val="center"/>
              <w:rPr>
                <w:rFonts w:ascii="宋体" w:hAnsi="宋体" w:cs="宋体"/>
                <w:color w:val="000000"/>
                <w:sz w:val="24"/>
              </w:rPr>
            </w:pPr>
            <w:r>
              <w:rPr>
                <w:rFonts w:hint="eastAsia" w:ascii="宋体" w:hAnsi="宋体" w:cs="宋体"/>
                <w:color w:val="000000"/>
                <w:sz w:val="24"/>
              </w:rPr>
              <w:t>10</w:t>
            </w:r>
          </w:p>
        </w:tc>
        <w:tc>
          <w:tcPr>
            <w:tcW w:w="27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1200" w:firstLineChars="500"/>
              <w:textAlignment w:val="center"/>
              <w:rPr>
                <w:rFonts w:ascii="宋体" w:hAnsi="宋体" w:cs="宋体"/>
                <w:color w:val="000000"/>
                <w:sz w:val="24"/>
              </w:rPr>
            </w:pPr>
            <w:r>
              <w:rPr>
                <w:rFonts w:hint="eastAsia" w:ascii="宋体" w:hAnsi="宋体" w:cs="宋体"/>
                <w:color w:val="000000"/>
                <w:sz w:val="24"/>
              </w:rPr>
              <w:t xml:space="preserve">20 </w:t>
            </w:r>
          </w:p>
        </w:tc>
      </w:tr>
      <w:tr>
        <w:tblPrEx>
          <w:tblCellMar>
            <w:top w:w="0" w:type="dxa"/>
            <w:left w:w="0" w:type="dxa"/>
            <w:bottom w:w="0" w:type="dxa"/>
            <w:right w:w="0" w:type="dxa"/>
          </w:tblCellMar>
        </w:tblPrEx>
        <w:trPr>
          <w:trHeight w:val="1297" w:hRule="atLeast"/>
        </w:trPr>
        <w:tc>
          <w:tcPr>
            <w:tcW w:w="1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政府性指令落实</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深入推进公益诉讼工作</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10 </w:t>
            </w:r>
          </w:p>
        </w:tc>
        <w:tc>
          <w:tcPr>
            <w:tcW w:w="27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10 </w:t>
            </w:r>
          </w:p>
        </w:tc>
      </w:tr>
      <w:tr>
        <w:tblPrEx>
          <w:tblCellMar>
            <w:top w:w="0" w:type="dxa"/>
            <w:left w:w="0" w:type="dxa"/>
            <w:bottom w:w="0" w:type="dxa"/>
            <w:right w:w="0" w:type="dxa"/>
          </w:tblCellMar>
        </w:tblPrEx>
        <w:trPr>
          <w:trHeight w:val="1297" w:hRule="atLeast"/>
        </w:trPr>
        <w:tc>
          <w:tcPr>
            <w:tcW w:w="1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落实司法责任制</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确保监管不缺位</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w:t>
            </w:r>
          </w:p>
        </w:tc>
        <w:tc>
          <w:tcPr>
            <w:tcW w:w="27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w:t>
            </w: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公诉和审判监督是检察院主职主业，是检察业务的基本。我院势在依法严厉打击违法犯罪，开展各项检察工作。在绩效目标设置上，我院从细分的检察业务上明确了合理的目标任务。</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严格按照预算执行专款专用，科学计划资金使用进度，每笔支出力求规范、合理。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w:t>
      </w:r>
      <w:r>
        <w:rPr>
          <w:rFonts w:hint="eastAsia" w:ascii="仿宋" w:hAnsi="仿宋" w:eastAsia="仿宋" w:cs="仿宋_GB2312"/>
          <w:sz w:val="32"/>
          <w:szCs w:val="32"/>
        </w:rPr>
        <w:t>良好</w:t>
      </w:r>
      <w:r>
        <w:rPr>
          <w:rFonts w:ascii="仿宋" w:hAnsi="仿宋" w:eastAsia="仿宋" w:cs="仿宋_GB2312"/>
          <w:sz w:val="32"/>
          <w:szCs w:val="32"/>
        </w:rPr>
        <w:t>，</w:t>
      </w:r>
      <w:r>
        <w:rPr>
          <w:rFonts w:hint="eastAsia" w:ascii="仿宋" w:hAnsi="仿宋" w:eastAsia="仿宋" w:cs="仿宋_GB2312"/>
          <w:sz w:val="32"/>
          <w:szCs w:val="32"/>
        </w:rPr>
        <w:t>达成了</w:t>
      </w:r>
      <w:r>
        <w:rPr>
          <w:rFonts w:ascii="仿宋" w:hAnsi="仿宋" w:eastAsia="仿宋" w:cs="仿宋_GB2312"/>
          <w:sz w:val="32"/>
          <w:szCs w:val="32"/>
        </w:rPr>
        <w:t>项目社会效益</w:t>
      </w:r>
      <w:r>
        <w:rPr>
          <w:rFonts w:hint="eastAsia" w:ascii="仿宋" w:hAnsi="仿宋" w:eastAsia="仿宋" w:cs="仿宋_GB2312"/>
          <w:sz w:val="32"/>
          <w:szCs w:val="32"/>
        </w:rPr>
        <w:t>，利于开展各项检察工作。实现办案零差错，</w:t>
      </w:r>
      <w:r>
        <w:rPr>
          <w:rFonts w:ascii="仿宋" w:hAnsi="仿宋" w:eastAsia="仿宋" w:cs="仿宋_GB2312"/>
          <w:sz w:val="32"/>
          <w:szCs w:val="32"/>
        </w:rPr>
        <w:t>受益群体</w:t>
      </w:r>
      <w:r>
        <w:rPr>
          <w:rFonts w:hint="eastAsia" w:ascii="仿宋" w:hAnsi="仿宋" w:eastAsia="仿宋" w:cs="仿宋_GB2312"/>
          <w:sz w:val="32"/>
          <w:szCs w:val="32"/>
        </w:rPr>
        <w:t>给予肯定</w:t>
      </w:r>
      <w:r>
        <w:rPr>
          <w:rFonts w:ascii="仿宋" w:hAnsi="仿宋" w:eastAsia="仿宋" w:cs="仿宋_GB2312"/>
          <w:sz w:val="32"/>
          <w:szCs w:val="32"/>
        </w:rPr>
        <w:t>。</w:t>
      </w:r>
    </w:p>
    <w:p>
      <w:pPr>
        <w:numPr>
          <w:ilvl w:val="0"/>
          <w:numId w:val="11"/>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存在主要问题</w:t>
      </w:r>
    </w:p>
    <w:p>
      <w:pPr>
        <w:spacing w:line="580" w:lineRule="exact"/>
        <w:rPr>
          <w:rFonts w:ascii="仿宋" w:hAnsi="仿宋" w:eastAsia="仿宋" w:cs="仿宋_GB2312"/>
          <w:sz w:val="32"/>
          <w:szCs w:val="32"/>
        </w:rPr>
      </w:pPr>
      <w:r>
        <w:rPr>
          <w:rFonts w:hint="eastAsia" w:ascii="仿宋" w:hAnsi="仿宋" w:eastAsia="仿宋" w:cs="仿宋_GB2312"/>
          <w:sz w:val="32"/>
          <w:szCs w:val="32"/>
        </w:rPr>
        <w:t xml:space="preserve">    随着高科技手段的运用，办案难度大、周期长，投入经费较多。随着公益诉讼等检察重点工作推进，项目经费实难周全。</w:t>
      </w:r>
    </w:p>
    <w:p>
      <w:pPr>
        <w:numPr>
          <w:ilvl w:val="0"/>
          <w:numId w:val="11"/>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相关措施建议</w:t>
      </w:r>
    </w:p>
    <w:p>
      <w:pPr>
        <w:spacing w:line="580" w:lineRule="exact"/>
        <w:rPr>
          <w:rFonts w:ascii="仿宋" w:hAnsi="仿宋" w:eastAsia="仿宋" w:cs="仿宋_GB2312"/>
          <w:sz w:val="32"/>
          <w:szCs w:val="32"/>
        </w:rPr>
      </w:pPr>
      <w:r>
        <w:rPr>
          <w:rFonts w:hint="eastAsia" w:ascii="仿宋" w:hAnsi="仿宋" w:eastAsia="仿宋" w:cs="仿宋_GB2312"/>
          <w:sz w:val="32"/>
          <w:szCs w:val="32"/>
        </w:rPr>
        <w:t xml:space="preserve">    继续做好资金管理，响应政府“过紧日子”的号召，同时争取重点项目财政拨款。</w:t>
      </w:r>
    </w:p>
    <w:p>
      <w:pPr>
        <w:pStyle w:val="3"/>
        <w:rPr>
          <w:rStyle w:val="25"/>
          <w:rFonts w:ascii="仿宋" w:hAnsi="仿宋" w:eastAsia="仿宋"/>
          <w:b w:val="0"/>
          <w:bCs w:val="0"/>
          <w:sz w:val="32"/>
          <w:szCs w:val="32"/>
        </w:rPr>
      </w:pPr>
      <w:r>
        <w:rPr>
          <w:rStyle w:val="25"/>
          <w:rFonts w:hint="eastAsia" w:ascii="仿宋" w:hAnsi="仿宋" w:eastAsia="仿宋"/>
          <w:b w:val="0"/>
          <w:bCs w:val="0"/>
          <w:sz w:val="32"/>
          <w:szCs w:val="32"/>
        </w:rPr>
        <w:t>附件2</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2018年援藏援彝</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前期准备：按照绩效自评工作要求，组成以王绍连同志为组长的绩效评价工作小组，对相关的国家法律法规进行了认真学习，掌握政策，根据对对口帮扶单位昭觉县检察院的援助情况制定了项目支出绩效评价实施方案，设计了绩效评价指标体系。</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2.组织实施：采用核查法核查2018年同级财政预算批复执行及援藏援彝项目支出情况，着重核查了对昭觉县检察院的帮扶情况，根据年初制定的绩效考核目标，进行了实地绩效考评。</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3.分析评价：对评价过程中收集资料进行归纳，汇总分析，依据援藏援彝项目支出绩效评价指标体系进行了评分，形成了综合性书面报告。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2018年我院援藏援彝项目开展情况较好，在实现项目效果的同时严格控制经费，项目决算数与预算数持平。</w:t>
      </w:r>
    </w:p>
    <w:tbl>
      <w:tblPr>
        <w:tblStyle w:val="13"/>
        <w:tblpPr w:leftFromText="180" w:rightFromText="180" w:vertAnchor="text" w:horzAnchor="page" w:tblpXSpec="center" w:tblpY="423"/>
        <w:tblOverlap w:val="never"/>
        <w:tblW w:w="9865" w:type="dxa"/>
        <w:tblInd w:w="95" w:type="dxa"/>
        <w:tblLayout w:type="fixed"/>
        <w:tblCellMar>
          <w:top w:w="0" w:type="dxa"/>
          <w:left w:w="0" w:type="dxa"/>
          <w:bottom w:w="0" w:type="dxa"/>
          <w:right w:w="0" w:type="dxa"/>
        </w:tblCellMar>
      </w:tblPr>
      <w:tblGrid>
        <w:gridCol w:w="1272"/>
        <w:gridCol w:w="1389"/>
        <w:gridCol w:w="2760"/>
        <w:gridCol w:w="1662"/>
        <w:gridCol w:w="2782"/>
      </w:tblGrid>
      <w:tr>
        <w:tblPrEx>
          <w:tblCellMar>
            <w:top w:w="0" w:type="dxa"/>
            <w:left w:w="0" w:type="dxa"/>
            <w:bottom w:w="0" w:type="dxa"/>
            <w:right w:w="0" w:type="dxa"/>
          </w:tblCellMar>
        </w:tblPrEx>
        <w:trPr>
          <w:trHeight w:val="1034" w:hRule="atLeast"/>
        </w:trPr>
        <w:tc>
          <w:tcPr>
            <w:tcW w:w="9865" w:type="dxa"/>
            <w:gridSpan w:val="5"/>
            <w:tcMar>
              <w:top w:w="15" w:type="dxa"/>
              <w:left w:w="15" w:type="dxa"/>
              <w:bottom w:w="0" w:type="dxa"/>
              <w:right w:w="15" w:type="dxa"/>
            </w:tcMar>
            <w:vAlign w:val="center"/>
          </w:tcPr>
          <w:p>
            <w:pPr>
              <w:pStyle w:val="24"/>
              <w:widowControl/>
              <w:ind w:left="4171" w:leftChars="1652" w:hanging="702" w:hangingChars="195"/>
              <w:textAlignment w:val="center"/>
              <w:rPr>
                <w:rFonts w:ascii="黑体" w:hAnsi="黑体" w:eastAsia="黑体" w:cs="宋体"/>
                <w:bCs/>
                <w:color w:val="000000"/>
                <w:kern w:val="0"/>
                <w:sz w:val="36"/>
                <w:szCs w:val="36"/>
              </w:rPr>
            </w:pPr>
            <w:r>
              <w:rPr>
                <w:rFonts w:hint="eastAsia" w:ascii="黑体" w:hAnsi="黑体" w:eastAsia="黑体" w:cs="宋体"/>
                <w:bCs/>
                <w:color w:val="000000"/>
                <w:kern w:val="0"/>
                <w:sz w:val="36"/>
                <w:szCs w:val="36"/>
              </w:rPr>
              <w:t>项目评价得分表</w:t>
            </w:r>
          </w:p>
          <w:p>
            <w:pPr>
              <w:pStyle w:val="24"/>
              <w:widowControl/>
              <w:ind w:left="4170" w:leftChars="1823" w:hanging="342" w:hangingChars="95"/>
              <w:textAlignment w:val="center"/>
              <w:rPr>
                <w:rFonts w:ascii="宋体" w:hAnsi="宋体" w:cs="宋体"/>
                <w:color w:val="000000"/>
                <w:sz w:val="36"/>
                <w:szCs w:val="36"/>
              </w:rPr>
            </w:pP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1042" w:hRule="atLeast"/>
        </w:trPr>
        <w:tc>
          <w:tcPr>
            <w:tcW w:w="1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评分类别</w:t>
            </w: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评分项目</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评分要求</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总分</w:t>
            </w:r>
          </w:p>
        </w:tc>
        <w:tc>
          <w:tcPr>
            <w:tcW w:w="27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得分</w:t>
            </w:r>
          </w:p>
        </w:tc>
      </w:tr>
      <w:tr>
        <w:tblPrEx>
          <w:tblCellMar>
            <w:top w:w="0" w:type="dxa"/>
            <w:left w:w="0" w:type="dxa"/>
            <w:bottom w:w="0" w:type="dxa"/>
            <w:right w:w="0" w:type="dxa"/>
          </w:tblCellMar>
        </w:tblPrEx>
        <w:trPr>
          <w:trHeight w:val="953" w:hRule="atLeast"/>
        </w:trPr>
        <w:tc>
          <w:tcPr>
            <w:tcW w:w="1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经费保障</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给予经费支持</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30 </w:t>
            </w:r>
          </w:p>
        </w:tc>
        <w:tc>
          <w:tcPr>
            <w:tcW w:w="27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20 </w:t>
            </w:r>
          </w:p>
        </w:tc>
      </w:tr>
      <w:tr>
        <w:tblPrEx>
          <w:tblCellMar>
            <w:top w:w="0" w:type="dxa"/>
            <w:left w:w="0" w:type="dxa"/>
            <w:bottom w:w="0" w:type="dxa"/>
            <w:right w:w="0" w:type="dxa"/>
          </w:tblCellMar>
        </w:tblPrEx>
        <w:trPr>
          <w:trHeight w:val="1297" w:hRule="atLeast"/>
        </w:trPr>
        <w:tc>
          <w:tcPr>
            <w:tcW w:w="1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工作交流</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开展案件讨论</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30 </w:t>
            </w:r>
          </w:p>
        </w:tc>
        <w:tc>
          <w:tcPr>
            <w:tcW w:w="27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30 </w:t>
            </w:r>
          </w:p>
        </w:tc>
      </w:tr>
      <w:tr>
        <w:tblPrEx>
          <w:tblCellMar>
            <w:top w:w="0" w:type="dxa"/>
            <w:left w:w="0" w:type="dxa"/>
            <w:bottom w:w="0" w:type="dxa"/>
            <w:right w:w="0" w:type="dxa"/>
          </w:tblCellMar>
        </w:tblPrEx>
        <w:trPr>
          <w:trHeight w:val="1042" w:hRule="atLeast"/>
        </w:trPr>
        <w:tc>
          <w:tcPr>
            <w:tcW w:w="1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政府性指令落实</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落实援藏援彝工作</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20 </w:t>
            </w:r>
          </w:p>
        </w:tc>
        <w:tc>
          <w:tcPr>
            <w:tcW w:w="27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20 </w:t>
            </w:r>
          </w:p>
        </w:tc>
      </w:tr>
      <w:tr>
        <w:tblPrEx>
          <w:tblCellMar>
            <w:top w:w="0" w:type="dxa"/>
            <w:left w:w="0" w:type="dxa"/>
            <w:bottom w:w="0" w:type="dxa"/>
            <w:right w:w="0" w:type="dxa"/>
          </w:tblCellMar>
        </w:tblPrEx>
        <w:trPr>
          <w:trHeight w:val="1297" w:hRule="atLeast"/>
        </w:trPr>
        <w:tc>
          <w:tcPr>
            <w:tcW w:w="1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偏远地区发展</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昭觉县检察事业有序发展</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p>
        </w:tc>
        <w:tc>
          <w:tcPr>
            <w:tcW w:w="27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按照省检察院的工作部署，我院与昭觉县检察院签署了援助协议，协议中明确了援助内容和重点。此项项目纳入地方财政预算。在绩效目标设置上，我院依据协议，从业务、经费等方面设置了合理的目标。</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严格按照预算执行专款专用，科学计划资金使用进度，每笔支出力求规范、合理。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w:t>
      </w:r>
      <w:r>
        <w:rPr>
          <w:rFonts w:hint="eastAsia" w:ascii="仿宋" w:hAnsi="仿宋" w:eastAsia="仿宋" w:cs="仿宋_GB2312"/>
          <w:sz w:val="32"/>
          <w:szCs w:val="32"/>
        </w:rPr>
        <w:t>良好</w:t>
      </w:r>
      <w:r>
        <w:rPr>
          <w:rFonts w:ascii="仿宋" w:hAnsi="仿宋" w:eastAsia="仿宋" w:cs="仿宋_GB2312"/>
          <w:sz w:val="32"/>
          <w:szCs w:val="32"/>
        </w:rPr>
        <w:t>，</w:t>
      </w:r>
      <w:r>
        <w:rPr>
          <w:rFonts w:hint="eastAsia" w:ascii="仿宋" w:hAnsi="仿宋" w:eastAsia="仿宋" w:cs="仿宋_GB2312"/>
          <w:sz w:val="32"/>
          <w:szCs w:val="32"/>
        </w:rPr>
        <w:t>达成了</w:t>
      </w:r>
      <w:r>
        <w:rPr>
          <w:rFonts w:ascii="仿宋" w:hAnsi="仿宋" w:eastAsia="仿宋" w:cs="仿宋_GB2312"/>
          <w:sz w:val="32"/>
          <w:szCs w:val="32"/>
        </w:rPr>
        <w:t>项目社会效益</w:t>
      </w:r>
      <w:r>
        <w:rPr>
          <w:rFonts w:hint="eastAsia" w:ascii="仿宋" w:hAnsi="仿宋" w:eastAsia="仿宋" w:cs="仿宋_GB2312"/>
          <w:sz w:val="32"/>
          <w:szCs w:val="32"/>
        </w:rPr>
        <w:t>。昭觉县检察院对我院的援助工作表示满意。</w:t>
      </w:r>
    </w:p>
    <w:p>
      <w:pPr>
        <w:numPr>
          <w:ilvl w:val="0"/>
          <w:numId w:val="12"/>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存在主要问题</w:t>
      </w:r>
    </w:p>
    <w:p>
      <w:pPr>
        <w:spacing w:line="580" w:lineRule="exact"/>
        <w:ind w:firstLine="640"/>
        <w:rPr>
          <w:rFonts w:ascii="仿宋" w:hAnsi="仿宋" w:eastAsia="仿宋" w:cs="仿宋_GB2312"/>
          <w:sz w:val="32"/>
          <w:szCs w:val="32"/>
        </w:rPr>
      </w:pPr>
      <w:r>
        <w:rPr>
          <w:rFonts w:hint="eastAsia" w:ascii="仿宋" w:hAnsi="仿宋" w:eastAsia="仿宋" w:cs="仿宋_GB2312"/>
          <w:sz w:val="32"/>
          <w:szCs w:val="32"/>
        </w:rPr>
        <w:t>因昭觉县距广元较远、交通不便，实地调研的机会比较少，对援助工作带了很多困难。</w:t>
      </w:r>
    </w:p>
    <w:p>
      <w:pPr>
        <w:numPr>
          <w:ilvl w:val="0"/>
          <w:numId w:val="12"/>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相关措施建议</w:t>
      </w:r>
    </w:p>
    <w:p>
      <w:pPr>
        <w:spacing w:line="580" w:lineRule="exact"/>
        <w:ind w:firstLine="640"/>
        <w:rPr>
          <w:rFonts w:ascii="仿宋" w:hAnsi="仿宋" w:eastAsia="仿宋" w:cs="仿宋_GB2312"/>
          <w:sz w:val="32"/>
          <w:szCs w:val="32"/>
        </w:rPr>
      </w:pPr>
      <w:r>
        <w:rPr>
          <w:rFonts w:hint="eastAsia" w:ascii="仿宋" w:hAnsi="仿宋" w:eastAsia="仿宋" w:cs="仿宋_GB2312"/>
          <w:sz w:val="32"/>
          <w:szCs w:val="32"/>
        </w:rPr>
        <w:t xml:space="preserve"> 加强交流，采取开视频会议等方式共同探讨检察业务，争取共同进步。</w:t>
      </w:r>
    </w:p>
    <w:p>
      <w:pPr>
        <w:pStyle w:val="3"/>
        <w:rPr>
          <w:rStyle w:val="25"/>
          <w:rFonts w:ascii="仿宋" w:hAnsi="仿宋" w:eastAsia="仿宋"/>
          <w:b w:val="0"/>
          <w:bCs w:val="0"/>
          <w:sz w:val="32"/>
          <w:szCs w:val="32"/>
        </w:rPr>
      </w:pPr>
      <w:r>
        <w:rPr>
          <w:rStyle w:val="25"/>
          <w:rFonts w:hint="eastAsia" w:ascii="仿宋" w:hAnsi="仿宋" w:eastAsia="仿宋"/>
          <w:b w:val="0"/>
          <w:bCs w:val="0"/>
          <w:sz w:val="32"/>
          <w:szCs w:val="32"/>
        </w:rPr>
        <w:t>附件2</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2018年检察人员及司法警察换装</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前期准备：按照绩效自评工作要求，组成以王绍连同志为组长的绩效评价工作小组，对相关的国家法律法规进行了认真学习，掌握政策，根据此次检察制服换装情况制定了项目支出绩效评价实施方案，设计了绩效评价指标体系。</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2.组织实施：采用核查法核查2018年同级财政预算批复执行及检察人员及司法警察换装项目支出情况，着重核查了服装款项支付、发放情况，并根据年初制定的绩效考核目标，进行了实地绩效考评。</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3.分析评价：对评价过程中收集资料进行归纳，汇总分析，依据检察人员及司法警察换装项目支出绩效评价指标体系进行了评分，形成了综合性书面报告。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2018年我院检察人员及司法警察换装项目开展情况较好，在实现项目效果的同时严格控制经费，项目决算数与预算数持平。</w:t>
      </w:r>
    </w:p>
    <w:tbl>
      <w:tblPr>
        <w:tblStyle w:val="13"/>
        <w:tblpPr w:leftFromText="180" w:rightFromText="180" w:vertAnchor="text" w:horzAnchor="page" w:tblpXSpec="center" w:tblpY="423"/>
        <w:tblOverlap w:val="never"/>
        <w:tblW w:w="9865" w:type="dxa"/>
        <w:tblInd w:w="95" w:type="dxa"/>
        <w:tblLayout w:type="fixed"/>
        <w:tblCellMar>
          <w:top w:w="0" w:type="dxa"/>
          <w:left w:w="0" w:type="dxa"/>
          <w:bottom w:w="0" w:type="dxa"/>
          <w:right w:w="0" w:type="dxa"/>
        </w:tblCellMar>
      </w:tblPr>
      <w:tblGrid>
        <w:gridCol w:w="1272"/>
        <w:gridCol w:w="1389"/>
        <w:gridCol w:w="2760"/>
        <w:gridCol w:w="1662"/>
        <w:gridCol w:w="2782"/>
      </w:tblGrid>
      <w:tr>
        <w:tblPrEx>
          <w:tblCellMar>
            <w:top w:w="0" w:type="dxa"/>
            <w:left w:w="0" w:type="dxa"/>
            <w:bottom w:w="0" w:type="dxa"/>
            <w:right w:w="0" w:type="dxa"/>
          </w:tblCellMar>
        </w:tblPrEx>
        <w:trPr>
          <w:trHeight w:val="1034" w:hRule="atLeast"/>
        </w:trPr>
        <w:tc>
          <w:tcPr>
            <w:tcW w:w="9865" w:type="dxa"/>
            <w:gridSpan w:val="5"/>
            <w:tcMar>
              <w:top w:w="15" w:type="dxa"/>
              <w:left w:w="15" w:type="dxa"/>
              <w:bottom w:w="0" w:type="dxa"/>
              <w:right w:w="15" w:type="dxa"/>
            </w:tcMar>
            <w:vAlign w:val="center"/>
          </w:tcPr>
          <w:p>
            <w:pPr>
              <w:pStyle w:val="24"/>
              <w:widowControl/>
              <w:ind w:left="4171" w:leftChars="1652" w:hanging="702" w:hangingChars="195"/>
              <w:textAlignment w:val="center"/>
              <w:rPr>
                <w:rFonts w:ascii="黑体" w:hAnsi="黑体" w:eastAsia="黑体" w:cs="宋体"/>
                <w:bCs/>
                <w:color w:val="000000"/>
                <w:kern w:val="0"/>
                <w:sz w:val="36"/>
                <w:szCs w:val="36"/>
              </w:rPr>
            </w:pPr>
            <w:r>
              <w:rPr>
                <w:rFonts w:hint="eastAsia" w:ascii="黑体" w:hAnsi="黑体" w:eastAsia="黑体" w:cs="宋体"/>
                <w:bCs/>
                <w:color w:val="000000"/>
                <w:kern w:val="0"/>
                <w:sz w:val="36"/>
                <w:szCs w:val="36"/>
              </w:rPr>
              <w:t>项目评价得分表</w:t>
            </w:r>
          </w:p>
          <w:p>
            <w:pPr>
              <w:pStyle w:val="24"/>
              <w:widowControl/>
              <w:ind w:left="4170" w:leftChars="1823" w:hanging="342" w:hangingChars="95"/>
              <w:textAlignment w:val="center"/>
              <w:rPr>
                <w:rFonts w:ascii="宋体" w:hAnsi="宋体" w:cs="宋体"/>
                <w:color w:val="000000"/>
                <w:sz w:val="36"/>
                <w:szCs w:val="36"/>
              </w:rPr>
            </w:pP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1042" w:hRule="atLeast"/>
        </w:trPr>
        <w:tc>
          <w:tcPr>
            <w:tcW w:w="1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评分类别</w:t>
            </w: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评分项目</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评分要求</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总分</w:t>
            </w:r>
          </w:p>
        </w:tc>
        <w:tc>
          <w:tcPr>
            <w:tcW w:w="27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得分</w:t>
            </w:r>
          </w:p>
        </w:tc>
      </w:tr>
      <w:tr>
        <w:tblPrEx>
          <w:tblCellMar>
            <w:top w:w="0" w:type="dxa"/>
            <w:left w:w="0" w:type="dxa"/>
            <w:bottom w:w="0" w:type="dxa"/>
            <w:right w:w="0" w:type="dxa"/>
          </w:tblCellMar>
        </w:tblPrEx>
        <w:trPr>
          <w:trHeight w:val="953" w:hRule="atLeast"/>
        </w:trPr>
        <w:tc>
          <w:tcPr>
            <w:tcW w:w="1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经费预算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按标准测算</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w:t>
            </w:r>
          </w:p>
        </w:tc>
        <w:tc>
          <w:tcPr>
            <w:tcW w:w="27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w:t>
            </w:r>
          </w:p>
        </w:tc>
      </w:tr>
      <w:tr>
        <w:tblPrEx>
          <w:tblCellMar>
            <w:top w:w="0" w:type="dxa"/>
            <w:left w:w="0" w:type="dxa"/>
            <w:bottom w:w="0" w:type="dxa"/>
            <w:right w:w="0" w:type="dxa"/>
          </w:tblCellMar>
        </w:tblPrEx>
        <w:trPr>
          <w:trHeight w:val="1297" w:hRule="atLeast"/>
        </w:trPr>
        <w:tc>
          <w:tcPr>
            <w:tcW w:w="1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服装登记</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制服类型、尺寸的统计</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w:t>
            </w:r>
          </w:p>
        </w:tc>
        <w:tc>
          <w:tcPr>
            <w:tcW w:w="27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w:t>
            </w:r>
          </w:p>
        </w:tc>
      </w:tr>
      <w:tr>
        <w:tblPrEx>
          <w:tblCellMar>
            <w:top w:w="0" w:type="dxa"/>
            <w:left w:w="0" w:type="dxa"/>
            <w:bottom w:w="0" w:type="dxa"/>
            <w:right w:w="0" w:type="dxa"/>
          </w:tblCellMar>
        </w:tblPrEx>
        <w:trPr>
          <w:trHeight w:val="1042" w:hRule="atLeast"/>
        </w:trPr>
        <w:tc>
          <w:tcPr>
            <w:tcW w:w="1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服装上报</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及时填报各项表格</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w:t>
            </w:r>
          </w:p>
        </w:tc>
        <w:tc>
          <w:tcPr>
            <w:tcW w:w="27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w:t>
            </w:r>
          </w:p>
        </w:tc>
      </w:tr>
      <w:tr>
        <w:tblPrEx>
          <w:tblCellMar>
            <w:top w:w="0" w:type="dxa"/>
            <w:left w:w="0" w:type="dxa"/>
            <w:bottom w:w="0" w:type="dxa"/>
            <w:right w:w="0" w:type="dxa"/>
          </w:tblCellMar>
        </w:tblPrEx>
        <w:trPr>
          <w:trHeight w:val="1297" w:hRule="atLeast"/>
        </w:trPr>
        <w:tc>
          <w:tcPr>
            <w:tcW w:w="1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费用控制</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详实测算</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p>
        </w:tc>
        <w:tc>
          <w:tcPr>
            <w:tcW w:w="27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p>
        </w:tc>
      </w:tr>
      <w:tr>
        <w:tblPrEx>
          <w:tblCellMar>
            <w:top w:w="0" w:type="dxa"/>
            <w:left w:w="0" w:type="dxa"/>
            <w:bottom w:w="0" w:type="dxa"/>
            <w:right w:w="0" w:type="dxa"/>
          </w:tblCellMar>
        </w:tblPrEx>
        <w:trPr>
          <w:trHeight w:val="1297" w:hRule="atLeast"/>
        </w:trPr>
        <w:tc>
          <w:tcPr>
            <w:tcW w:w="1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服装发放</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发放无差错</w:t>
            </w:r>
          </w:p>
        </w:tc>
        <w:tc>
          <w:tcPr>
            <w:tcW w:w="16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w:t>
            </w:r>
          </w:p>
        </w:tc>
        <w:tc>
          <w:tcPr>
            <w:tcW w:w="27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w:t>
            </w: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检察制服是检察人员依法履行法律职务时统一穿着的制式服装。人民检察院实行统一着装，是维护国家法治尊严，依法行使国家检察权的需要。此次换装是由省检察院统一部署、统一实施，由地方财政预算的项目。在绩效目标设置上，我院从统计到发放的全过程设置了合理的项目目标。</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严格按照预算执行专款专用，科学计划资金使用进度，每笔支出力求规范、合理。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w:t>
      </w:r>
      <w:r>
        <w:rPr>
          <w:rFonts w:hint="eastAsia" w:ascii="仿宋" w:hAnsi="仿宋" w:eastAsia="仿宋" w:cs="仿宋_GB2312"/>
          <w:sz w:val="32"/>
          <w:szCs w:val="32"/>
        </w:rPr>
        <w:t>良好</w:t>
      </w:r>
      <w:r>
        <w:rPr>
          <w:rFonts w:ascii="仿宋" w:hAnsi="仿宋" w:eastAsia="仿宋" w:cs="仿宋_GB2312"/>
          <w:sz w:val="32"/>
          <w:szCs w:val="32"/>
        </w:rPr>
        <w:t>，</w:t>
      </w:r>
      <w:r>
        <w:rPr>
          <w:rFonts w:hint="eastAsia" w:ascii="仿宋" w:hAnsi="仿宋" w:eastAsia="仿宋" w:cs="仿宋_GB2312"/>
          <w:sz w:val="32"/>
          <w:szCs w:val="32"/>
        </w:rPr>
        <w:t>达成了换装目的。全院无错发漏发，服装费用测算准确无误。</w:t>
      </w:r>
    </w:p>
    <w:p>
      <w:pPr>
        <w:numPr>
          <w:ilvl w:val="0"/>
          <w:numId w:val="13"/>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存在主要问题</w:t>
      </w:r>
    </w:p>
    <w:p>
      <w:pPr>
        <w:spacing w:line="580" w:lineRule="exact"/>
        <w:rPr>
          <w:rFonts w:ascii="仿宋" w:hAnsi="仿宋" w:eastAsia="仿宋" w:cs="仿宋_GB2312"/>
          <w:sz w:val="32"/>
          <w:szCs w:val="32"/>
        </w:rPr>
      </w:pPr>
      <w:r>
        <w:rPr>
          <w:rFonts w:hint="eastAsia" w:ascii="仿宋" w:hAnsi="仿宋" w:eastAsia="仿宋" w:cs="仿宋_GB2312"/>
          <w:sz w:val="32"/>
          <w:szCs w:val="32"/>
        </w:rPr>
        <w:t xml:space="preserve">    无。</w:t>
      </w:r>
    </w:p>
    <w:p>
      <w:pPr>
        <w:numPr>
          <w:ilvl w:val="0"/>
          <w:numId w:val="13"/>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相关措施建议</w:t>
      </w:r>
    </w:p>
    <w:p>
      <w:pPr>
        <w:spacing w:line="580" w:lineRule="exact"/>
        <w:ind w:left="420" w:leftChars="200"/>
        <w:rPr>
          <w:rFonts w:ascii="仿宋" w:hAnsi="仿宋" w:eastAsia="仿宋" w:cs="仿宋_GB2312"/>
          <w:sz w:val="32"/>
          <w:szCs w:val="32"/>
        </w:rPr>
      </w:pPr>
      <w:r>
        <w:rPr>
          <w:rFonts w:hint="eastAsia" w:ascii="仿宋" w:hAnsi="仿宋" w:eastAsia="仿宋" w:cs="仿宋_GB2312"/>
          <w:sz w:val="32"/>
          <w:szCs w:val="32"/>
        </w:rPr>
        <w:t xml:space="preserve"> 继续做好检察制服的经费保障。</w:t>
      </w:r>
    </w:p>
    <w:p>
      <w:pPr>
        <w:spacing w:line="600" w:lineRule="exact"/>
        <w:jc w:val="center"/>
        <w:outlineLvl w:val="0"/>
        <w:rPr>
          <w:rStyle w:val="25"/>
          <w:rFonts w:ascii="黑体" w:hAnsi="黑体" w:eastAsia="黑体"/>
          <w:b w:val="0"/>
        </w:rPr>
      </w:pPr>
      <w:bookmarkStart w:id="62"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rPr>
      </w:pPr>
      <w:bookmarkStart w:id="75"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28</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FF0AB"/>
    <w:multiLevelType w:val="singleLevel"/>
    <w:tmpl w:val="AA2FF0AB"/>
    <w:lvl w:ilvl="0" w:tentative="0">
      <w:start w:val="2"/>
      <w:numFmt w:val="chineseCounting"/>
      <w:suff w:val="nothing"/>
      <w:lvlText w:val="（%1）"/>
      <w:lvlJc w:val="left"/>
      <w:rPr>
        <w:rFonts w:hint="eastAsia"/>
      </w:rPr>
    </w:lvl>
  </w:abstractNum>
  <w:abstractNum w:abstractNumId="1">
    <w:nsid w:val="B026C66B"/>
    <w:multiLevelType w:val="singleLevel"/>
    <w:tmpl w:val="B026C66B"/>
    <w:lvl w:ilvl="0" w:tentative="0">
      <w:start w:val="1"/>
      <w:numFmt w:val="decimal"/>
      <w:lvlText w:val="%1."/>
      <w:lvlJc w:val="left"/>
      <w:pPr>
        <w:tabs>
          <w:tab w:val="left" w:pos="312"/>
        </w:tabs>
      </w:pPr>
    </w:lvl>
  </w:abstractNum>
  <w:abstractNum w:abstractNumId="2">
    <w:nsid w:val="CD6BD6C8"/>
    <w:multiLevelType w:val="singleLevel"/>
    <w:tmpl w:val="CD6BD6C8"/>
    <w:lvl w:ilvl="0" w:tentative="0">
      <w:start w:val="3"/>
      <w:numFmt w:val="chineseCounting"/>
      <w:suff w:val="nothing"/>
      <w:lvlText w:val="%1、"/>
      <w:lvlJc w:val="left"/>
      <w:rPr>
        <w:rFonts w:hint="eastAsia"/>
      </w:rPr>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DA90DDC0"/>
    <w:multiLevelType w:val="singleLevel"/>
    <w:tmpl w:val="DA90DDC0"/>
    <w:lvl w:ilvl="0" w:tentative="0">
      <w:start w:val="3"/>
      <w:numFmt w:val="chineseCounting"/>
      <w:suff w:val="nothing"/>
      <w:lvlText w:val="%1、"/>
      <w:lvlJc w:val="left"/>
      <w:rPr>
        <w:rFonts w:hint="eastAsia"/>
      </w:rPr>
    </w:lvl>
  </w:abstractNum>
  <w:abstractNum w:abstractNumId="5">
    <w:nsid w:val="E2FA047D"/>
    <w:multiLevelType w:val="singleLevel"/>
    <w:tmpl w:val="E2FA047D"/>
    <w:lvl w:ilvl="0" w:tentative="0">
      <w:start w:val="3"/>
      <w:numFmt w:val="chineseCounting"/>
      <w:suff w:val="space"/>
      <w:lvlText w:val="第%1部分"/>
      <w:lvlJc w:val="left"/>
      <w:rPr>
        <w:rFonts w:hint="eastAsia"/>
      </w:rPr>
    </w:lvl>
  </w:abstractNum>
  <w:abstractNum w:abstractNumId="6">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7">
    <w:nsid w:val="F85D8FF6"/>
    <w:multiLevelType w:val="singleLevel"/>
    <w:tmpl w:val="F85D8FF6"/>
    <w:lvl w:ilvl="0" w:tentative="0">
      <w:start w:val="2"/>
      <w:numFmt w:val="chineseCounting"/>
      <w:suff w:val="nothing"/>
      <w:lvlText w:val="（%1）"/>
      <w:lvlJc w:val="left"/>
      <w:rPr>
        <w:rFonts w:hint="eastAsia"/>
      </w:rPr>
    </w:lvl>
  </w:abstractNum>
  <w:abstractNum w:abstractNumId="8">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0">
    <w:nsid w:val="4A6CE377"/>
    <w:multiLevelType w:val="singleLevel"/>
    <w:tmpl w:val="4A6CE377"/>
    <w:lvl w:ilvl="0" w:tentative="0">
      <w:start w:val="3"/>
      <w:numFmt w:val="chineseCounting"/>
      <w:suff w:val="nothing"/>
      <w:lvlText w:val="%1、"/>
      <w:lvlJc w:val="left"/>
      <w:rPr>
        <w:rFonts w:hint="eastAsia"/>
      </w:rPr>
    </w:lvl>
  </w:abstractNum>
  <w:abstractNum w:abstractNumId="11">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abstractNum w:abstractNumId="12">
    <w:nsid w:val="74FD2C66"/>
    <w:multiLevelType w:val="singleLevel"/>
    <w:tmpl w:val="74FD2C66"/>
    <w:lvl w:ilvl="0" w:tentative="0">
      <w:start w:val="3"/>
      <w:numFmt w:val="chineseCounting"/>
      <w:suff w:val="nothing"/>
      <w:lvlText w:val="%1、"/>
      <w:lvlJc w:val="left"/>
      <w:rPr>
        <w:rFonts w:hint="eastAsia"/>
      </w:rPr>
    </w:lvl>
  </w:abstractNum>
  <w:num w:numId="1">
    <w:abstractNumId w:val="11"/>
  </w:num>
  <w:num w:numId="2">
    <w:abstractNumId w:val="8"/>
  </w:num>
  <w:num w:numId="3">
    <w:abstractNumId w:val="3"/>
  </w:num>
  <w:num w:numId="4">
    <w:abstractNumId w:val="9"/>
  </w:num>
  <w:num w:numId="5">
    <w:abstractNumId w:val="6"/>
  </w:num>
  <w:num w:numId="6">
    <w:abstractNumId w:val="1"/>
  </w:num>
  <w:num w:numId="7">
    <w:abstractNumId w:val="5"/>
  </w:num>
  <w:num w:numId="8">
    <w:abstractNumId w:val="7"/>
  </w:num>
  <w:num w:numId="9">
    <w:abstractNumId w:val="0"/>
  </w:num>
  <w:num w:numId="10">
    <w:abstractNumId w:val="4"/>
  </w:num>
  <w:num w:numId="11">
    <w:abstractNumId w:val="12"/>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064BF"/>
    <w:rsid w:val="000222C6"/>
    <w:rsid w:val="0002549F"/>
    <w:rsid w:val="0006487A"/>
    <w:rsid w:val="00065F8F"/>
    <w:rsid w:val="000768F2"/>
    <w:rsid w:val="000913AC"/>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15037"/>
    <w:rsid w:val="0014729F"/>
    <w:rsid w:val="00157BAB"/>
    <w:rsid w:val="001654D1"/>
    <w:rsid w:val="0018106D"/>
    <w:rsid w:val="001877A7"/>
    <w:rsid w:val="00191536"/>
    <w:rsid w:val="00196687"/>
    <w:rsid w:val="001B0F2A"/>
    <w:rsid w:val="001C0962"/>
    <w:rsid w:val="001C4791"/>
    <w:rsid w:val="001D182C"/>
    <w:rsid w:val="001D7531"/>
    <w:rsid w:val="001E737D"/>
    <w:rsid w:val="001F0592"/>
    <w:rsid w:val="001F2E89"/>
    <w:rsid w:val="001F7506"/>
    <w:rsid w:val="002006CD"/>
    <w:rsid w:val="00202B36"/>
    <w:rsid w:val="00204B7A"/>
    <w:rsid w:val="0021101A"/>
    <w:rsid w:val="00220536"/>
    <w:rsid w:val="00235629"/>
    <w:rsid w:val="00247B7C"/>
    <w:rsid w:val="00260C38"/>
    <w:rsid w:val="002616C0"/>
    <w:rsid w:val="002662AA"/>
    <w:rsid w:val="00280496"/>
    <w:rsid w:val="00295495"/>
    <w:rsid w:val="002B2613"/>
    <w:rsid w:val="002F1818"/>
    <w:rsid w:val="002F567B"/>
    <w:rsid w:val="002F6762"/>
    <w:rsid w:val="003216A9"/>
    <w:rsid w:val="0037013F"/>
    <w:rsid w:val="00380C92"/>
    <w:rsid w:val="003A484F"/>
    <w:rsid w:val="003B0BE0"/>
    <w:rsid w:val="003B0C1B"/>
    <w:rsid w:val="003B688C"/>
    <w:rsid w:val="003C0291"/>
    <w:rsid w:val="003C39AE"/>
    <w:rsid w:val="003C7B60"/>
    <w:rsid w:val="003D1FB2"/>
    <w:rsid w:val="003D66DA"/>
    <w:rsid w:val="003E1310"/>
    <w:rsid w:val="003E6F55"/>
    <w:rsid w:val="003F41BC"/>
    <w:rsid w:val="00406254"/>
    <w:rsid w:val="004223DE"/>
    <w:rsid w:val="00434489"/>
    <w:rsid w:val="00437085"/>
    <w:rsid w:val="00443880"/>
    <w:rsid w:val="004464F4"/>
    <w:rsid w:val="00471401"/>
    <w:rsid w:val="0047302A"/>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9797E"/>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0ADE"/>
    <w:rsid w:val="008B768C"/>
    <w:rsid w:val="008C10A4"/>
    <w:rsid w:val="008C4DB1"/>
    <w:rsid w:val="008C4EAF"/>
    <w:rsid w:val="008C5176"/>
    <w:rsid w:val="008C7FD0"/>
    <w:rsid w:val="008E1DE7"/>
    <w:rsid w:val="008E707C"/>
    <w:rsid w:val="00900B08"/>
    <w:rsid w:val="00902155"/>
    <w:rsid w:val="00902FA3"/>
    <w:rsid w:val="00923564"/>
    <w:rsid w:val="0092392E"/>
    <w:rsid w:val="00924705"/>
    <w:rsid w:val="009315F9"/>
    <w:rsid w:val="00946945"/>
    <w:rsid w:val="009507CB"/>
    <w:rsid w:val="00951248"/>
    <w:rsid w:val="0095152F"/>
    <w:rsid w:val="00954C49"/>
    <w:rsid w:val="0097099F"/>
    <w:rsid w:val="00971997"/>
    <w:rsid w:val="00971FFC"/>
    <w:rsid w:val="00981A34"/>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4063"/>
    <w:rsid w:val="00A16847"/>
    <w:rsid w:val="00A237D8"/>
    <w:rsid w:val="00A268C4"/>
    <w:rsid w:val="00A307CD"/>
    <w:rsid w:val="00A363B1"/>
    <w:rsid w:val="00A40A00"/>
    <w:rsid w:val="00A4142F"/>
    <w:rsid w:val="00A5256B"/>
    <w:rsid w:val="00A56DF2"/>
    <w:rsid w:val="00A67AB5"/>
    <w:rsid w:val="00A91760"/>
    <w:rsid w:val="00A93B00"/>
    <w:rsid w:val="00A93C21"/>
    <w:rsid w:val="00AC1E68"/>
    <w:rsid w:val="00AC300F"/>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274C"/>
    <w:rsid w:val="00B82B1F"/>
    <w:rsid w:val="00B841F1"/>
    <w:rsid w:val="00B944D6"/>
    <w:rsid w:val="00BA4DFA"/>
    <w:rsid w:val="00BB4DF0"/>
    <w:rsid w:val="00BC2879"/>
    <w:rsid w:val="00BC289F"/>
    <w:rsid w:val="00BC5361"/>
    <w:rsid w:val="00BC5460"/>
    <w:rsid w:val="00BC6B50"/>
    <w:rsid w:val="00BD0E25"/>
    <w:rsid w:val="00BF5BD6"/>
    <w:rsid w:val="00C03E31"/>
    <w:rsid w:val="00C04717"/>
    <w:rsid w:val="00C33E72"/>
    <w:rsid w:val="00C354B2"/>
    <w:rsid w:val="00C35554"/>
    <w:rsid w:val="00C42709"/>
    <w:rsid w:val="00C533CC"/>
    <w:rsid w:val="00C5751C"/>
    <w:rsid w:val="00C61BFC"/>
    <w:rsid w:val="00C62B85"/>
    <w:rsid w:val="00C65438"/>
    <w:rsid w:val="00C91CBB"/>
    <w:rsid w:val="00C93508"/>
    <w:rsid w:val="00CC09B6"/>
    <w:rsid w:val="00CC4A6C"/>
    <w:rsid w:val="00CC666F"/>
    <w:rsid w:val="00CD1E3F"/>
    <w:rsid w:val="00CE44F6"/>
    <w:rsid w:val="00CE49DA"/>
    <w:rsid w:val="00CE7B61"/>
    <w:rsid w:val="00D00095"/>
    <w:rsid w:val="00D017D7"/>
    <w:rsid w:val="00D20620"/>
    <w:rsid w:val="00D26091"/>
    <w:rsid w:val="00D34E7C"/>
    <w:rsid w:val="00D35489"/>
    <w:rsid w:val="00D51276"/>
    <w:rsid w:val="00D7035F"/>
    <w:rsid w:val="00DA65AC"/>
    <w:rsid w:val="00DB1913"/>
    <w:rsid w:val="00DC410D"/>
    <w:rsid w:val="00DC68CA"/>
    <w:rsid w:val="00DC7AE7"/>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B43A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D6F5F"/>
    <w:rsid w:val="00FF1E02"/>
    <w:rsid w:val="00FF30B4"/>
    <w:rsid w:val="029347E6"/>
    <w:rsid w:val="090B77D4"/>
    <w:rsid w:val="0B790C83"/>
    <w:rsid w:val="0C6A01FB"/>
    <w:rsid w:val="0C6F5A72"/>
    <w:rsid w:val="0D4F6072"/>
    <w:rsid w:val="0EDE3569"/>
    <w:rsid w:val="0FB96728"/>
    <w:rsid w:val="10633774"/>
    <w:rsid w:val="10C055FF"/>
    <w:rsid w:val="115B7989"/>
    <w:rsid w:val="11C17C40"/>
    <w:rsid w:val="145D528F"/>
    <w:rsid w:val="148B459F"/>
    <w:rsid w:val="16BB723D"/>
    <w:rsid w:val="1853225F"/>
    <w:rsid w:val="19FA623F"/>
    <w:rsid w:val="1B2F0EE4"/>
    <w:rsid w:val="1DC4036E"/>
    <w:rsid w:val="1F466A8B"/>
    <w:rsid w:val="236B6903"/>
    <w:rsid w:val="240371BF"/>
    <w:rsid w:val="289B6F9D"/>
    <w:rsid w:val="295823B9"/>
    <w:rsid w:val="29FD04D3"/>
    <w:rsid w:val="2A7512C3"/>
    <w:rsid w:val="2F481EA8"/>
    <w:rsid w:val="309D07C6"/>
    <w:rsid w:val="317649B9"/>
    <w:rsid w:val="319F7F4E"/>
    <w:rsid w:val="32FB8868"/>
    <w:rsid w:val="33F95AA5"/>
    <w:rsid w:val="352F2D5C"/>
    <w:rsid w:val="360B570E"/>
    <w:rsid w:val="38207678"/>
    <w:rsid w:val="3CC313E3"/>
    <w:rsid w:val="45977109"/>
    <w:rsid w:val="4ABD4B62"/>
    <w:rsid w:val="4B197184"/>
    <w:rsid w:val="4B256019"/>
    <w:rsid w:val="4E39630F"/>
    <w:rsid w:val="4F7E3077"/>
    <w:rsid w:val="500659B3"/>
    <w:rsid w:val="503050C1"/>
    <w:rsid w:val="50952F2C"/>
    <w:rsid w:val="51871971"/>
    <w:rsid w:val="56E1448E"/>
    <w:rsid w:val="581D7E55"/>
    <w:rsid w:val="59AA2481"/>
    <w:rsid w:val="5C7A1337"/>
    <w:rsid w:val="6204265D"/>
    <w:rsid w:val="62EF3BBF"/>
    <w:rsid w:val="63DA7E17"/>
    <w:rsid w:val="64753CC8"/>
    <w:rsid w:val="6804471E"/>
    <w:rsid w:val="6B896493"/>
    <w:rsid w:val="6C2E37C9"/>
    <w:rsid w:val="6DA76767"/>
    <w:rsid w:val="6E662FFA"/>
    <w:rsid w:val="73F70576"/>
    <w:rsid w:val="759D0266"/>
    <w:rsid w:val="769D0735"/>
    <w:rsid w:val="7A523220"/>
    <w:rsid w:val="7CCD6B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spacing w:beforeAutospacing="1" w:afterAutospacing="1"/>
      <w:jc w:val="left"/>
    </w:pPr>
    <w:rPr>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a:t>
            </a:r>
          </a:p>
        </c:rich>
      </c:tx>
      <c:layout/>
      <c:overlay val="false"/>
      <c:spPr>
        <a:noFill/>
        <a:ln>
          <a:noFill/>
        </a:ln>
        <a:effectLst/>
      </c:spPr>
    </c:title>
    <c:autoTitleDeleted val="false"/>
    <c:plotArea>
      <c:layout>
        <c:manualLayout>
          <c:layoutTarget val="inner"/>
          <c:xMode val="edge"/>
          <c:yMode val="edge"/>
          <c:x val="0.0360406818507377"/>
          <c:y val="0.00704060079793476"/>
          <c:w val="0.917404383326171"/>
          <c:h val="0.600891809434405"/>
        </c:manualLayout>
      </c:layout>
      <c:barChart>
        <c:barDir val="col"/>
        <c:grouping val="clustered"/>
        <c:varyColors val="false"/>
        <c:ser>
          <c:idx val="0"/>
          <c:order val="0"/>
          <c:tx>
            <c:strRef>
              <c:f>Sheet1!$B$1</c:f>
              <c:strCache>
                <c:ptCount val="1"/>
                <c:pt idx="0">
                  <c:v>2017</c:v>
                </c:pt>
              </c:strCache>
            </c:strRef>
          </c:tx>
          <c:spPr>
            <a:solidFill>
              <a:schemeClr val="accent1"/>
            </a:solidFill>
            <a:ln>
              <a:noFill/>
            </a:ln>
            <a:effectLst/>
          </c:spPr>
          <c:invertIfNegative val="false"/>
          <c:dLbls>
            <c:delete val="true"/>
          </c:dLbls>
          <c:cat>
            <c:strRef>
              <c:f>Sheet1!$A$2:$A$5</c:f>
              <c:strCache>
                <c:ptCount val="4"/>
                <c:pt idx="0">
                  <c:v>收入</c:v>
                </c:pt>
                <c:pt idx="1">
                  <c:v>支出</c:v>
                </c:pt>
              </c:strCache>
            </c:strRef>
          </c:cat>
          <c:val>
            <c:numRef>
              <c:f>Sheet1!$B$2:$B$5</c:f>
              <c:numCache>
                <c:formatCode>General</c:formatCode>
                <c:ptCount val="4"/>
                <c:pt idx="0">
                  <c:v>2266.85</c:v>
                </c:pt>
                <c:pt idx="1">
                  <c:v>1780.56</c:v>
                </c:pt>
              </c:numCache>
            </c:numRef>
          </c:val>
        </c:ser>
        <c:ser>
          <c:idx val="1"/>
          <c:order val="1"/>
          <c:tx>
            <c:strRef>
              <c:f>Sheet1!$C$1</c:f>
              <c:strCache>
                <c:ptCount val="1"/>
                <c:pt idx="0">
                  <c:v>2018</c:v>
                </c:pt>
              </c:strCache>
            </c:strRef>
          </c:tx>
          <c:spPr>
            <a:solidFill>
              <a:schemeClr val="accent2"/>
            </a:solidFill>
            <a:ln>
              <a:noFill/>
            </a:ln>
            <a:effectLst/>
          </c:spPr>
          <c:invertIfNegative val="false"/>
          <c:dLbls>
            <c:delete val="true"/>
          </c:dLbls>
          <c:cat>
            <c:strRef>
              <c:f>Sheet1!$A$2:$A$5</c:f>
              <c:strCache>
                <c:ptCount val="4"/>
                <c:pt idx="0">
                  <c:v>收入</c:v>
                </c:pt>
                <c:pt idx="1">
                  <c:v>支出</c:v>
                </c:pt>
              </c:strCache>
            </c:strRef>
          </c:cat>
          <c:val>
            <c:numRef>
              <c:f>Sheet1!$C$2:$C$5</c:f>
              <c:numCache>
                <c:formatCode>General</c:formatCode>
                <c:ptCount val="4"/>
                <c:pt idx="0">
                  <c:v>2124.05</c:v>
                </c:pt>
                <c:pt idx="1">
                  <c:v>2021.98</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Sheet1!$A$2:$A$5</c:f>
              <c:strCache>
                <c:ptCount val="4"/>
                <c:pt idx="0">
                  <c:v>收入</c:v>
                </c:pt>
                <c:pt idx="1">
                  <c:v>支出</c:v>
                </c:pt>
              </c:strCache>
            </c:str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19"/>
        <c:overlap val="-27"/>
        <c:axId val="98752000"/>
        <c:axId val="98753536"/>
      </c:barChart>
      <c:catAx>
        <c:axId val="98752000"/>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8753536"/>
        <c:crosses val="autoZero"/>
        <c:auto val="true"/>
        <c:lblAlgn val="ctr"/>
        <c:lblOffset val="100"/>
        <c:noMultiLvlLbl val="false"/>
      </c:catAx>
      <c:valAx>
        <c:axId val="98753536"/>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8752000"/>
        <c:crosses val="autoZero"/>
        <c:crossBetween val="between"/>
      </c:valAx>
      <c:spPr>
        <a:noFill/>
        <a:ln>
          <a:noFill/>
        </a:ln>
        <a:effectLst/>
      </c:spPr>
    </c:plotArea>
    <c:legend>
      <c:legendPos val="b"/>
      <c:legendEntry>
        <c:idx val="2"/>
        <c:delete val="true"/>
      </c:legendEntry>
      <c:layout>
        <c:manualLayout>
          <c:xMode val="edge"/>
          <c:yMode val="edge"/>
          <c:x val="0.356539177768228"/>
          <c:y val="0.893217554564656"/>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本年收入合计</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elete val="true"/>
          </c:dLbls>
          <c:cat>
            <c:strRef>
              <c:f>Sheet1!$A$2:$A$5</c:f>
              <c:strCache>
                <c:ptCount val="4"/>
                <c:pt idx="0">
                  <c:v>一般公共预算</c:v>
                </c:pt>
                <c:pt idx="1">
                  <c:v>政府性基金预算</c:v>
                </c:pt>
                <c:pt idx="2">
                  <c:v>国有资本经营预算</c:v>
                </c:pt>
                <c:pt idx="3">
                  <c:v>事业收入</c:v>
                </c:pt>
              </c:strCache>
            </c:strRef>
          </c:cat>
          <c:val>
            <c:numRef>
              <c:f>Sheet1!$B$2:$B$5</c:f>
              <c:numCache>
                <c:formatCode>General</c:formatCode>
                <c:ptCount val="4"/>
                <c:pt idx="0">
                  <c:v>2124.05</c:v>
                </c:pt>
                <c:pt idx="1">
                  <c:v>0</c:v>
                </c:pt>
                <c:pt idx="2">
                  <c:v>0</c:v>
                </c:pt>
                <c:pt idx="3">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manualLayout>
          <c:xMode val="edge"/>
          <c:yMode val="edge"/>
          <c:x val="0.0606875"/>
          <c:y val="0.9045"/>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本年支出</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elete val="true"/>
          </c:dLbls>
          <c:cat>
            <c:strRef>
              <c:f>Sheet1!$A$2:$A$5</c:f>
              <c:strCache>
                <c:ptCount val="4"/>
                <c:pt idx="0">
                  <c:v>基本支出</c:v>
                </c:pt>
                <c:pt idx="1">
                  <c:v>项目支出</c:v>
                </c:pt>
                <c:pt idx="2">
                  <c:v>上缴上级支出</c:v>
                </c:pt>
                <c:pt idx="3">
                  <c:v>经营支出</c:v>
                </c:pt>
              </c:strCache>
            </c:strRef>
          </c:cat>
          <c:val>
            <c:numRef>
              <c:f>Sheet1!$B$2:$B$5</c:f>
              <c:numCache>
                <c:formatCode>General</c:formatCode>
                <c:ptCount val="4"/>
                <c:pt idx="0">
                  <c:v>1816.76</c:v>
                </c:pt>
                <c:pt idx="1">
                  <c:v>205.22</c:v>
                </c:pt>
                <c:pt idx="2">
                  <c:v>0</c:v>
                </c:pt>
                <c:pt idx="3">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财政拨款收入支出总计变动情况</a:t>
            </a:r>
          </a:p>
        </c:rich>
      </c:tx>
      <c:layout>
        <c:manualLayout>
          <c:xMode val="edge"/>
          <c:yMode val="edge"/>
          <c:x val="0.259875"/>
          <c:y val="0.0275"/>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2017</c:v>
                </c:pt>
              </c:strCache>
            </c:strRef>
          </c:tx>
          <c:spPr>
            <a:solidFill>
              <a:schemeClr val="accent1"/>
            </a:solidFill>
            <a:ln>
              <a:noFill/>
            </a:ln>
            <a:effectLst/>
          </c:spPr>
          <c:invertIfNegative val="false"/>
          <c:dLbls>
            <c:delete val="true"/>
          </c:dLbls>
          <c:cat>
            <c:strRef>
              <c:f>Sheet1!$A$2:$A$5</c:f>
              <c:strCache>
                <c:ptCount val="4"/>
                <c:pt idx="0">
                  <c:v>收入</c:v>
                </c:pt>
                <c:pt idx="1">
                  <c:v>支出</c:v>
                </c:pt>
              </c:strCache>
            </c:strRef>
          </c:cat>
          <c:val>
            <c:numRef>
              <c:f>Sheet1!$B$2:$B$5</c:f>
              <c:numCache>
                <c:formatCode>General</c:formatCode>
                <c:ptCount val="4"/>
                <c:pt idx="0">
                  <c:v>2266.85</c:v>
                </c:pt>
                <c:pt idx="1">
                  <c:v>1780.56</c:v>
                </c:pt>
              </c:numCache>
            </c:numRef>
          </c:val>
        </c:ser>
        <c:ser>
          <c:idx val="1"/>
          <c:order val="1"/>
          <c:tx>
            <c:strRef>
              <c:f>Sheet1!$C$1</c:f>
              <c:strCache>
                <c:ptCount val="1"/>
                <c:pt idx="0">
                  <c:v>2018</c:v>
                </c:pt>
              </c:strCache>
            </c:strRef>
          </c:tx>
          <c:spPr>
            <a:solidFill>
              <a:schemeClr val="accent2"/>
            </a:solidFill>
            <a:ln>
              <a:noFill/>
            </a:ln>
            <a:effectLst/>
          </c:spPr>
          <c:invertIfNegative val="false"/>
          <c:dLbls>
            <c:delete val="true"/>
          </c:dLbls>
          <c:cat>
            <c:strRef>
              <c:f>Sheet1!$A$2:$A$5</c:f>
              <c:strCache>
                <c:ptCount val="4"/>
                <c:pt idx="0">
                  <c:v>收入</c:v>
                </c:pt>
                <c:pt idx="1">
                  <c:v>支出</c:v>
                </c:pt>
              </c:strCache>
            </c:strRef>
          </c:cat>
          <c:val>
            <c:numRef>
              <c:f>Sheet1!$C$2:$C$5</c:f>
              <c:numCache>
                <c:formatCode>General</c:formatCode>
                <c:ptCount val="4"/>
                <c:pt idx="0">
                  <c:v>2124.05</c:v>
                </c:pt>
                <c:pt idx="1">
                  <c:v>2021.98</c:v>
                </c:pt>
              </c:numCache>
            </c:numRef>
          </c:val>
        </c:ser>
        <c:dLbls>
          <c:showLegendKey val="false"/>
          <c:showVal val="false"/>
          <c:showCatName val="false"/>
          <c:showSerName val="false"/>
          <c:showPercent val="false"/>
          <c:showBubbleSize val="false"/>
        </c:dLbls>
        <c:gapWidth val="219"/>
        <c:overlap val="-27"/>
        <c:axId val="131473792"/>
        <c:axId val="131475328"/>
      </c:barChart>
      <c:catAx>
        <c:axId val="131473792"/>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31475328"/>
        <c:crosses val="autoZero"/>
        <c:auto val="true"/>
        <c:lblAlgn val="ctr"/>
        <c:lblOffset val="100"/>
        <c:noMultiLvlLbl val="false"/>
      </c:catAx>
      <c:valAx>
        <c:axId val="131475328"/>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31473792"/>
        <c:crosses val="autoZero"/>
        <c:crossBetween val="between"/>
      </c:valAx>
      <c:spPr>
        <a:noFill/>
        <a:ln>
          <a:noFill/>
        </a:ln>
        <a:effectLst/>
      </c:spPr>
    </c:plotArea>
    <c:legend>
      <c:legendPos val="b"/>
      <c:layout>
        <c:manualLayout>
          <c:xMode val="edge"/>
          <c:yMode val="edge"/>
          <c:x val="0.40675"/>
          <c:y val="0.921666666666667"/>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manualLayout>
          <c:xMode val="edge"/>
          <c:yMode val="edge"/>
          <c:x val="0.196125"/>
          <c:y val="0.0375"/>
        </c:manualLayout>
      </c:layout>
      <c:overlay val="false"/>
      <c:spPr>
        <a:noFill/>
        <a:ln>
          <a:noFill/>
        </a:ln>
        <a:effectLst/>
      </c:spPr>
    </c:title>
    <c:autoTitleDeleted val="false"/>
    <c:plotArea>
      <c:layout>
        <c:manualLayout>
          <c:layoutTarget val="inner"/>
          <c:xMode val="edge"/>
          <c:yMode val="edge"/>
          <c:x val="0.10245"/>
          <c:y val="0.2145"/>
          <c:w val="0.8938"/>
          <c:h val="0.7169"/>
        </c:manualLayout>
      </c:layout>
      <c:barChart>
        <c:barDir val="col"/>
        <c:grouping val="clustered"/>
        <c:varyColors val="false"/>
        <c:ser>
          <c:idx val="0"/>
          <c:order val="0"/>
          <c:tx>
            <c:strRef>
              <c:f>Sheet1!$B$1</c:f>
              <c:strCache>
                <c:ptCount val="1"/>
                <c:pt idx="0">
                  <c:v/>
                </c:pt>
              </c:strCache>
            </c:strRef>
          </c:tx>
          <c:spPr>
            <a:solidFill>
              <a:schemeClr val="accent1"/>
            </a:solidFill>
            <a:ln>
              <a:noFill/>
            </a:ln>
            <a:effectLst/>
          </c:spPr>
          <c:invertIfNegative val="false"/>
          <c:dLbls>
            <c:delete val="true"/>
          </c:dLbls>
          <c:cat>
            <c:numRef>
              <c:f>Sheet1!$A$2:$A$5</c:f>
              <c:numCache>
                <c:formatCode>General</c:formatCode>
                <c:ptCount val="4"/>
                <c:pt idx="0">
                  <c:v>2017</c:v>
                </c:pt>
                <c:pt idx="1">
                  <c:v>2018</c:v>
                </c:pt>
              </c:numCache>
            </c:numRef>
          </c:cat>
          <c:val>
            <c:numRef>
              <c:f>Sheet1!$B$2:$B$5</c:f>
              <c:numCache>
                <c:formatCode>General</c:formatCode>
                <c:ptCount val="4"/>
                <c:pt idx="0">
                  <c:v>1780.56</c:v>
                </c:pt>
                <c:pt idx="1">
                  <c:v>2021.98</c:v>
                </c:pt>
              </c:numCache>
            </c:numRef>
          </c:val>
        </c:ser>
        <c:ser>
          <c:idx val="1"/>
          <c:order val="1"/>
          <c:tx>
            <c:strRef>
              <c:f>Sheet1!$C$1</c:f>
              <c:strCache>
                <c:ptCount val="1"/>
                <c:pt idx="0">
                  <c:v/>
                </c:pt>
              </c:strCache>
            </c:strRef>
          </c:tx>
          <c:spPr>
            <a:solidFill>
              <a:schemeClr val="accent2"/>
            </a:solidFill>
            <a:ln>
              <a:noFill/>
            </a:ln>
            <a:effectLst/>
          </c:spPr>
          <c:invertIfNegative val="false"/>
          <c:dLbls>
            <c:delete val="true"/>
          </c:dLbls>
          <c:cat>
            <c:numRef>
              <c:f>Sheet1!$A$2:$A$5</c:f>
              <c:numCache>
                <c:formatCode>General</c:formatCode>
                <c:ptCount val="4"/>
                <c:pt idx="0">
                  <c:v>2017</c:v>
                </c:pt>
                <c:pt idx="1">
                  <c:v>2018</c:v>
                </c:pt>
              </c:numCache>
            </c:numRef>
          </c:cat>
          <c:val>
            <c:numRef>
              <c:f>Sheet1!$C$2:$C$5</c:f>
              <c:numCache>
                <c:formatCode>General</c:formatCode>
                <c:ptCount val="4"/>
              </c:numCache>
            </c:numRef>
          </c:val>
        </c:ser>
        <c:dLbls>
          <c:showLegendKey val="false"/>
          <c:showVal val="false"/>
          <c:showCatName val="false"/>
          <c:showSerName val="false"/>
          <c:showPercent val="false"/>
          <c:showBubbleSize val="false"/>
        </c:dLbls>
        <c:gapWidth val="219"/>
        <c:overlap val="-27"/>
        <c:axId val="140699520"/>
        <c:axId val="140701056"/>
      </c:barChart>
      <c:catAx>
        <c:axId val="140699520"/>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40701056"/>
        <c:crosses val="autoZero"/>
        <c:auto val="true"/>
        <c:lblAlgn val="ctr"/>
        <c:lblOffset val="100"/>
        <c:noMultiLvlLbl val="false"/>
      </c:catAx>
      <c:valAx>
        <c:axId val="140701056"/>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40699520"/>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一般公共财政预算拨款支出决算结构</a:t>
            </a:r>
          </a:p>
        </c:rich>
      </c:tx>
      <c:layout/>
      <c:overlay val="false"/>
      <c:spPr>
        <a:noFill/>
        <a:ln>
          <a:noFill/>
        </a:ln>
        <a:effectLst/>
      </c:spPr>
    </c:title>
    <c:autoTitleDeleted val="false"/>
    <c:plotArea>
      <c:layout/>
      <c:pieChart>
        <c:varyColors val="true"/>
        <c:ser>
          <c:idx val="0"/>
          <c:order val="0"/>
          <c:tx>
            <c:strRef>
              <c:f>Sheet1!$B$1</c:f>
              <c:strCache>
                <c:ptCount val="1"/>
                <c:pt idx="0">
                  <c:v>列2</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delete val="true"/>
          </c:dLbls>
          <c:cat>
            <c:strRef>
              <c:f>Sheet1!$A$2:$A$6</c:f>
              <c:strCache>
                <c:ptCount val="5"/>
                <c:pt idx="0">
                  <c:v>公共安全（类）</c:v>
                </c:pt>
                <c:pt idx="1">
                  <c:v>社会保障和就业（类）</c:v>
                </c:pt>
                <c:pt idx="2">
                  <c:v>医疗卫生与计划生育（类）</c:v>
                </c:pt>
                <c:pt idx="3">
                  <c:v>农林水（类）</c:v>
                </c:pt>
                <c:pt idx="4">
                  <c:v>住房保障（类）</c:v>
                </c:pt>
              </c:strCache>
            </c:strRef>
          </c:cat>
          <c:val>
            <c:numRef>
              <c:f>Sheet1!$B$2:$B$6</c:f>
              <c:numCache>
                <c:formatCode>General</c:formatCode>
                <c:ptCount val="5"/>
                <c:pt idx="0">
                  <c:v>1659.44</c:v>
                </c:pt>
                <c:pt idx="1">
                  <c:v>247.14</c:v>
                </c:pt>
                <c:pt idx="2">
                  <c:v>49.5</c:v>
                </c:pt>
                <c:pt idx="3">
                  <c:v>1.5</c:v>
                </c:pt>
                <c:pt idx="4">
                  <c:v>64.39</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“三公</a:t>
            </a:r>
            <a:r>
              <a:rPr lang="en-US" altLang="zh-CN"/>
              <a:t>”</a:t>
            </a:r>
            <a:r>
              <a:rPr altLang="en-US"/>
              <a:t>经费财政拨款支出结构</a:t>
            </a:r>
            <a:endParaRPr altLang="en-US"/>
          </a:p>
        </c:rich>
      </c:tx>
      <c:layout/>
      <c:overlay val="false"/>
      <c:spPr>
        <a:noFill/>
        <a:ln>
          <a:noFill/>
        </a:ln>
        <a:effectLst/>
      </c:spPr>
    </c:title>
    <c:autoTitleDeleted val="false"/>
    <c:plotArea>
      <c:layout/>
      <c:pieChart>
        <c:varyColors val="true"/>
        <c:ser>
          <c:idx val="0"/>
          <c:order val="0"/>
          <c:tx>
            <c:strRef>
              <c:f>Sheet1!$B$1</c:f>
              <c:strCache>
                <c:ptCount val="1"/>
                <c:pt idx="0">
                  <c:v>列2</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elete val="true"/>
          </c:dLbls>
          <c:cat>
            <c:strRef>
              <c:f>Sheet1!$A$2:$A$5</c:f>
              <c:strCache>
                <c:ptCount val="4"/>
                <c:pt idx="0">
                  <c:v>因公出国出境</c:v>
                </c:pt>
                <c:pt idx="1">
                  <c:v>公务用车购置及运行维护费</c:v>
                </c:pt>
                <c:pt idx="2">
                  <c:v>公务接待费</c:v>
                </c:pt>
              </c:strCache>
            </c:strRef>
          </c:cat>
          <c:val>
            <c:numRef>
              <c:f>Sheet1!$B$2:$B$5</c:f>
              <c:numCache>
                <c:formatCode>General</c:formatCode>
                <c:ptCount val="4"/>
                <c:pt idx="0">
                  <c:v>0</c:v>
                </c:pt>
                <c:pt idx="1">
                  <c:v>15</c:v>
                </c:pt>
                <c:pt idx="2">
                  <c:v>3.73</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egendEntry>
        <c:idx val="3"/>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51</Pages>
  <Words>3077</Words>
  <Characters>17544</Characters>
  <Lines>146</Lines>
  <Paragraphs>41</Paragraphs>
  <TotalTime>79</TotalTime>
  <ScaleCrop>false</ScaleCrop>
  <LinksUpToDate>false</LinksUpToDate>
  <CharactersWithSpaces>20580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user</cp:lastModifiedBy>
  <cp:lastPrinted>2019-08-01T08:48:00Z</cp:lastPrinted>
  <dcterms:modified xsi:type="dcterms:W3CDTF">2023-07-13T14:50:24Z</dcterms:modified>
  <dc:title>四川省***</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