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77193"/>
      <w:bookmarkStart w:id="3" w:name="_Toc15377425"/>
      <w:bookmarkStart w:id="4" w:name="_Toc15396597"/>
      <w:bookmarkStart w:id="5" w:name="_Toc15396475"/>
      <w:r>
        <w:rPr>
          <w:rFonts w:ascii="黑体" w:hAnsi="黑体" w:eastAsia="黑体"/>
          <w:color w:val="000000"/>
          <w:sz w:val="72"/>
          <w:szCs w:val="72"/>
        </w:rPr>
        <w:t>2020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78442"/>
      <w:bookmarkStart w:id="8" w:name="_Toc15377194"/>
      <w:bookmarkStart w:id="9" w:name="_Toc15396598"/>
      <w:bookmarkStart w:id="10" w:name="_Toc15377426"/>
      <w:r>
        <w:rPr>
          <w:rFonts w:hint="eastAsia" w:ascii="方正小标宋简体" w:hAnsi="宋体" w:eastAsia="方正小标宋简体"/>
          <w:color w:val="000000"/>
          <w:sz w:val="72"/>
          <w:szCs w:val="72"/>
        </w:rPr>
        <w:t>广元市利州区</w:t>
      </w:r>
      <w:bookmarkEnd w:id="0"/>
      <w:bookmarkStart w:id="11" w:name="_Toc15306268"/>
      <w:r>
        <w:rPr>
          <w:rFonts w:hint="eastAsia" w:ascii="方正小标宋简体" w:hAnsi="宋体" w:eastAsia="方正小标宋简体"/>
          <w:color w:val="000000"/>
          <w:sz w:val="72"/>
          <w:szCs w:val="72"/>
        </w:rPr>
        <w:t>红十字会</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w:t>
      </w:r>
      <w:r>
        <w:t>1</w:t>
      </w:r>
      <w:r>
        <w:rPr>
          <w:rFonts w:hint="eastAsia"/>
        </w:rPr>
        <w:t>年9月</w:t>
      </w:r>
      <w:r>
        <w:t>28</w:t>
      </w:r>
      <w:r>
        <w:rPr>
          <w:rFonts w:hint="eastAsia"/>
        </w:rPr>
        <w:t>日</w:t>
      </w:r>
    </w:p>
    <w:p/>
    <w:p>
      <w:pPr>
        <w:pStyle w:val="10"/>
        <w:adjustRightInd w:val="0"/>
        <w:snapToGrid w:val="0"/>
        <w:spacing w:before="0" w:line="440" w:lineRule="exact"/>
        <w:jc w:val="left"/>
        <w:rPr>
          <w:sz w:val="24"/>
          <w:szCs w:val="24"/>
        </w:rPr>
      </w:pPr>
      <w:r>
        <w:rPr>
          <w:rFonts w:hint="eastAsia"/>
          <w:sz w:val="24"/>
        </w:rPr>
        <w:t>第一部分部门概况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sz w:val="24"/>
        </w:rPr>
      </w:pPr>
      <w:r>
        <w:rPr>
          <w:rFonts w:hint="eastAsia"/>
          <w:sz w:val="24"/>
        </w:rPr>
        <w:t>二、收入决算情况说明</w:t>
      </w:r>
    </w:p>
    <w:p>
      <w:pPr>
        <w:pStyle w:val="11"/>
        <w:adjustRightInd w:val="0"/>
        <w:snapToGrid w:val="0"/>
        <w:spacing w:line="440" w:lineRule="exact"/>
        <w:jc w:val="left"/>
        <w:rPr>
          <w:rFonts w:ascii="仿宋" w:hAnsi="仿宋" w:eastAsia="仿宋"/>
          <w:sz w:val="24"/>
        </w:rPr>
      </w:pPr>
      <w:r>
        <w:rPr>
          <w:rFonts w:hint="eastAsia"/>
          <w:sz w:val="24"/>
        </w:rPr>
        <w:t>三、支出决算情况说明</w:t>
      </w:r>
    </w:p>
    <w:p>
      <w:pPr>
        <w:pStyle w:val="11"/>
        <w:adjustRightInd w:val="0"/>
        <w:snapToGrid w:val="0"/>
        <w:spacing w:line="440" w:lineRule="exact"/>
        <w:jc w:val="left"/>
        <w:rPr>
          <w:rFonts w:ascii="仿宋" w:hAnsi="仿宋" w:eastAsia="仿宋"/>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rFonts w:hint="eastAsia"/>
          <w:sz w:val="24"/>
        </w:rPr>
        <w:t>国有资本经营预算支出决算情况说明</w:t>
      </w:r>
    </w:p>
    <w:p>
      <w:pPr>
        <w:adjustRightInd w:val="0"/>
        <w:snapToGrid w:val="0"/>
        <w:spacing w:line="440" w:lineRule="exact"/>
        <w:ind w:firstLine="420" w:firstLineChars="200"/>
        <w:jc w:val="left"/>
        <w:rPr>
          <w:rFonts w:ascii="仿宋" w:hAnsi="仿宋" w:eastAsia="仿宋"/>
          <w:sz w:val="24"/>
        </w:rPr>
      </w:pPr>
      <w:r>
        <w:rPr>
          <w:rStyle w:val="16"/>
          <w:rFonts w:hint="eastAsia" w:ascii="仿宋" w:hAnsi="仿宋" w:eastAsia="仿宋"/>
          <w:color w:val="000000"/>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sz w:val="24"/>
          <w:szCs w:val="24"/>
        </w:rPr>
      </w:pPr>
      <w:r>
        <w:rPr>
          <w:rFonts w:hint="eastAsia"/>
          <w:sz w:val="24"/>
        </w:rPr>
        <w:t>第三部分名词解释</w:t>
      </w:r>
    </w:p>
    <w:p>
      <w:pPr>
        <w:pStyle w:val="10"/>
        <w:adjustRightInd w:val="0"/>
        <w:snapToGrid w:val="0"/>
        <w:spacing w:before="0" w:line="440" w:lineRule="exact"/>
        <w:jc w:val="left"/>
        <w:rPr>
          <w:sz w:val="24"/>
          <w:szCs w:val="24"/>
        </w:rPr>
      </w:pPr>
      <w:r>
        <w:rPr>
          <w:rFonts w:hint="eastAsia"/>
          <w:sz w:val="24"/>
        </w:rPr>
        <w:t>第四部分附件</w:t>
      </w:r>
    </w:p>
    <w:p>
      <w:pPr>
        <w:pStyle w:val="11"/>
        <w:adjustRightInd w:val="0"/>
        <w:snapToGrid w:val="0"/>
        <w:spacing w:line="440" w:lineRule="exact"/>
        <w:jc w:val="left"/>
        <w:rPr>
          <w:rFonts w:ascii="仿宋" w:hAnsi="仿宋" w:eastAsia="仿宋"/>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sz w:val="24"/>
        </w:rPr>
      </w:pPr>
      <w:r>
        <w:rPr>
          <w:rFonts w:hint="eastAsia"/>
          <w:sz w:val="24"/>
        </w:rPr>
        <w:t>附件</w:t>
      </w:r>
      <w:r>
        <w:rPr>
          <w:sz w:val="24"/>
        </w:rPr>
        <w:t>2</w:t>
      </w:r>
    </w:p>
    <w:p>
      <w:pPr>
        <w:pStyle w:val="10"/>
        <w:adjustRightInd w:val="0"/>
        <w:snapToGrid w:val="0"/>
        <w:spacing w:before="0" w:line="440" w:lineRule="exact"/>
        <w:jc w:val="left"/>
        <w:rPr>
          <w:sz w:val="24"/>
          <w:szCs w:val="24"/>
        </w:rPr>
      </w:pPr>
      <w:r>
        <w:rPr>
          <w:rFonts w:hint="eastAsia"/>
          <w:sz w:val="24"/>
        </w:rPr>
        <w:t>第五部分附表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十三、国有资本经营预算财政拨款收入支出决算表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十四、国有资本经营预算财政拨款支出决算表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w:t>
      </w:r>
      <w:r>
        <w:rPr>
          <w:rFonts w:hint="eastAsia" w:ascii="仿宋" w:hAnsi="仿宋" w:eastAsia="仿宋"/>
          <w:color w:val="FF0000"/>
          <w:sz w:val="24"/>
        </w:rPr>
        <w:t>注：请部门根据实际注明页码</w:t>
      </w:r>
      <w:r>
        <w:rPr>
          <w:rFonts w:ascii="仿宋" w:hAnsi="仿宋" w:eastAsia="仿宋"/>
          <w:color w:val="FF0000"/>
          <w:sz w:val="24"/>
        </w:rPr>
        <w:t>)</w:t>
      </w:r>
    </w:p>
    <w:p>
      <w:pPr>
        <w:widowControl/>
        <w:adjustRightInd w:val="0"/>
        <w:snapToGrid w:val="0"/>
        <w:spacing w:line="440" w:lineRule="exact"/>
        <w:ind w:firstLine="1320" w:firstLineChars="550"/>
        <w:jc w:val="left"/>
        <w:rPr>
          <w:rFonts w:ascii="仿宋_GB2312" w:hAnsi="仿宋" w:eastAsia="仿宋_GB2312"/>
          <w:bCs/>
          <w:kern w:val="44"/>
          <w:sz w:val="24"/>
        </w:rPr>
      </w:pPr>
      <w:r>
        <w:rPr>
          <w:rFonts w:ascii="仿宋" w:hAnsi="仿宋" w:eastAsia="仿宋"/>
          <w:sz w:val="24"/>
        </w:rPr>
        <w:br w:type="page"/>
      </w:r>
      <w:bookmarkStart w:id="12" w:name="_Toc15377196"/>
      <w:bookmarkStart w:id="13" w:name="_Toc15396599"/>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hAnsi="黑体" w:eastAsia="黑体"/>
          <w:color w:val="000000"/>
          <w:sz w:val="32"/>
          <w:szCs w:val="32"/>
        </w:rPr>
      </w:pPr>
    </w:p>
    <w:p>
      <w:pPr>
        <w:pStyle w:val="3"/>
        <w:rPr>
          <w:rStyle w:val="26"/>
          <w:rFonts w:ascii="黑体" w:hAnsi="黑体" w:eastAsia="黑体"/>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Ansi="宋体" w:cs="仿宋_GB2312"/>
          <w:kern w:val="2"/>
          <w:sz w:val="32"/>
          <w:szCs w:val="32"/>
        </w:rPr>
      </w:pPr>
      <w:bookmarkStart w:id="16" w:name="_Toc15378445"/>
      <w:bookmarkStart w:id="17" w:name="_Toc15377198"/>
      <w:r>
        <w:rPr>
          <w:rFonts w:hint="eastAsia" w:hAnsi="宋体" w:cs="仿宋_GB2312"/>
          <w:kern w:val="2"/>
          <w:sz w:val="32"/>
          <w:szCs w:val="32"/>
        </w:rPr>
        <w:t>（一）主要职能。（职能参照区政府批准的三定方案）</w:t>
      </w:r>
      <w:bookmarkEnd w:id="16"/>
      <w:bookmarkEnd w:id="17"/>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 xml:space="preserve">1.传播国际红十字运动知识和国际人道法；宣传、执行《中华人民共和国红十字会法》和《四川省&lt;中华人民共和国红十字会法&gt;实施办法》等法律、法规，遵循《中国红十字会章程》，依法建会、治会、兴会。 </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 xml:space="preserve">2.开展备灾救灾工作，兴建和管理备灾救灾设施，在自然灾害和突发事件中，开展对受害者的救护和救助。 </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 xml:space="preserve">3.开展人道领域的社会公益服务活动和卫生救护、防病常识的宣传普及，组织社会捐助，进行初级卫生救护培训，组织群众参加现场救护，推动无偿献血和非血缘关系造血干细胞移植工作。 </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 xml:space="preserve">4.组织对公民特别是青少年进行人道主义和社会精神文明教育活动。 </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 xml:space="preserve">5.参与艾滋病防治、吸毒危害等宣传教育工作，提高公民自我防护的意识和能力。 </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 xml:space="preserve">6.参与少数民族地区、贫困地区的医疗服务和扶贫工作。 </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 xml:space="preserve">7.负责海峡两岸的查人转信及有关人员的遣返和见证事务。 </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 xml:space="preserve">8.与境内外红十字会和组织进行友好往来，开展人道领域的合作与交流，争取援助。 </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 xml:space="preserve">9.根据中国红十字会总会和四川省红十字会的部署，参加国际和国内人道主义救援工作。 </w:t>
      </w:r>
    </w:p>
    <w:p>
      <w:pPr>
        <w:ind w:firstLine="640" w:firstLineChars="200"/>
        <w:rPr>
          <w:rFonts w:ascii="仿宋_GB2312" w:hAnsi="宋体" w:eastAsia="仿宋_GB2312"/>
          <w:sz w:val="32"/>
          <w:szCs w:val="32"/>
        </w:rPr>
      </w:pPr>
      <w:r>
        <w:rPr>
          <w:rFonts w:hint="eastAsia" w:ascii="仿宋_GB2312" w:hAnsi="宋体" w:eastAsia="仿宋_GB2312" w:cs="仿宋_GB2312"/>
          <w:sz w:val="32"/>
          <w:szCs w:val="32"/>
        </w:rPr>
        <w:t>10.完成区委区政府和市红十字会交办的其他事务。</w:t>
      </w:r>
    </w:p>
    <w:p>
      <w:pPr>
        <w:pStyle w:val="5"/>
        <w:adjustRightInd w:val="0"/>
        <w:snapToGrid w:val="0"/>
        <w:spacing w:before="93" w:line="600" w:lineRule="exact"/>
        <w:ind w:firstLine="672" w:firstLineChars="210"/>
        <w:outlineLvl w:val="2"/>
        <w:rPr>
          <w:rFonts w:hAnsi="宋体" w:cs="仿宋_GB2312"/>
          <w:kern w:val="2"/>
          <w:sz w:val="32"/>
          <w:szCs w:val="32"/>
        </w:rPr>
      </w:pPr>
      <w:bookmarkStart w:id="18" w:name="_Toc15377199"/>
      <w:bookmarkStart w:id="19" w:name="_Toc15378446"/>
      <w:r>
        <w:rPr>
          <w:rFonts w:hint="eastAsia" w:hAnsi="宋体" w:cs="仿宋_GB2312"/>
          <w:kern w:val="2"/>
          <w:sz w:val="32"/>
          <w:szCs w:val="32"/>
        </w:rPr>
        <w:t>（二）20</w:t>
      </w:r>
      <w:r>
        <w:rPr>
          <w:rFonts w:hAnsi="宋体" w:cs="仿宋_GB2312"/>
          <w:kern w:val="2"/>
          <w:sz w:val="32"/>
          <w:szCs w:val="32"/>
        </w:rPr>
        <w:t>20</w:t>
      </w:r>
      <w:r>
        <w:rPr>
          <w:rFonts w:hint="eastAsia" w:hAnsi="宋体" w:cs="仿宋_GB2312"/>
          <w:kern w:val="2"/>
          <w:sz w:val="32"/>
          <w:szCs w:val="32"/>
        </w:rPr>
        <w:t>年重点工作完成情况。</w:t>
      </w:r>
      <w:bookmarkEnd w:id="18"/>
      <w:bookmarkEnd w:id="19"/>
    </w:p>
    <w:p>
      <w:pPr>
        <w:ind w:firstLine="640" w:firstLineChars="200"/>
        <w:rPr>
          <w:rFonts w:ascii="仿宋_GB2312" w:hAnsi="宋体" w:eastAsia="仿宋_GB2312" w:cs="仿宋_GB2312"/>
          <w:sz w:val="32"/>
          <w:szCs w:val="32"/>
        </w:rPr>
      </w:pPr>
      <w:bookmarkStart w:id="20" w:name="_Toc15377200"/>
      <w:bookmarkStart w:id="21" w:name="_Toc15396601"/>
      <w:r>
        <w:rPr>
          <w:rFonts w:hint="eastAsia" w:ascii="仿宋_GB2312" w:hAnsi="宋体" w:eastAsia="仿宋_GB2312" w:cs="仿宋_GB2312"/>
          <w:sz w:val="32"/>
          <w:szCs w:val="32"/>
        </w:rPr>
        <w:t>发挥红会特色，助力广元战“疫”</w:t>
      </w:r>
    </w:p>
    <w:p>
      <w:pPr>
        <w:spacing w:line="54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自疫情防控工作开展以来，利州区红十字会在中央、省、市、区的统一部署和安排下，我会积极发挥红十字会的桥梁和纽带作用，当好党和政府在人道领域的助手，冲锋在前，最大限度为疫情防控工作提供资金和物资保障。</w:t>
      </w:r>
    </w:p>
    <w:p>
      <w:pPr>
        <w:spacing w:line="54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1、高度重视，及早部署。根据全国防疫形势，一月二十二日，区红十字会及时召开了防控专题会议，传达相关文件精神，开展职工新冠肺炎防治知识培训，要求全体人员在春节假期期间，全力做好备战准备。全省启动突发公共卫生事件Ⅰ级响应后，利州区红十字会响应迅速。立即进入</w:t>
      </w:r>
      <w:r>
        <w:rPr>
          <w:rFonts w:hint="eastAsia" w:ascii="仿宋_GB2312" w:hAnsi="宋体" w:eastAsia="仿宋_GB2312" w:cs="仿宋_GB2312"/>
          <w:sz w:val="32"/>
          <w:szCs w:val="32"/>
          <w:lang w:eastAsia="zh-CN"/>
        </w:rPr>
        <w:t>紧急</w:t>
      </w:r>
      <w:r>
        <w:rPr>
          <w:rFonts w:hint="eastAsia" w:ascii="仿宋_GB2312" w:hAnsi="宋体" w:eastAsia="仿宋_GB2312" w:cs="仿宋_GB2312"/>
          <w:sz w:val="32"/>
          <w:szCs w:val="32"/>
        </w:rPr>
        <w:t>状态，从农历大年初一开始取消全部休假，全员返岗开展工作，明确了各自工作任务，层层压实工作责任；以高度的责任感和使命感，积极投入到疫情防控工作中。</w:t>
      </w:r>
    </w:p>
    <w:p>
      <w:pPr>
        <w:spacing w:line="54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2、同心同力，履职尽责。疫情防控初期因人员流动大，所需的防疫物资犹显紧缺，区红十字会主动请缨，想尽千方百计，确保了前方防控人员的物资能够得到保障，一是积极为前方提供物资保障。在防疫物资最为紧张的时刻，为前方防控人员提供帐篷七顶。二是尽全力采购物资。派出专人多次赴成都采购防疫物资，共计采购非医用普通一次性口罩30000个，非医用N95口罩1500个，隔离服2000件，医用检查手套1000双，并及时上交区防控指挥部统一调派。三是做好联防联控工作。在做好物资保障工作的同时，服从区委、区政府统一安排派出工作人员下沉到万缘街道万缘社区协助社区开展返广重点人员防控、社区宣传以及外地车辆劝返和登记等工作。</w:t>
      </w:r>
    </w:p>
    <w:p>
      <w:pPr>
        <w:spacing w:line="54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3、发挥红会特色，开展募捐工作。疫情发生后，区红十字会发挥党和政府在人道领域的助手作用，积极开展募捐工作。一是及时发布募捐公告。经报请区指挥部同意，区红十字会第一时间通过利州区人民政府网站、区红十字会网站、官方微博等及时发布接受募捐公告。二是主动发挥群团组织作用。广泛对接团委、妇联、工商联等单位，结合各单位实际，联系社会各界力量为防疫贡献力量。累计接收捐赠资金203笔金额合2651957.16元，（其中定向用于湖北武汉906221.16元，定向区本级及区内乡镇、村和社区</w:t>
      </w:r>
      <w:r>
        <w:rPr>
          <w:rFonts w:ascii="仿宋_GB2312" w:hAnsi="宋体" w:eastAsia="仿宋_GB2312" w:cs="仿宋_GB2312"/>
          <w:sz w:val="32"/>
          <w:szCs w:val="32"/>
        </w:rPr>
        <w:t>1709736</w:t>
      </w:r>
      <w:r>
        <w:rPr>
          <w:rFonts w:hint="eastAsia" w:ascii="仿宋_GB2312" w:hAnsi="宋体" w:eastAsia="仿宋_GB2312" w:cs="仿宋_GB2312"/>
          <w:sz w:val="32"/>
          <w:szCs w:val="32"/>
        </w:rPr>
        <w:t>元）。累计接收捐赠物资价值人民币1666246元，所有款物均已在第一时间遵照捐赠人意愿转往受捐方。</w:t>
      </w:r>
    </w:p>
    <w:p>
      <w:pPr>
        <w:spacing w:line="54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4、公开、透明，募捐工作“零投诉”。此次募捐，接收的资金和物资较多，在捐赠款物的支出和发放工作中，做到了公开、透明。一是关口前移，严格审批。区红十字会将风险防控关口前移并嵌入到各个环节中，主动梳理廉政风险点，干部职工严格遵守资金、物资支出发放的审批程序，切实扎牢了制度笼子。二是定期公示，接受监督。指定专人负责定期发布利州区红十字会捐赠款物公示，接受社会各界的监督，目前已公示四期。三是现场查验，主动核查。加强对捐赠款物使用的监督力度，派出人员现场查验受捐方物资和资金的使用情况，确保严格按照捐赠人意愿，将资金和物资用到一线防控工作中。区红十字会在本次疫情防控中的募捐工作做到了“零投诉”，得到了社会各界的广泛认可。</w:t>
      </w:r>
    </w:p>
    <w:p>
      <w:pPr>
        <w:spacing w:line="54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持续推进公益性初级卫生救护“百万培训项目”</w:t>
      </w:r>
    </w:p>
    <w:p>
      <w:pPr>
        <w:tabs>
          <w:tab w:val="left" w:pos="720"/>
          <w:tab w:val="left" w:pos="900"/>
        </w:tabs>
        <w:spacing w:line="54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今年来，利州区红十字会继续将“百万救护培训项目”作为当前的主要工作来抓，精心组织、提早部署、周密安排，派出应急救护师资深入乡镇、机关、企业、学校、村社，对社区居民、村民、学生、机关干部、企事业职工进行培训，同时，还对运营车辆驾驶员和巡游出租车驾驶员和网约车驾驶员等高危职业开展了急救员培训，在培训中区红十字会工作人员同步监督教学质量，评估教学效果，不断总结在教学活动中的经验和不足，为更快、更好的完成全年培训目标积累教学经验。“百万救护培训项目”工作收到了良好效果，得到了广大参训学员的认可和高度评价，增强了受训人员的自救互救技能，已培训急救员721人，急救员发证700人，完成市红十字会下达任务的103％，普及培训3699人，完成市红十字会下达任务的123.3％。</w:t>
      </w:r>
    </w:p>
    <w:p>
      <w:pPr>
        <w:spacing w:line="54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精心实施红十字基金会“两基金”项目</w:t>
      </w:r>
    </w:p>
    <w:p>
      <w:pPr>
        <w:spacing w:line="54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2020年利州区红十字会改变工作思路，拓展工作方式，大力加强“小天使、天使阳光两项基金”工作。一是加强横向联系。区红十字会与团区委、区妇联、区总工会等群团部门和医疗卫生单位开展横向联系，充分利用工青妇等部门在乡镇有延伸机构的特长，将“两项基金”工作的宣传，向乡镇、村社下沉，扩大了宣传面。二是加强资料审核。对上报中国红十字基金会的“两项基金”申报资料，仔细审核，并深入到求助患儿家中，开展实地调查，经实地调查和资料初审合格后，由主要负责人签字上报，对不符合条件的不予上报，保证了上报资料的准确和公平。三是积极争取上级支持。主动联系上级红十字会，跟踪审批情况，并及时反馈给患儿家长，让他们做到心中有数。四是做好救助后回访。区红十字会对得到中国红十字基金会“两项基金”救助的患儿，经常性的开展回访，做好“两项基金”的满意度调查，收集患儿家长对“两项基金”的意见和建议，以便今后进一步改进工作。截</w:t>
      </w:r>
      <w:r>
        <w:rPr>
          <w:rFonts w:hint="eastAsia" w:ascii="仿宋_GB2312" w:hAnsi="宋体" w:eastAsia="仿宋_GB2312" w:cs="仿宋_GB2312"/>
          <w:sz w:val="32"/>
          <w:szCs w:val="32"/>
          <w:lang w:eastAsia="zh-CN"/>
        </w:rPr>
        <w:t>至</w:t>
      </w:r>
      <w:r>
        <w:rPr>
          <w:rFonts w:hint="eastAsia" w:ascii="仿宋_GB2312" w:hAnsi="宋体" w:eastAsia="仿宋_GB2312" w:cs="仿宋_GB2312"/>
          <w:sz w:val="32"/>
          <w:szCs w:val="32"/>
        </w:rPr>
        <w:t xml:space="preserve">目前共申报小天使项目患儿6名，天使阳光患儿3名，上报数量位居全市红十字会系统第一位。 </w:t>
      </w:r>
    </w:p>
    <w:p>
      <w:pPr>
        <w:spacing w:line="576" w:lineRule="exact"/>
        <w:ind w:firstLine="480" w:firstLineChars="150"/>
        <w:rPr>
          <w:rFonts w:ascii="仿宋_GB2312" w:hAnsi="宋体" w:eastAsia="仿宋_GB2312" w:cs="仿宋_GB2312"/>
          <w:sz w:val="32"/>
          <w:szCs w:val="32"/>
        </w:rPr>
      </w:pPr>
      <w:r>
        <w:rPr>
          <w:rFonts w:hint="eastAsia" w:ascii="仿宋_GB2312" w:hAnsi="宋体" w:eastAsia="仿宋_GB2312" w:cs="仿宋_GB2312"/>
          <w:sz w:val="32"/>
          <w:szCs w:val="32"/>
        </w:rPr>
        <w:t>有条不紊推进“博爱家园”项目</w:t>
      </w:r>
    </w:p>
    <w:p>
      <w:pPr>
        <w:spacing w:line="576" w:lineRule="exact"/>
        <w:rPr>
          <w:rFonts w:ascii="仿宋_GB2312" w:hAnsi="宋体" w:eastAsia="仿宋_GB2312" w:cs="仿宋_GB2312"/>
          <w:sz w:val="32"/>
          <w:szCs w:val="32"/>
        </w:rPr>
      </w:pPr>
      <w:r>
        <w:rPr>
          <w:rFonts w:hint="eastAsia" w:ascii="仿宋_GB2312" w:hAnsi="宋体" w:eastAsia="仿宋_GB2312" w:cs="仿宋_GB2312"/>
          <w:sz w:val="32"/>
          <w:szCs w:val="32"/>
        </w:rPr>
        <w:t xml:space="preserve">   今年我会现有香港红十字会援助利州区“博爱家园”项目两个，分别在金洞乡金龙村和赤化镇赤化村实施，我会积极对接香港红十字会加快项目推进，加大项目实施力度。一是迅速实施软件项目。经常性的深入到实施项目的村、社开展卫生常识、逃生避险、应急救护知识的普及和培训，目前已开展救护培训三场。二是加快项目硬件设施建设。加强督导项目中的硬件设施建设，优化项目流程，积极申请项目资金。目前，金龙村“博爱家园”硬件设施建设已完工，赤化村硬件设施项目正在进行工程招标等前期准备工作，项目正有条不紊的顺利推进中。</w:t>
      </w:r>
    </w:p>
    <w:p>
      <w:pPr>
        <w:spacing w:line="540" w:lineRule="exact"/>
        <w:ind w:firstLine="480" w:firstLineChars="150"/>
        <w:rPr>
          <w:rFonts w:ascii="仿宋_GB2312" w:hAnsi="宋体" w:eastAsia="仿宋_GB2312" w:cs="仿宋_GB2312"/>
          <w:sz w:val="32"/>
          <w:szCs w:val="32"/>
        </w:rPr>
      </w:pPr>
      <w:r>
        <w:rPr>
          <w:rFonts w:hint="eastAsia" w:ascii="仿宋_GB2312" w:hAnsi="宋体" w:eastAsia="仿宋_GB2312" w:cs="仿宋_GB2312"/>
          <w:sz w:val="32"/>
          <w:szCs w:val="32"/>
        </w:rPr>
        <w:t>精心组织，全力推进“三献”工作。</w:t>
      </w:r>
    </w:p>
    <w:p>
      <w:pPr>
        <w:spacing w:line="540" w:lineRule="exact"/>
        <w:ind w:firstLine="480" w:firstLineChars="150"/>
        <w:rPr>
          <w:rFonts w:ascii="仿宋_GB2312" w:hAnsi="宋体" w:eastAsia="仿宋_GB2312" w:cs="仿宋_GB2312"/>
          <w:sz w:val="32"/>
          <w:szCs w:val="32"/>
        </w:rPr>
      </w:pPr>
      <w:r>
        <w:rPr>
          <w:rFonts w:hint="eastAsia" w:ascii="仿宋_GB2312" w:hAnsi="宋体" w:eastAsia="仿宋_GB2312" w:cs="仿宋_GB2312"/>
          <w:sz w:val="32"/>
          <w:szCs w:val="32"/>
        </w:rPr>
        <w:t>2020年区红十字会加大三献工作力度，精心组织，制定切实可行的“三献”工作计划，并指定专人负责该项工作，利用“5.8”红十字日、“6.14世界献血者日”等活动日，大力宣传“三献”知识和先进典型人物、典型事迹，传递社会主义核心价值观；还通过专题讲座、坝坝会、宣传折页等方式深入到乡镇、村社开展无偿献血、造血干细胞捐献、遗体和器官捐献宣传，消除群众对“三献”的认识误区和恐惧心理，广泛动员群众积极参与“三献”工作；在开展三献工作中加强联动，积极与上级红十字会和相关部门的联系，了解掌握利州区无偿献血、造血干细胞标本采集、捐献计划等情况，根据所掌握的情况，有针对性的开展工作，对工作中遇到的问题及时协调，保障“三献”工作有序的开展；同时加强对捐献志愿者的关怀，指派专人陪同造血干细胞捐献志愿者前往成都进行采集，同时，加强遗体和器官捐献者家属、无偿献血、造血干细胞捐献等先进人物的慰问，使他们感受到全社会的温暖和关怀。</w:t>
      </w:r>
    </w:p>
    <w:p>
      <w:pPr>
        <w:spacing w:line="540" w:lineRule="exact"/>
        <w:ind w:firstLine="480" w:firstLineChars="150"/>
        <w:rPr>
          <w:rFonts w:ascii="仿宋_GB2312" w:hAnsi="宋体" w:eastAsia="仿宋_GB2312" w:cs="仿宋_GB2312"/>
          <w:sz w:val="32"/>
          <w:szCs w:val="32"/>
        </w:rPr>
      </w:pPr>
      <w:r>
        <w:rPr>
          <w:rFonts w:hint="eastAsia" w:ascii="仿宋_GB2312" w:hAnsi="宋体" w:eastAsia="仿宋_GB2312" w:cs="仿宋_GB2312"/>
          <w:sz w:val="32"/>
          <w:szCs w:val="32"/>
        </w:rPr>
        <w:t xml:space="preserve">在区红十字会的宣传动员下，2020年利州区全年成功捐献造血干细胞3例，采集高分血样123例，捐献再动员12例。捐献眼角膜2例，遗体捐献2例，登记遗体和器官捐献志愿者560人。利州区红十字会的造血干细胞捐献工作受到了上级红十字会的高度赞扬和认可。 </w:t>
      </w:r>
    </w:p>
    <w:p>
      <w:pPr>
        <w:spacing w:line="54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围绕中心大局，全力抓好驻村帮扶工作</w:t>
      </w:r>
    </w:p>
    <w:p>
      <w:pPr>
        <w:spacing w:line="540" w:lineRule="exact"/>
        <w:ind w:firstLine="633" w:firstLineChars="198"/>
        <w:rPr>
          <w:rFonts w:ascii="仿宋_GB2312" w:hAnsi="宋体" w:eastAsia="仿宋_GB2312" w:cs="仿宋_GB2312"/>
          <w:sz w:val="32"/>
          <w:szCs w:val="32"/>
        </w:rPr>
      </w:pPr>
      <w:r>
        <w:rPr>
          <w:rFonts w:hint="eastAsia" w:ascii="仿宋_GB2312" w:hAnsi="宋体" w:eastAsia="仿宋_GB2312" w:cs="仿宋_GB2312"/>
          <w:sz w:val="32"/>
          <w:szCs w:val="32"/>
        </w:rPr>
        <w:t>今年上半年以来，我会将脱贫攻坚工作作为最重要的中心工作，作为最大的政治任务狠抓落实，与区税务局一道认真开展宝轮镇赤化村和张公岭村驻村帮扶、狙击返贫、乡村振兴规划实施、政策宣传、基层党建、问题整改、“三同活动”等帮扶工作，重点开展了脱贫攻坚百日攻坚战和精准扶贫问题整改清零行动，顺利通过了国家级脱贫普查和省级成效考核，两村所有脱贫户“两不愁、三保障”、“一超六有”达到标准，没有新增贫困户。一年来，我会领导班子成员集中研究联系村脱贫攻坚工作均在12次，根据赤化村、张公岭村的村情、户情，认真调查研究，制定了帮扶工作规划，组织结对帮扶责任人认真向群众宣讲党的十九大精神、习近平新时代中国特色社会</w:t>
      </w:r>
      <w:r>
        <w:rPr>
          <w:rFonts w:hint="eastAsia" w:ascii="仿宋_GB2312" w:hAnsi="宋体" w:eastAsia="仿宋_GB2312" w:cs="仿宋_GB2312"/>
          <w:sz w:val="32"/>
          <w:szCs w:val="32"/>
          <w:lang w:eastAsia="zh-CN"/>
        </w:rPr>
        <w:t>主义</w:t>
      </w:r>
      <w:r>
        <w:rPr>
          <w:rFonts w:hint="eastAsia" w:ascii="仿宋_GB2312" w:hAnsi="宋体" w:eastAsia="仿宋_GB2312" w:cs="仿宋_GB2312"/>
          <w:sz w:val="32"/>
          <w:szCs w:val="32"/>
        </w:rPr>
        <w:t>思想和习近平总书记在川视察重要讲话精神，宣讲扶贫政策、了解情况、解决问题，算好收支账；帮助结对帮扶贫困户制定并不断完善一户一策帮扶措施，对接落实“六个一批</w:t>
      </w:r>
      <w:bookmarkStart w:id="73" w:name="_GoBack"/>
      <w:bookmarkEnd w:id="73"/>
      <w:r>
        <w:rPr>
          <w:rFonts w:hint="eastAsia" w:ascii="仿宋_GB2312" w:hAnsi="宋体" w:eastAsia="仿宋_GB2312" w:cs="仿宋_GB2312"/>
          <w:sz w:val="32"/>
          <w:szCs w:val="32"/>
        </w:rPr>
        <w:t>”计划，指导和落实脱贫户巩固提升方案，大力扶持发展增收致富产业和项目。我会联系帮扶的7户脱贫户今年仍然以务工为主、产业发展为辅发展经济。今年，该7户外出务工11人，在家共养猪8头，养鸡200只，人均年收入预计能达到6000元以上。</w:t>
      </w:r>
    </w:p>
    <w:p>
      <w:pPr>
        <w:spacing w:line="540" w:lineRule="exact"/>
        <w:ind w:firstLine="633" w:firstLineChars="198"/>
        <w:rPr>
          <w:rFonts w:ascii="仿宋_GB2312" w:hAnsi="宋体" w:eastAsia="仿宋_GB2312" w:cs="仿宋_GB2312"/>
          <w:sz w:val="32"/>
          <w:szCs w:val="32"/>
        </w:rPr>
      </w:pPr>
      <w:r>
        <w:rPr>
          <w:rFonts w:ascii="仿宋_GB2312" w:hAnsi="宋体" w:eastAsia="仿宋_GB2312" w:cs="仿宋_GB2312"/>
          <w:sz w:val="32"/>
          <w:szCs w:val="32"/>
        </w:rPr>
        <w:t>全面提升机关效能，加强机关自身建设。</w:t>
      </w:r>
    </w:p>
    <w:p>
      <w:pPr>
        <w:spacing w:line="540" w:lineRule="exact"/>
        <w:ind w:firstLine="633" w:firstLineChars="198"/>
        <w:rPr>
          <w:rFonts w:ascii="仿宋_GB2312" w:hAnsi="宋体" w:eastAsia="仿宋_GB2312" w:cs="仿宋_GB2312"/>
          <w:sz w:val="32"/>
          <w:szCs w:val="32"/>
        </w:rPr>
      </w:pPr>
      <w:r>
        <w:rPr>
          <w:rFonts w:hint="eastAsia" w:ascii="仿宋_GB2312" w:hAnsi="宋体" w:eastAsia="仿宋_GB2312" w:cs="仿宋_GB2312"/>
          <w:sz w:val="32"/>
          <w:szCs w:val="32"/>
        </w:rPr>
        <w:t>我会不断加强党建工作，建立健全意识形态领域分析研判常态化、制度化等各项机制。认真落实党建工作责任制和意识形态工作责任制，把党建及意识形态工作与业务工作同谋划、同部署、同落实，推动两项工作互促共融，同频共振，同时不断建立健全机关各项管理制度，规范机关效能建设。一是提高政治站位，建立支部堡垒。根据党建工作需要，我会在上级党组织的关心支持上，单独成立了党支部。二是突出示范引领作用，全面加强机关队伍建设。多措并举加强机关干部队伍建设，努力打造一支政治过硬、业务精良、作风清正、纪律严明的工作队伍。三是完善机关制度，全面加强党风廉政建设。强化“一岗双责”，全面落实党风廉政建设责任制。按照“一岗双责” 要求在抓好分管业务的同时，抓好了分管范围内的党风廉政建设工作，在区红十字会形成了“一把手负总责、分管领导各负其责、谁主管谁负责”的工作格局。抓好学习教育工作，牢固树立党员干部反腐倡廉防范意识。每月组织一场党员干部集中学习会议，完善警示教育、岗前廉政教育、诫勉谈话等制度。干部职工思想作风、工作作风、生活作风建设进一步加强，拒腐防变的思想道德防线得到巩固。强化源头监管，防微杜渐。按照党风廉政建设总体要求，严格监管捐赠资金，严格落实反腐倡廉建设责任制，确保捐赠资金合法合规使用。同时严格落实相关财经纪律，严格规范公务接待，节约“三公”经费支出。</w:t>
      </w:r>
    </w:p>
    <w:p>
      <w:pPr>
        <w:pStyle w:val="3"/>
        <w:ind w:firstLine="640" w:firstLineChars="200"/>
        <w:rPr>
          <w:rStyle w:val="26"/>
          <w:b w:val="0"/>
          <w:bCs w:val="0"/>
        </w:rPr>
      </w:pPr>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spacing w:line="580" w:lineRule="exact"/>
        <w:ind w:firstLine="627" w:firstLineChars="196"/>
        <w:rPr>
          <w:rFonts w:ascii="仿宋_GB2312" w:eastAsia="仿宋_GB2312"/>
          <w:sz w:val="32"/>
          <w:szCs w:val="32"/>
        </w:rPr>
      </w:pPr>
      <w:r>
        <w:rPr>
          <w:rFonts w:hint="eastAsia" w:ascii="仿宋_GB2312" w:eastAsia="仿宋_GB2312" w:cs="仿宋_GB2312"/>
          <w:sz w:val="32"/>
          <w:szCs w:val="32"/>
        </w:rPr>
        <w:t>广元市利州区红十字会共有编制4个，其中：事业编制4个。</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5"/>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Style w:val="25"/>
          <w:rFonts w:hint="eastAsia" w:ascii="黑体" w:hAnsi="黑体" w:eastAsia="黑体"/>
          <w:b w:val="0"/>
          <w:bCs w:val="0"/>
        </w:rPr>
        <w:t>20</w:t>
      </w:r>
      <w:r>
        <w:rPr>
          <w:rStyle w:val="25"/>
          <w:rFonts w:ascii="黑体" w:hAnsi="黑体" w:eastAsia="黑体"/>
          <w:b w:val="0"/>
          <w:bCs w:val="0"/>
        </w:rPr>
        <w:t>20</w:t>
      </w:r>
      <w:r>
        <w:rPr>
          <w:rStyle w:val="25"/>
          <w:rFonts w:hint="eastAsia" w:ascii="黑体" w:hAnsi="黑体" w:eastAsia="黑体"/>
          <w:b w:val="0"/>
          <w:bCs w:val="0"/>
        </w:rPr>
        <w:t>年度部门决算情况说明</w:t>
      </w:r>
      <w:bookmarkEnd w:id="22"/>
      <w:bookmarkEnd w:id="23"/>
    </w:p>
    <w:p/>
    <w:p>
      <w:pPr>
        <w:pStyle w:val="24"/>
        <w:numPr>
          <w:ilvl w:val="0"/>
          <w:numId w:val="1"/>
        </w:numPr>
        <w:spacing w:line="600" w:lineRule="exact"/>
        <w:ind w:firstLineChars="0"/>
        <w:outlineLvl w:val="1"/>
        <w:rPr>
          <w:rFonts w:ascii="黑体" w:hAnsi="黑体" w:eastAsia="黑体" w:cstheme="majorBidi"/>
          <w:bCs/>
          <w:sz w:val="32"/>
          <w:szCs w:val="32"/>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54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w:t>
      </w:r>
      <w:r>
        <w:rPr>
          <w:rFonts w:ascii="仿宋_GB2312" w:hAnsi="仿宋" w:eastAsia="仿宋_GB2312"/>
          <w:color w:val="000000"/>
          <w:sz w:val="32"/>
          <w:szCs w:val="32"/>
        </w:rPr>
        <w:t>20</w:t>
      </w:r>
      <w:r>
        <w:rPr>
          <w:rFonts w:hint="eastAsia" w:ascii="仿宋_GB2312" w:hAnsi="仿宋" w:eastAsia="仿宋_GB2312"/>
          <w:color w:val="000000"/>
          <w:sz w:val="32"/>
          <w:szCs w:val="32"/>
        </w:rPr>
        <w:t>年度收入总计</w:t>
      </w:r>
      <w:r>
        <w:rPr>
          <w:rFonts w:ascii="仿宋_GB2312" w:hAnsi="仿宋" w:eastAsia="仿宋_GB2312"/>
          <w:color w:val="000000"/>
          <w:sz w:val="32"/>
          <w:szCs w:val="32"/>
        </w:rPr>
        <w:t>84.98</w:t>
      </w:r>
      <w:r>
        <w:rPr>
          <w:rFonts w:hint="eastAsia" w:ascii="仿宋_GB2312" w:hAnsi="仿宋" w:eastAsia="仿宋_GB2312"/>
          <w:color w:val="000000"/>
          <w:sz w:val="32"/>
          <w:szCs w:val="32"/>
        </w:rPr>
        <w:t>万元、支出总计</w:t>
      </w:r>
      <w:r>
        <w:rPr>
          <w:rFonts w:ascii="仿宋_GB2312" w:hAnsi="仿宋" w:eastAsia="仿宋_GB2312"/>
          <w:color w:val="000000"/>
          <w:sz w:val="32"/>
          <w:szCs w:val="32"/>
        </w:rPr>
        <w:t>59.24</w:t>
      </w:r>
      <w:r>
        <w:rPr>
          <w:rFonts w:hint="eastAsia" w:ascii="仿宋_GB2312" w:hAnsi="仿宋" w:eastAsia="仿宋_GB2312"/>
          <w:color w:val="000000"/>
          <w:sz w:val="32"/>
          <w:szCs w:val="32"/>
        </w:rPr>
        <w:t>万元。与201</w:t>
      </w:r>
      <w:r>
        <w:rPr>
          <w:rFonts w:ascii="仿宋_GB2312" w:hAnsi="仿宋" w:eastAsia="仿宋_GB2312"/>
          <w:color w:val="000000"/>
          <w:sz w:val="32"/>
          <w:szCs w:val="32"/>
        </w:rPr>
        <w:t>9</w:t>
      </w:r>
      <w:r>
        <w:rPr>
          <w:rFonts w:hint="eastAsia" w:ascii="仿宋_GB2312" w:hAnsi="仿宋" w:eastAsia="仿宋_GB2312"/>
          <w:color w:val="000000"/>
          <w:sz w:val="32"/>
          <w:szCs w:val="32"/>
        </w:rPr>
        <w:t>年相比，收入增加</w:t>
      </w:r>
      <w:r>
        <w:rPr>
          <w:rFonts w:ascii="仿宋_GB2312" w:hAnsi="仿宋" w:eastAsia="仿宋_GB2312"/>
          <w:color w:val="000000"/>
          <w:sz w:val="32"/>
          <w:szCs w:val="32"/>
        </w:rPr>
        <w:t>13.26</w:t>
      </w:r>
      <w:r>
        <w:rPr>
          <w:rFonts w:hint="eastAsia" w:ascii="仿宋_GB2312" w:hAnsi="仿宋" w:eastAsia="仿宋_GB2312"/>
          <w:color w:val="000000"/>
          <w:sz w:val="32"/>
          <w:szCs w:val="32"/>
        </w:rPr>
        <w:t>万元，增加1</w:t>
      </w:r>
      <w:r>
        <w:rPr>
          <w:rFonts w:ascii="仿宋_GB2312" w:hAnsi="仿宋" w:eastAsia="仿宋_GB2312"/>
          <w:color w:val="000000"/>
          <w:sz w:val="32"/>
          <w:szCs w:val="32"/>
        </w:rPr>
        <w:t>8.48</w:t>
      </w:r>
      <w:r>
        <w:rPr>
          <w:rFonts w:hint="eastAsia" w:ascii="仿宋_GB2312" w:hAnsi="仿宋" w:eastAsia="仿宋_GB2312"/>
          <w:color w:val="000000"/>
          <w:sz w:val="32"/>
          <w:szCs w:val="32"/>
        </w:rPr>
        <w:t>%，主要变动原因是增加公益性卫生百万救护培训项目；支出减少1</w:t>
      </w:r>
      <w:r>
        <w:rPr>
          <w:rFonts w:ascii="仿宋_GB2312" w:hAnsi="仿宋" w:eastAsia="仿宋_GB2312"/>
          <w:color w:val="000000"/>
          <w:sz w:val="32"/>
          <w:szCs w:val="32"/>
        </w:rPr>
        <w:t>3.15</w:t>
      </w:r>
      <w:r>
        <w:rPr>
          <w:rFonts w:hint="eastAsia" w:ascii="仿宋_GB2312" w:hAnsi="仿宋" w:eastAsia="仿宋_GB2312"/>
          <w:color w:val="000000"/>
          <w:sz w:val="32"/>
          <w:szCs w:val="32"/>
        </w:rPr>
        <w:t>万元，减少18.</w:t>
      </w:r>
      <w:r>
        <w:rPr>
          <w:rFonts w:ascii="仿宋_GB2312" w:hAnsi="仿宋" w:eastAsia="仿宋_GB2312"/>
          <w:color w:val="000000"/>
          <w:sz w:val="32"/>
          <w:szCs w:val="32"/>
        </w:rPr>
        <w:t>16</w:t>
      </w:r>
      <w:r>
        <w:rPr>
          <w:rFonts w:hint="eastAsia" w:ascii="仿宋_GB2312" w:hAnsi="仿宋" w:eastAsia="仿宋_GB2312"/>
          <w:color w:val="000000"/>
          <w:sz w:val="32"/>
          <w:szCs w:val="32"/>
        </w:rPr>
        <w:t>%。主要变动原因是公益性卫生百万救护培训项目支出应支未支。</w:t>
      </w:r>
    </w:p>
    <w:p>
      <w:pPr>
        <w:spacing w:line="54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drawing>
          <wp:anchor distT="0" distB="0" distL="114300" distR="114300" simplePos="0" relativeHeight="251658240" behindDoc="0" locked="0" layoutInCell="1" allowOverlap="1">
            <wp:simplePos x="0" y="0"/>
            <wp:positionH relativeFrom="column">
              <wp:posOffset>-69215</wp:posOffset>
            </wp:positionH>
            <wp:positionV relativeFrom="paragraph">
              <wp:posOffset>603885</wp:posOffset>
            </wp:positionV>
            <wp:extent cx="5274310" cy="3076575"/>
            <wp:effectExtent l="19050" t="19050" r="21590" b="952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_GB2312" w:hAnsi="仿宋" w:eastAsia="仿宋_GB2312"/>
          <w:color w:val="000000" w:themeColor="text1"/>
          <w:sz w:val="32"/>
          <w:szCs w:val="32"/>
        </w:rPr>
        <w:t>（图1：收、支决算总计变动情况图）（柱状图）</w:t>
      </w:r>
    </w:p>
    <w:p>
      <w:pPr>
        <w:spacing w:line="600" w:lineRule="exact"/>
        <w:jc w:val="left"/>
        <w:rPr>
          <w:rFonts w:ascii="仿宋_GB2312" w:eastAsia="仿宋_GB2312"/>
          <w:color w:val="000000"/>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54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w:t>
      </w:r>
      <w:r>
        <w:rPr>
          <w:rFonts w:ascii="仿宋_GB2312" w:hAnsi="仿宋" w:eastAsia="仿宋_GB2312"/>
          <w:color w:val="000000"/>
          <w:sz w:val="32"/>
          <w:szCs w:val="32"/>
        </w:rPr>
        <w:t>20</w:t>
      </w:r>
      <w:r>
        <w:rPr>
          <w:rFonts w:hint="eastAsia" w:ascii="仿宋_GB2312" w:hAnsi="仿宋" w:eastAsia="仿宋_GB2312"/>
          <w:color w:val="000000"/>
          <w:sz w:val="32"/>
          <w:szCs w:val="32"/>
        </w:rPr>
        <w:t>年本年收入合计</w:t>
      </w:r>
      <w:r>
        <w:rPr>
          <w:rFonts w:ascii="仿宋_GB2312" w:hAnsi="仿宋" w:eastAsia="仿宋_GB2312"/>
          <w:color w:val="000000"/>
          <w:sz w:val="32"/>
          <w:szCs w:val="32"/>
        </w:rPr>
        <w:t>84.98</w:t>
      </w:r>
      <w:r>
        <w:rPr>
          <w:rFonts w:hint="eastAsia" w:ascii="仿宋_GB2312" w:hAnsi="仿宋" w:eastAsia="仿宋_GB2312"/>
          <w:color w:val="000000"/>
          <w:sz w:val="32"/>
          <w:szCs w:val="32"/>
        </w:rPr>
        <w:t>万元，其中：一般公共预算财政拨款收入</w:t>
      </w:r>
      <w:r>
        <w:rPr>
          <w:rFonts w:ascii="仿宋_GB2312" w:hAnsi="仿宋" w:eastAsia="仿宋_GB2312"/>
          <w:color w:val="000000"/>
          <w:sz w:val="32"/>
          <w:szCs w:val="32"/>
        </w:rPr>
        <w:t>84.98</w:t>
      </w:r>
      <w:r>
        <w:rPr>
          <w:rFonts w:hint="eastAsia" w:ascii="仿宋_GB2312" w:hAnsi="仿宋" w:eastAsia="仿宋_GB2312"/>
          <w:color w:val="000000"/>
          <w:sz w:val="32"/>
          <w:szCs w:val="32"/>
        </w:rPr>
        <w:t>万元，占100%；政府性基金预算财政拨款收入0万元，占0%；</w:t>
      </w:r>
      <w:r>
        <w:rPr>
          <w:rFonts w:hint="eastAsia" w:ascii="仿宋_GB2312" w:hAnsi="仿宋" w:eastAsia="仿宋_GB2312"/>
          <w:color w:val="000000" w:themeColor="text1"/>
          <w:sz w:val="32"/>
          <w:szCs w:val="32"/>
        </w:rPr>
        <w:t>上级补助收入0</w:t>
      </w:r>
      <w:r>
        <w:rPr>
          <w:rFonts w:hint="eastAsia" w:ascii="仿宋_GB2312" w:hAnsi="仿宋" w:eastAsia="仿宋_GB2312"/>
          <w:color w:val="000000"/>
          <w:sz w:val="32"/>
          <w:szCs w:val="32"/>
        </w:rPr>
        <w:t>万元，占0%；事业收入0万元，占0%；经营收入0万元，占0%；附属单位上缴收入0万元，占0%；其他收入0万元，占0%。</w:t>
      </w:r>
    </w:p>
    <w:p>
      <w:pPr>
        <w:spacing w:line="54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drawing>
          <wp:anchor distT="0" distB="0" distL="114300" distR="114300" simplePos="0" relativeHeight="251659264" behindDoc="0" locked="0" layoutInCell="1" allowOverlap="1">
            <wp:simplePos x="0" y="0"/>
            <wp:positionH relativeFrom="column">
              <wp:posOffset>0</wp:posOffset>
            </wp:positionH>
            <wp:positionV relativeFrom="paragraph">
              <wp:posOffset>685165</wp:posOffset>
            </wp:positionV>
            <wp:extent cx="5274310" cy="3076575"/>
            <wp:effectExtent l="0" t="0" r="2540" b="952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hAnsi="仿宋" w:eastAsia="仿宋_GB2312"/>
          <w:color w:val="000000" w:themeColor="text1"/>
          <w:sz w:val="32"/>
          <w:szCs w:val="32"/>
        </w:rPr>
        <w:t>（图2：收入决算结构图）（饼状图）</w:t>
      </w:r>
    </w:p>
    <w:p>
      <w:pPr>
        <w:spacing w:line="540" w:lineRule="exact"/>
        <w:ind w:firstLine="640" w:firstLineChars="200"/>
        <w:rPr>
          <w:rFonts w:ascii="仿宋_GB2312" w:eastAsia="仿宋_GB2312"/>
          <w:color w:val="FF0000"/>
          <w:sz w:val="32"/>
          <w:szCs w:val="32"/>
        </w:rPr>
      </w:pPr>
    </w:p>
    <w:p>
      <w:pPr>
        <w:pStyle w:val="24"/>
        <w:numPr>
          <w:ilvl w:val="0"/>
          <w:numId w:val="1"/>
        </w:numPr>
        <w:spacing w:line="540" w:lineRule="exact"/>
        <w:ind w:left="0" w:firstLine="200" w:firstLineChars="0"/>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54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w:t>
      </w:r>
      <w:r>
        <w:rPr>
          <w:rFonts w:ascii="仿宋_GB2312" w:hAnsi="仿宋" w:eastAsia="仿宋_GB2312"/>
          <w:color w:val="000000"/>
          <w:sz w:val="32"/>
          <w:szCs w:val="32"/>
        </w:rPr>
        <w:t>20</w:t>
      </w:r>
      <w:r>
        <w:rPr>
          <w:rFonts w:hint="eastAsia" w:ascii="仿宋_GB2312" w:hAnsi="仿宋" w:eastAsia="仿宋_GB2312"/>
          <w:color w:val="000000"/>
          <w:sz w:val="32"/>
          <w:szCs w:val="32"/>
        </w:rPr>
        <w:t>年本年支出合计</w:t>
      </w:r>
      <w:r>
        <w:rPr>
          <w:rFonts w:ascii="仿宋_GB2312" w:hAnsi="仿宋" w:eastAsia="仿宋_GB2312"/>
          <w:color w:val="000000"/>
          <w:sz w:val="32"/>
          <w:szCs w:val="32"/>
        </w:rPr>
        <w:t>59.24</w:t>
      </w:r>
      <w:r>
        <w:rPr>
          <w:rFonts w:hint="eastAsia" w:ascii="仿宋_GB2312" w:hAnsi="仿宋" w:eastAsia="仿宋_GB2312"/>
          <w:color w:val="000000"/>
          <w:sz w:val="32"/>
          <w:szCs w:val="32"/>
        </w:rPr>
        <w:t>万元，其中：基本支出</w:t>
      </w:r>
      <w:r>
        <w:rPr>
          <w:rFonts w:ascii="仿宋_GB2312" w:hAnsi="仿宋" w:eastAsia="仿宋_GB2312"/>
          <w:color w:val="000000"/>
          <w:sz w:val="32"/>
          <w:szCs w:val="32"/>
        </w:rPr>
        <w:t>56.22</w:t>
      </w:r>
    </w:p>
    <w:p>
      <w:pPr>
        <w:spacing w:line="540" w:lineRule="exact"/>
        <w:ind w:firstLine="200"/>
        <w:rPr>
          <w:rFonts w:ascii="仿宋_GB2312" w:hAnsi="仿宋" w:eastAsia="仿宋_GB2312"/>
          <w:color w:val="000000"/>
          <w:sz w:val="32"/>
          <w:szCs w:val="32"/>
        </w:rPr>
      </w:pPr>
      <w:r>
        <w:rPr>
          <w:rFonts w:ascii="仿宋_GB2312" w:eastAsia="仿宋_GB2312"/>
          <w:color w:val="FF0000"/>
          <w:sz w:val="32"/>
          <w:szCs w:val="32"/>
        </w:rPr>
        <w:drawing>
          <wp:anchor distT="0" distB="0" distL="114300" distR="114300" simplePos="0" relativeHeight="251656192" behindDoc="1" locked="0" layoutInCell="1" allowOverlap="1">
            <wp:simplePos x="0" y="0"/>
            <wp:positionH relativeFrom="column">
              <wp:posOffset>0</wp:posOffset>
            </wp:positionH>
            <wp:positionV relativeFrom="paragraph">
              <wp:posOffset>1122045</wp:posOffset>
            </wp:positionV>
            <wp:extent cx="5458460" cy="2438400"/>
            <wp:effectExtent l="0" t="0" r="0" b="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hAnsi="仿宋" w:eastAsia="仿宋_GB2312"/>
          <w:color w:val="000000"/>
          <w:sz w:val="32"/>
          <w:szCs w:val="32"/>
        </w:rPr>
        <w:t>万元，占</w:t>
      </w:r>
      <w:r>
        <w:rPr>
          <w:rFonts w:ascii="仿宋_GB2312" w:hAnsi="仿宋" w:eastAsia="仿宋_GB2312"/>
          <w:color w:val="000000"/>
          <w:sz w:val="32"/>
          <w:szCs w:val="32"/>
        </w:rPr>
        <w:t>94.90</w:t>
      </w:r>
      <w:r>
        <w:rPr>
          <w:rFonts w:hint="eastAsia" w:ascii="仿宋_GB2312" w:hAnsi="仿宋" w:eastAsia="仿宋_GB2312"/>
          <w:color w:val="000000"/>
          <w:sz w:val="32"/>
          <w:szCs w:val="32"/>
        </w:rPr>
        <w:t>%；项目支出</w:t>
      </w:r>
      <w:r>
        <w:rPr>
          <w:rFonts w:ascii="仿宋_GB2312" w:hAnsi="仿宋" w:eastAsia="仿宋_GB2312"/>
          <w:color w:val="000000"/>
          <w:sz w:val="32"/>
          <w:szCs w:val="32"/>
        </w:rPr>
        <w:t>3.02</w:t>
      </w:r>
      <w:r>
        <w:rPr>
          <w:rFonts w:hint="eastAsia" w:ascii="仿宋_GB2312" w:hAnsi="仿宋" w:eastAsia="仿宋_GB2312"/>
          <w:color w:val="000000"/>
          <w:sz w:val="32"/>
          <w:szCs w:val="32"/>
        </w:rPr>
        <w:t>万元，占</w:t>
      </w:r>
      <w:r>
        <w:rPr>
          <w:rFonts w:ascii="仿宋_GB2312" w:hAnsi="仿宋" w:eastAsia="仿宋_GB2312"/>
          <w:color w:val="000000"/>
          <w:sz w:val="32"/>
          <w:szCs w:val="32"/>
        </w:rPr>
        <w:t>5.10</w:t>
      </w:r>
      <w:r>
        <w:rPr>
          <w:rFonts w:hint="eastAsia" w:ascii="仿宋_GB2312" w:hAnsi="仿宋" w:eastAsia="仿宋_GB2312"/>
          <w:color w:val="000000"/>
          <w:sz w:val="32"/>
          <w:szCs w:val="32"/>
        </w:rPr>
        <w:t>%；上缴上级支出0万元，占0%；经营支出0万元，占0%；对附属单位补助支出0万元，占0%。</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rPr>
          <w:rFonts w:ascii="仿宋_GB2312" w:eastAsia="仿宋_GB2312"/>
          <w:color w:val="FF0000"/>
          <w:sz w:val="32"/>
          <w:szCs w:val="32"/>
        </w:rPr>
      </w:pPr>
    </w:p>
    <w:p>
      <w:pPr>
        <w:spacing w:line="600" w:lineRule="exact"/>
        <w:ind w:firstLine="640" w:firstLineChars="200"/>
        <w:outlineLvl w:val="1"/>
        <w:rPr>
          <w:rStyle w:val="26"/>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54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2020</w:t>
      </w:r>
      <w:r>
        <w:rPr>
          <w:rFonts w:hint="eastAsia" w:ascii="仿宋_GB2312" w:hAnsi="仿宋" w:eastAsia="仿宋_GB2312"/>
          <w:color w:val="000000"/>
          <w:sz w:val="32"/>
          <w:szCs w:val="32"/>
        </w:rPr>
        <w:t>年财政拨款收入总计</w:t>
      </w:r>
      <w:r>
        <w:rPr>
          <w:rFonts w:ascii="仿宋_GB2312" w:hAnsi="仿宋" w:eastAsia="仿宋_GB2312"/>
          <w:color w:val="000000"/>
          <w:sz w:val="32"/>
          <w:szCs w:val="32"/>
        </w:rPr>
        <w:t>84.98</w:t>
      </w:r>
      <w:r>
        <w:rPr>
          <w:rFonts w:hint="eastAsia" w:ascii="仿宋_GB2312" w:hAnsi="仿宋" w:eastAsia="仿宋_GB2312"/>
          <w:color w:val="000000"/>
          <w:sz w:val="32"/>
          <w:szCs w:val="32"/>
        </w:rPr>
        <w:t>万元、支出总计</w:t>
      </w:r>
      <w:r>
        <w:rPr>
          <w:rFonts w:ascii="仿宋_GB2312" w:hAnsi="仿宋" w:eastAsia="仿宋_GB2312"/>
          <w:color w:val="000000"/>
          <w:sz w:val="32"/>
          <w:szCs w:val="32"/>
        </w:rPr>
        <w:t>59.24</w:t>
      </w:r>
      <w:r>
        <w:rPr>
          <w:rFonts w:hint="eastAsia" w:ascii="仿宋_GB2312" w:hAnsi="仿宋" w:eastAsia="仿宋_GB2312"/>
          <w:color w:val="000000"/>
          <w:sz w:val="32"/>
          <w:szCs w:val="32"/>
        </w:rPr>
        <w:t>万元。与201</w:t>
      </w:r>
      <w:r>
        <w:rPr>
          <w:rFonts w:ascii="仿宋_GB2312" w:hAnsi="仿宋" w:eastAsia="仿宋_GB2312"/>
          <w:color w:val="000000"/>
          <w:sz w:val="32"/>
          <w:szCs w:val="32"/>
        </w:rPr>
        <w:t>9</w:t>
      </w:r>
      <w:r>
        <w:rPr>
          <w:rFonts w:hint="eastAsia" w:ascii="仿宋_GB2312" w:hAnsi="仿宋" w:eastAsia="仿宋_GB2312"/>
          <w:color w:val="000000"/>
          <w:sz w:val="32"/>
          <w:szCs w:val="32"/>
        </w:rPr>
        <w:t>年相比，收入增加</w:t>
      </w:r>
      <w:r>
        <w:rPr>
          <w:rFonts w:ascii="仿宋_GB2312" w:hAnsi="仿宋" w:eastAsia="仿宋_GB2312"/>
          <w:color w:val="000000"/>
          <w:sz w:val="32"/>
          <w:szCs w:val="32"/>
        </w:rPr>
        <w:t>13.26</w:t>
      </w:r>
      <w:r>
        <w:rPr>
          <w:rFonts w:hint="eastAsia" w:ascii="仿宋_GB2312" w:hAnsi="仿宋" w:eastAsia="仿宋_GB2312"/>
          <w:color w:val="000000"/>
          <w:sz w:val="32"/>
          <w:szCs w:val="32"/>
        </w:rPr>
        <w:t>万元，增加1</w:t>
      </w:r>
      <w:r>
        <w:rPr>
          <w:rFonts w:ascii="仿宋_GB2312" w:hAnsi="仿宋" w:eastAsia="仿宋_GB2312"/>
          <w:color w:val="000000"/>
          <w:sz w:val="32"/>
          <w:szCs w:val="32"/>
        </w:rPr>
        <w:t>8.48</w:t>
      </w:r>
      <w:r>
        <w:rPr>
          <w:rFonts w:hint="eastAsia" w:ascii="仿宋_GB2312" w:hAnsi="仿宋" w:eastAsia="仿宋_GB2312"/>
          <w:color w:val="000000"/>
          <w:sz w:val="32"/>
          <w:szCs w:val="32"/>
        </w:rPr>
        <w:t>%，主要变动原因是增加公益性卫生百万救护培训项目；支出减少1</w:t>
      </w:r>
      <w:r>
        <w:rPr>
          <w:rFonts w:ascii="仿宋_GB2312" w:hAnsi="仿宋" w:eastAsia="仿宋_GB2312"/>
          <w:color w:val="000000"/>
          <w:sz w:val="32"/>
          <w:szCs w:val="32"/>
        </w:rPr>
        <w:t>3.15</w:t>
      </w:r>
      <w:r>
        <w:rPr>
          <w:rFonts w:hint="eastAsia" w:ascii="仿宋_GB2312" w:hAnsi="仿宋" w:eastAsia="仿宋_GB2312"/>
          <w:color w:val="000000"/>
          <w:sz w:val="32"/>
          <w:szCs w:val="32"/>
        </w:rPr>
        <w:t>万元，减少18.</w:t>
      </w:r>
      <w:r>
        <w:rPr>
          <w:rFonts w:ascii="仿宋_GB2312" w:hAnsi="仿宋" w:eastAsia="仿宋_GB2312"/>
          <w:color w:val="000000"/>
          <w:sz w:val="32"/>
          <w:szCs w:val="32"/>
        </w:rPr>
        <w:t>16</w:t>
      </w:r>
      <w:r>
        <w:rPr>
          <w:rFonts w:hint="eastAsia" w:ascii="仿宋_GB2312" w:hAnsi="仿宋" w:eastAsia="仿宋_GB2312"/>
          <w:color w:val="000000"/>
          <w:sz w:val="32"/>
          <w:szCs w:val="32"/>
        </w:rPr>
        <w:t>%。主要变动原因是公益性卫生百万救护培训项目支出应支未支。</w:t>
      </w:r>
    </w:p>
    <w:p>
      <w:pPr>
        <w:spacing w:line="600" w:lineRule="exact"/>
        <w:ind w:firstLine="640"/>
        <w:rPr>
          <w:rFonts w:ascii="仿宋" w:hAnsi="仿宋" w:eastAsia="仿宋"/>
          <w:color w:val="000000"/>
          <w:sz w:val="32"/>
          <w:szCs w:val="32"/>
        </w:rPr>
      </w:pPr>
      <w:r>
        <w:rPr>
          <w:rFonts w:ascii="仿宋" w:hAnsi="仿宋" w:eastAsia="仿宋"/>
          <w:b/>
          <w:color w:val="00B050"/>
          <w:sz w:val="32"/>
          <w:szCs w:val="32"/>
        </w:rPr>
        <w:drawing>
          <wp:anchor distT="0" distB="0" distL="114300" distR="114300" simplePos="0" relativeHeight="251658240" behindDoc="0" locked="0" layoutInCell="1" allowOverlap="1">
            <wp:simplePos x="0" y="0"/>
            <wp:positionH relativeFrom="column">
              <wp:posOffset>-101600</wp:posOffset>
            </wp:positionH>
            <wp:positionV relativeFrom="paragraph">
              <wp:posOffset>511810</wp:posOffset>
            </wp:positionV>
            <wp:extent cx="5274310" cy="4038600"/>
            <wp:effectExtent l="0" t="0" r="0" b="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600" w:lineRule="exact"/>
        <w:rPr>
          <w:rFonts w:ascii="仿宋" w:hAnsi="仿宋" w:eastAsia="仿宋"/>
          <w:b/>
          <w:color w:val="00B050"/>
          <w:sz w:val="32"/>
          <w:szCs w:val="32"/>
        </w:rPr>
      </w:pPr>
    </w:p>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540" w:lineRule="exact"/>
        <w:ind w:firstLine="640" w:firstLineChars="200"/>
        <w:rPr>
          <w:rFonts w:ascii="仿宋_GB2312" w:hAnsi="仿宋" w:eastAsia="仿宋_GB2312"/>
          <w:color w:val="000000"/>
          <w:sz w:val="32"/>
          <w:szCs w:val="32"/>
        </w:rPr>
      </w:pPr>
      <w:r>
        <w:rPr>
          <w:rFonts w:ascii="仿宋" w:hAnsi="仿宋" w:eastAsia="仿宋"/>
          <w:color w:val="000000" w:themeColor="text1"/>
          <w:sz w:val="32"/>
          <w:szCs w:val="32"/>
        </w:rPr>
        <w:drawing>
          <wp:anchor distT="0" distB="0" distL="114300" distR="114300" simplePos="0" relativeHeight="251658240" behindDoc="0" locked="0" layoutInCell="1" allowOverlap="1">
            <wp:simplePos x="0" y="0"/>
            <wp:positionH relativeFrom="column">
              <wp:posOffset>19685</wp:posOffset>
            </wp:positionH>
            <wp:positionV relativeFrom="paragraph">
              <wp:posOffset>1522730</wp:posOffset>
            </wp:positionV>
            <wp:extent cx="5274310" cy="3962400"/>
            <wp:effectExtent l="0" t="0" r="0" b="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_GB2312" w:hAnsi="仿宋" w:eastAsia="仿宋_GB2312"/>
          <w:color w:val="000000"/>
          <w:sz w:val="32"/>
          <w:szCs w:val="32"/>
        </w:rPr>
        <w:t>2020</w:t>
      </w:r>
      <w:r>
        <w:rPr>
          <w:rFonts w:hint="eastAsia" w:ascii="仿宋_GB2312" w:hAnsi="仿宋" w:eastAsia="仿宋_GB2312"/>
          <w:color w:val="000000"/>
          <w:sz w:val="32"/>
          <w:szCs w:val="32"/>
        </w:rPr>
        <w:t>年一般公共预算财政拨款支出</w:t>
      </w:r>
      <w:r>
        <w:rPr>
          <w:rFonts w:ascii="仿宋_GB2312" w:hAnsi="仿宋" w:eastAsia="仿宋_GB2312"/>
          <w:color w:val="000000"/>
          <w:sz w:val="32"/>
          <w:szCs w:val="32"/>
        </w:rPr>
        <w:t>59.24</w:t>
      </w:r>
      <w:r>
        <w:rPr>
          <w:rFonts w:hint="eastAsia" w:ascii="仿宋_GB2312" w:hAnsi="仿宋" w:eastAsia="仿宋_GB2312"/>
          <w:color w:val="000000"/>
          <w:sz w:val="32"/>
          <w:szCs w:val="32"/>
        </w:rPr>
        <w:t>万元，占本年支出合计的</w:t>
      </w:r>
      <w:r>
        <w:rPr>
          <w:rFonts w:ascii="仿宋_GB2312" w:hAnsi="仿宋" w:eastAsia="仿宋_GB2312"/>
          <w:color w:val="000000"/>
          <w:sz w:val="32"/>
          <w:szCs w:val="32"/>
        </w:rPr>
        <w:t>100%</w:t>
      </w:r>
      <w:r>
        <w:rPr>
          <w:rFonts w:hint="eastAsia" w:ascii="仿宋_GB2312" w:hAnsi="仿宋" w:eastAsia="仿宋_GB2312"/>
          <w:color w:val="000000"/>
          <w:sz w:val="32"/>
          <w:szCs w:val="32"/>
        </w:rPr>
        <w:t>。与</w:t>
      </w:r>
      <w:r>
        <w:rPr>
          <w:rFonts w:ascii="仿宋_GB2312" w:hAnsi="仿宋" w:eastAsia="仿宋_GB2312"/>
          <w:color w:val="000000"/>
          <w:sz w:val="32"/>
          <w:szCs w:val="32"/>
        </w:rPr>
        <w:t>2019</w:t>
      </w:r>
      <w:r>
        <w:rPr>
          <w:rFonts w:hint="eastAsia" w:ascii="仿宋_GB2312" w:hAnsi="仿宋" w:eastAsia="仿宋_GB2312"/>
          <w:color w:val="000000"/>
          <w:sz w:val="32"/>
          <w:szCs w:val="32"/>
        </w:rPr>
        <w:t>年相比，减少1</w:t>
      </w:r>
      <w:r>
        <w:rPr>
          <w:rFonts w:ascii="仿宋_GB2312" w:hAnsi="仿宋" w:eastAsia="仿宋_GB2312"/>
          <w:color w:val="000000"/>
          <w:sz w:val="32"/>
          <w:szCs w:val="32"/>
        </w:rPr>
        <w:t>3.15</w:t>
      </w:r>
      <w:r>
        <w:rPr>
          <w:rFonts w:hint="eastAsia" w:ascii="仿宋_GB2312" w:hAnsi="仿宋" w:eastAsia="仿宋_GB2312"/>
          <w:color w:val="000000"/>
          <w:sz w:val="32"/>
          <w:szCs w:val="32"/>
        </w:rPr>
        <w:t>万元，减少18.</w:t>
      </w:r>
      <w:r>
        <w:rPr>
          <w:rFonts w:ascii="仿宋_GB2312" w:hAnsi="仿宋" w:eastAsia="仿宋_GB2312"/>
          <w:color w:val="000000"/>
          <w:sz w:val="32"/>
          <w:szCs w:val="32"/>
        </w:rPr>
        <w:t>16</w:t>
      </w:r>
      <w:r>
        <w:rPr>
          <w:rFonts w:hint="eastAsia" w:ascii="仿宋_GB2312" w:hAnsi="仿宋" w:eastAsia="仿宋_GB2312"/>
          <w:color w:val="000000"/>
          <w:sz w:val="32"/>
          <w:szCs w:val="32"/>
        </w:rPr>
        <w:t>%，主要变动原因是增加公益性卫生百万救护培训项目应支未支；</w:t>
      </w:r>
    </w:p>
    <w:p>
      <w:pPr>
        <w:spacing w:line="600" w:lineRule="exact"/>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bookmarkStart w:id="35" w:name="_Toc15377211"/>
    </w:p>
    <w:p>
      <w:pPr>
        <w:spacing w:line="600" w:lineRule="exact"/>
        <w:outlineLvl w:val="2"/>
        <w:rPr>
          <w:rFonts w:ascii="仿宋" w:hAnsi="仿宋" w:eastAsia="仿宋"/>
          <w:b/>
          <w:color w:val="000000"/>
          <w:sz w:val="32"/>
          <w:szCs w:val="32"/>
        </w:rPr>
      </w:pPr>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54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2020</w:t>
      </w:r>
      <w:r>
        <w:rPr>
          <w:rFonts w:hint="eastAsia" w:ascii="仿宋_GB2312" w:hAnsi="仿宋" w:eastAsia="仿宋_GB2312"/>
          <w:color w:val="000000"/>
          <w:sz w:val="32"/>
          <w:szCs w:val="32"/>
        </w:rPr>
        <w:t>年一般公共预算财政拨款支出</w:t>
      </w:r>
      <w:r>
        <w:rPr>
          <w:rFonts w:ascii="仿宋_GB2312" w:hAnsi="仿宋" w:eastAsia="仿宋_GB2312"/>
          <w:color w:val="000000"/>
          <w:sz w:val="32"/>
          <w:szCs w:val="32"/>
        </w:rPr>
        <w:t>59.24</w:t>
      </w:r>
      <w:r>
        <w:rPr>
          <w:rFonts w:hint="eastAsia" w:ascii="仿宋_GB2312" w:hAnsi="仿宋" w:eastAsia="仿宋_GB2312"/>
          <w:color w:val="000000"/>
          <w:sz w:val="32"/>
          <w:szCs w:val="32"/>
        </w:rPr>
        <w:t>万元，主要用于以下方面</w:t>
      </w:r>
      <w:r>
        <w:rPr>
          <w:rFonts w:ascii="仿宋_GB2312" w:hAnsi="仿宋" w:eastAsia="仿宋_GB2312"/>
          <w:color w:val="000000"/>
          <w:sz w:val="32"/>
          <w:szCs w:val="32"/>
        </w:rPr>
        <w:t>:</w:t>
      </w:r>
      <w:r>
        <w:rPr>
          <w:rFonts w:hint="eastAsia" w:ascii="仿宋_GB2312" w:hAnsi="仿宋" w:eastAsia="仿宋_GB2312"/>
          <w:color w:val="000000"/>
          <w:sz w:val="32"/>
          <w:szCs w:val="32"/>
        </w:rPr>
        <w:t>一般公共服务（类）支出</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；教育支出（类）</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；科学技术（类）支出</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；文化旅游体育与传媒（类）支出</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；社会保障和就业（类）支出</w:t>
      </w:r>
      <w:r>
        <w:rPr>
          <w:rFonts w:ascii="仿宋_GB2312" w:hAnsi="仿宋" w:eastAsia="仿宋_GB2312"/>
          <w:color w:val="000000"/>
          <w:sz w:val="32"/>
          <w:szCs w:val="32"/>
        </w:rPr>
        <w:t>53.36</w:t>
      </w:r>
      <w:r>
        <w:rPr>
          <w:rFonts w:hint="eastAsia" w:ascii="仿宋_GB2312" w:hAnsi="仿宋" w:eastAsia="仿宋_GB2312"/>
          <w:color w:val="000000"/>
          <w:sz w:val="32"/>
          <w:szCs w:val="32"/>
        </w:rPr>
        <w:t>万元，占</w:t>
      </w:r>
      <w:r>
        <w:rPr>
          <w:rFonts w:ascii="仿宋_GB2312" w:hAnsi="仿宋" w:eastAsia="仿宋_GB2312"/>
          <w:color w:val="000000"/>
          <w:sz w:val="32"/>
          <w:szCs w:val="32"/>
        </w:rPr>
        <w:t>90.07%</w:t>
      </w:r>
      <w:r>
        <w:rPr>
          <w:rFonts w:hint="eastAsia" w:ascii="仿宋_GB2312" w:hAnsi="仿宋" w:eastAsia="仿宋_GB2312"/>
          <w:color w:val="000000"/>
          <w:sz w:val="32"/>
          <w:szCs w:val="32"/>
        </w:rPr>
        <w:t>；卫生健康支出</w:t>
      </w:r>
      <w:r>
        <w:rPr>
          <w:rFonts w:ascii="仿宋_GB2312" w:hAnsi="仿宋" w:eastAsia="仿宋_GB2312"/>
          <w:color w:val="000000"/>
          <w:sz w:val="32"/>
          <w:szCs w:val="32"/>
        </w:rPr>
        <w:t>2.07</w:t>
      </w:r>
      <w:r>
        <w:rPr>
          <w:rFonts w:hint="eastAsia" w:ascii="仿宋_GB2312" w:hAnsi="仿宋" w:eastAsia="仿宋_GB2312"/>
          <w:color w:val="000000"/>
          <w:sz w:val="32"/>
          <w:szCs w:val="32"/>
        </w:rPr>
        <w:t>万元，占</w:t>
      </w:r>
      <w:r>
        <w:rPr>
          <w:rFonts w:ascii="仿宋_GB2312" w:hAnsi="仿宋" w:eastAsia="仿宋_GB2312"/>
          <w:color w:val="000000"/>
          <w:sz w:val="32"/>
          <w:szCs w:val="32"/>
        </w:rPr>
        <w:t>3.49%</w:t>
      </w:r>
      <w:r>
        <w:rPr>
          <w:rFonts w:hint="eastAsia" w:ascii="仿宋_GB2312" w:hAnsi="仿宋" w:eastAsia="仿宋_GB2312"/>
          <w:color w:val="000000"/>
          <w:sz w:val="32"/>
          <w:szCs w:val="32"/>
        </w:rPr>
        <w:t>；农林水支出</w:t>
      </w:r>
      <w:r>
        <w:rPr>
          <w:rFonts w:ascii="仿宋_GB2312" w:hAnsi="仿宋" w:eastAsia="仿宋_GB2312"/>
          <w:color w:val="000000"/>
          <w:sz w:val="32"/>
          <w:szCs w:val="32"/>
        </w:rPr>
        <w:t>0.5</w:t>
      </w:r>
      <w:r>
        <w:rPr>
          <w:rFonts w:hint="eastAsia" w:ascii="仿宋_GB2312" w:hAnsi="仿宋" w:eastAsia="仿宋_GB2312"/>
          <w:color w:val="000000"/>
          <w:sz w:val="32"/>
          <w:szCs w:val="32"/>
        </w:rPr>
        <w:t>万元，占</w:t>
      </w:r>
      <w:r>
        <w:rPr>
          <w:rFonts w:ascii="仿宋_GB2312" w:hAnsi="仿宋" w:eastAsia="仿宋_GB2312"/>
          <w:color w:val="000000"/>
          <w:sz w:val="32"/>
          <w:szCs w:val="32"/>
        </w:rPr>
        <w:t>0.80%</w:t>
      </w:r>
      <w:r>
        <w:rPr>
          <w:rFonts w:hint="eastAsia" w:ascii="仿宋_GB2312" w:hAnsi="仿宋" w:eastAsia="仿宋_GB2312"/>
          <w:color w:val="000000"/>
          <w:sz w:val="32"/>
          <w:szCs w:val="32"/>
        </w:rPr>
        <w:t>；住房保障支出</w:t>
      </w:r>
      <w:r>
        <w:rPr>
          <w:rFonts w:ascii="仿宋_GB2312" w:hAnsi="仿宋" w:eastAsia="仿宋_GB2312"/>
          <w:color w:val="000000"/>
          <w:sz w:val="32"/>
          <w:szCs w:val="32"/>
        </w:rPr>
        <w:t>3.32</w:t>
      </w:r>
      <w:r>
        <w:rPr>
          <w:rFonts w:hint="eastAsia" w:ascii="仿宋_GB2312" w:hAnsi="仿宋" w:eastAsia="仿宋_GB2312"/>
          <w:color w:val="000000"/>
          <w:sz w:val="32"/>
          <w:szCs w:val="32"/>
        </w:rPr>
        <w:t>万元，占</w:t>
      </w:r>
      <w:r>
        <w:rPr>
          <w:rFonts w:ascii="仿宋_GB2312" w:hAnsi="仿宋" w:eastAsia="仿宋_GB2312"/>
          <w:color w:val="000000"/>
          <w:sz w:val="32"/>
          <w:szCs w:val="32"/>
        </w:rPr>
        <w:t>5.60%</w:t>
      </w:r>
      <w:r>
        <w:rPr>
          <w:rFonts w:hint="eastAsia" w:ascii="仿宋_GB2312" w:hAnsi="仿宋" w:eastAsia="仿宋_GB2312"/>
          <w:color w:val="000000"/>
          <w:sz w:val="32"/>
          <w:szCs w:val="32"/>
        </w:rPr>
        <w:t>；</w:t>
      </w:r>
      <w:r>
        <w:rPr>
          <w:rFonts w:ascii="仿宋_GB2312" w:hAnsi="仿宋" w:eastAsia="仿宋_GB2312"/>
          <w:color w:val="000000"/>
          <w:sz w:val="32"/>
          <w:szCs w:val="32"/>
        </w:rPr>
        <w:t>…</w:t>
      </w:r>
      <w:r>
        <w:rPr>
          <w:rFonts w:hint="eastAsia" w:ascii="仿宋_GB2312" w:hAnsi="仿宋" w:eastAsia="仿宋_GB2312"/>
          <w:color w:val="000000"/>
          <w:sz w:val="32"/>
          <w:szCs w:val="32"/>
        </w:rPr>
        <w:t>。（罗列全部功能分类科目，至类级。）</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3360" behindDoc="0" locked="0" layoutInCell="1" allowOverlap="1">
            <wp:simplePos x="0" y="0"/>
            <wp:positionH relativeFrom="column">
              <wp:posOffset>-635</wp:posOffset>
            </wp:positionH>
            <wp:positionV relativeFrom="paragraph">
              <wp:posOffset>456565</wp:posOffset>
            </wp:positionV>
            <wp:extent cx="5274310" cy="3076575"/>
            <wp:effectExtent l="0" t="0" r="2540" b="952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000000"/>
          <w:sz w:val="32"/>
          <w:szCs w:val="32"/>
        </w:rPr>
        <w:t>（图6：一般公共预算财政拨款支出决算结构）（饼状图）</w:t>
      </w:r>
    </w:p>
    <w:p>
      <w:pPr>
        <w:spacing w:line="600" w:lineRule="exact"/>
        <w:ind w:firstLine="642" w:firstLineChars="200"/>
        <w:outlineLvl w:val="2"/>
        <w:rPr>
          <w:rFonts w:ascii="仿宋" w:hAnsi="仿宋" w:eastAsia="仿宋"/>
          <w:b/>
          <w:color w:val="000000"/>
          <w:sz w:val="32"/>
          <w:szCs w:val="32"/>
        </w:rPr>
      </w:pPr>
      <w:bookmarkStart w:id="36" w:name="_Toc15377212"/>
    </w:p>
    <w:p>
      <w:pPr>
        <w:spacing w:line="600" w:lineRule="exact"/>
        <w:ind w:firstLine="642" w:firstLineChars="200"/>
        <w:outlineLvl w:val="2"/>
        <w:rPr>
          <w:rFonts w:ascii="仿宋_GB2312" w:hAnsi="仿宋" w:eastAsia="仿宋_GB2312"/>
          <w:b/>
          <w:color w:val="000000"/>
          <w:sz w:val="32"/>
          <w:szCs w:val="32"/>
        </w:rPr>
      </w:pPr>
      <w:r>
        <w:rPr>
          <w:rFonts w:hint="eastAsia" w:ascii="仿宋_GB2312" w:hAnsi="仿宋" w:eastAsia="仿宋_GB2312"/>
          <w:b/>
          <w:color w:val="000000"/>
          <w:sz w:val="32"/>
          <w:szCs w:val="32"/>
        </w:rPr>
        <w:t>（三）一般公共预算财政拨款支出决算具体情况</w:t>
      </w:r>
      <w:bookmarkEnd w:id="36"/>
    </w:p>
    <w:p>
      <w:pPr>
        <w:spacing w:line="600" w:lineRule="exact"/>
        <w:ind w:firstLine="642" w:firstLineChars="200"/>
        <w:outlineLvl w:val="2"/>
        <w:rPr>
          <w:rFonts w:ascii="仿宋_GB2312" w:hAnsi="仿宋" w:eastAsia="仿宋_GB2312"/>
          <w:color w:val="FF0000"/>
          <w:sz w:val="32"/>
          <w:szCs w:val="32"/>
        </w:rPr>
      </w:pPr>
      <w:bookmarkStart w:id="37" w:name="_Toc15377213"/>
      <w:bookmarkStart w:id="38" w:name="_Toc15378460"/>
      <w:bookmarkStart w:id="39" w:name="_Toc15377444"/>
      <w:r>
        <w:rPr>
          <w:rFonts w:hint="eastAsia" w:ascii="仿宋_GB2312" w:hAnsi="仿宋" w:eastAsia="仿宋_GB2312"/>
          <w:b/>
          <w:color w:val="000000" w:themeColor="text1"/>
          <w:sz w:val="32"/>
          <w:szCs w:val="32"/>
        </w:rPr>
        <w:t>20</w:t>
      </w:r>
      <w:r>
        <w:rPr>
          <w:rFonts w:ascii="仿宋_GB2312" w:hAnsi="仿宋" w:eastAsia="仿宋_GB2312"/>
          <w:b/>
          <w:color w:val="000000" w:themeColor="text1"/>
          <w:sz w:val="32"/>
          <w:szCs w:val="32"/>
        </w:rPr>
        <w:t>20</w:t>
      </w:r>
      <w:r>
        <w:rPr>
          <w:rFonts w:hint="eastAsia" w:ascii="仿宋_GB2312" w:hAnsi="仿宋" w:eastAsia="仿宋_GB2312"/>
          <w:b/>
          <w:color w:val="000000" w:themeColor="text1"/>
          <w:sz w:val="32"/>
          <w:szCs w:val="32"/>
        </w:rPr>
        <w:t>年般公共预算支出决算数为</w:t>
      </w:r>
      <w:r>
        <w:rPr>
          <w:rFonts w:ascii="仿宋_GB2312" w:hAnsi="仿宋" w:eastAsia="仿宋_GB2312"/>
          <w:b/>
          <w:color w:val="000000" w:themeColor="text1"/>
          <w:sz w:val="32"/>
          <w:szCs w:val="32"/>
        </w:rPr>
        <w:t>59.24</w:t>
      </w:r>
      <w:r>
        <w:rPr>
          <w:rFonts w:hint="eastAsia" w:ascii="仿宋_GB2312" w:hAnsi="仿宋" w:eastAsia="仿宋_GB2312"/>
          <w:b/>
          <w:color w:val="000000" w:themeColor="text1"/>
          <w:sz w:val="32"/>
          <w:szCs w:val="32"/>
        </w:rPr>
        <w:t>万元</w:t>
      </w:r>
      <w:r>
        <w:rPr>
          <w:rFonts w:hint="eastAsia" w:ascii="仿宋_GB2312" w:hAnsi="仿宋" w:eastAsia="仿宋_GB2312"/>
          <w:color w:val="000000" w:themeColor="text1"/>
          <w:sz w:val="32"/>
          <w:szCs w:val="32"/>
        </w:rPr>
        <w:t>，</w:t>
      </w:r>
      <w:r>
        <w:rPr>
          <w:rStyle w:val="15"/>
          <w:rFonts w:hint="eastAsia" w:ascii="仿宋_GB2312" w:hAnsi="仿宋" w:eastAsia="仿宋_GB2312"/>
          <w:bCs/>
          <w:color w:val="000000" w:themeColor="text1"/>
          <w:sz w:val="32"/>
          <w:szCs w:val="32"/>
        </w:rPr>
        <w:t>完成</w:t>
      </w:r>
      <w:r>
        <w:rPr>
          <w:rStyle w:val="15"/>
          <w:rFonts w:hint="eastAsia" w:ascii="仿宋_GB2312" w:hAnsi="仿宋" w:eastAsia="仿宋_GB2312"/>
          <w:bCs/>
          <w:color w:val="000000"/>
          <w:sz w:val="32"/>
          <w:szCs w:val="32"/>
        </w:rPr>
        <w:t>预算</w:t>
      </w:r>
      <w:r>
        <w:rPr>
          <w:rStyle w:val="15"/>
          <w:rFonts w:ascii="仿宋_GB2312" w:hAnsi="仿宋" w:eastAsia="仿宋_GB2312"/>
          <w:bCs/>
          <w:color w:val="000000"/>
          <w:sz w:val="32"/>
          <w:szCs w:val="32"/>
        </w:rPr>
        <w:t>69.71</w:t>
      </w:r>
      <w:r>
        <w:rPr>
          <w:rStyle w:val="15"/>
          <w:rFonts w:hint="eastAsia" w:ascii="仿宋_GB2312" w:hAnsi="仿宋" w:eastAsia="仿宋_GB2312"/>
          <w:bCs/>
          <w:color w:val="000000"/>
          <w:sz w:val="32"/>
          <w:szCs w:val="32"/>
        </w:rPr>
        <w:t>%。其中：</w:t>
      </w:r>
      <w:bookmarkEnd w:id="37"/>
      <w:bookmarkEnd w:id="38"/>
      <w:bookmarkEnd w:id="39"/>
    </w:p>
    <w:p>
      <w:pPr>
        <w:spacing w:line="600" w:lineRule="exact"/>
        <w:ind w:firstLine="642" w:firstLineChars="200"/>
        <w:rPr>
          <w:rStyle w:val="15"/>
          <w:rFonts w:ascii="仿宋_GB2312" w:eastAsia="仿宋_GB2312"/>
          <w:b w:val="0"/>
          <w:bCs/>
          <w:color w:val="000000"/>
          <w:sz w:val="32"/>
          <w:szCs w:val="32"/>
        </w:rPr>
      </w:pPr>
      <w:r>
        <w:rPr>
          <w:rStyle w:val="15"/>
          <w:rFonts w:hint="eastAsia" w:ascii="仿宋_GB2312" w:eastAsia="仿宋_GB2312" w:cs="仿宋_GB2312"/>
          <w:color w:val="000000"/>
          <w:sz w:val="32"/>
          <w:szCs w:val="32"/>
        </w:rPr>
        <w:t>1.社会保障和就业支出:</w:t>
      </w:r>
      <w:r>
        <w:rPr>
          <w:rFonts w:hint="eastAsia" w:ascii="仿宋_GB2312" w:eastAsia="仿宋_GB2312" w:cs="仿宋_GB2312"/>
          <w:color w:val="000000"/>
          <w:sz w:val="32"/>
          <w:szCs w:val="32"/>
        </w:rPr>
        <w:t>决算数为</w:t>
      </w:r>
      <w:r>
        <w:rPr>
          <w:rStyle w:val="15"/>
          <w:rFonts w:ascii="仿宋_GB2312" w:eastAsia="仿宋_GB2312" w:cs="仿宋_GB2312"/>
          <w:color w:val="000000"/>
          <w:sz w:val="32"/>
          <w:szCs w:val="32"/>
        </w:rPr>
        <w:t>53.36</w:t>
      </w:r>
      <w:r>
        <w:rPr>
          <w:rFonts w:hint="eastAsia" w:ascii="仿宋_GB2312" w:eastAsia="仿宋_GB2312" w:cs="仿宋_GB2312"/>
          <w:color w:val="000000"/>
          <w:sz w:val="32"/>
          <w:szCs w:val="32"/>
        </w:rPr>
        <w:t>万元，完成预算</w:t>
      </w:r>
      <w:r>
        <w:rPr>
          <w:rFonts w:ascii="仿宋_GB2312" w:eastAsia="仿宋_GB2312" w:cs="仿宋_GB2312"/>
          <w:color w:val="000000"/>
          <w:sz w:val="32"/>
          <w:szCs w:val="32"/>
        </w:rPr>
        <w:t>67.46</w:t>
      </w:r>
      <w:r>
        <w:rPr>
          <w:rFonts w:hint="eastAsia" w:ascii="仿宋_GB2312" w:eastAsia="仿宋_GB2312" w:cs="仿宋_GB2312"/>
          <w:color w:val="000000"/>
          <w:sz w:val="32"/>
          <w:szCs w:val="32"/>
        </w:rPr>
        <w:t>%</w:t>
      </w:r>
      <w:r>
        <w:rPr>
          <w:rStyle w:val="15"/>
          <w:rFonts w:hint="eastAsia" w:ascii="仿宋_GB2312" w:eastAsia="仿宋_GB2312" w:cs="仿宋_GB2312"/>
          <w:color w:val="000000"/>
          <w:sz w:val="32"/>
          <w:szCs w:val="32"/>
        </w:rPr>
        <w:t>。</w:t>
      </w:r>
      <w:r>
        <w:rPr>
          <w:rFonts w:hint="eastAsia" w:ascii="仿宋_GB2312" w:eastAsia="仿宋_GB2312" w:cs="仿宋_GB2312"/>
          <w:color w:val="000000"/>
          <w:sz w:val="32"/>
          <w:szCs w:val="32"/>
        </w:rPr>
        <w:t>其中：</w:t>
      </w:r>
      <w:r>
        <w:rPr>
          <w:rStyle w:val="15"/>
          <w:rFonts w:hint="eastAsia" w:ascii="仿宋_GB2312" w:eastAsia="仿宋_GB2312" w:cs="仿宋_GB2312"/>
          <w:color w:val="000000"/>
          <w:sz w:val="32"/>
          <w:szCs w:val="32"/>
        </w:rPr>
        <w:t>机关事业单位基本养老保险缴费支出</w:t>
      </w:r>
      <w:r>
        <w:rPr>
          <w:rStyle w:val="15"/>
          <w:rFonts w:ascii="仿宋_GB2312" w:eastAsia="仿宋_GB2312" w:cs="仿宋_GB2312"/>
          <w:color w:val="000000"/>
          <w:sz w:val="32"/>
          <w:szCs w:val="32"/>
        </w:rPr>
        <w:t>4.59</w:t>
      </w:r>
      <w:r>
        <w:rPr>
          <w:rStyle w:val="15"/>
          <w:rFonts w:hint="eastAsia" w:ascii="仿宋_GB2312" w:eastAsia="仿宋_GB2312" w:cs="仿宋_GB2312"/>
          <w:color w:val="000000"/>
          <w:sz w:val="32"/>
          <w:szCs w:val="32"/>
        </w:rPr>
        <w:t>万元，红十字事业-行政运行</w:t>
      </w:r>
      <w:r>
        <w:rPr>
          <w:rStyle w:val="15"/>
          <w:rFonts w:ascii="仿宋_GB2312" w:eastAsia="仿宋_GB2312" w:cs="仿宋_GB2312"/>
          <w:color w:val="000000"/>
          <w:sz w:val="32"/>
          <w:szCs w:val="32"/>
        </w:rPr>
        <w:t>46.04</w:t>
      </w:r>
      <w:r>
        <w:rPr>
          <w:rStyle w:val="15"/>
          <w:rFonts w:hint="eastAsia" w:ascii="仿宋_GB2312" w:eastAsia="仿宋_GB2312" w:cs="仿宋_GB2312"/>
          <w:color w:val="000000"/>
          <w:sz w:val="32"/>
          <w:szCs w:val="32"/>
        </w:rPr>
        <w:t>万元，红十字事业-其他红十字事业费</w:t>
      </w:r>
      <w:r>
        <w:rPr>
          <w:rStyle w:val="15"/>
          <w:rFonts w:ascii="仿宋_GB2312" w:eastAsia="仿宋_GB2312" w:cs="仿宋_GB2312"/>
          <w:color w:val="000000"/>
          <w:sz w:val="32"/>
          <w:szCs w:val="32"/>
        </w:rPr>
        <w:t>2.52</w:t>
      </w:r>
      <w:r>
        <w:rPr>
          <w:rStyle w:val="15"/>
          <w:rFonts w:hint="eastAsia" w:ascii="仿宋_GB2312" w:eastAsia="仿宋_GB2312" w:cs="仿宋_GB2312"/>
          <w:color w:val="000000"/>
          <w:sz w:val="32"/>
          <w:szCs w:val="32"/>
        </w:rPr>
        <w:t>万元，红十字事业-其他社会保障和就业支出0.</w:t>
      </w:r>
      <w:r>
        <w:rPr>
          <w:rStyle w:val="15"/>
          <w:rFonts w:ascii="仿宋_GB2312" w:eastAsia="仿宋_GB2312" w:cs="仿宋_GB2312"/>
          <w:color w:val="000000"/>
          <w:sz w:val="32"/>
          <w:szCs w:val="32"/>
        </w:rPr>
        <w:t>21</w:t>
      </w:r>
      <w:r>
        <w:rPr>
          <w:rStyle w:val="15"/>
          <w:rFonts w:hint="eastAsia" w:ascii="仿宋_GB2312" w:eastAsia="仿宋_GB2312" w:cs="仿宋_GB2312"/>
          <w:color w:val="000000"/>
          <w:sz w:val="32"/>
          <w:szCs w:val="32"/>
        </w:rPr>
        <w:t>万元。　</w:t>
      </w:r>
    </w:p>
    <w:p>
      <w:pPr>
        <w:spacing w:line="600" w:lineRule="exact"/>
        <w:ind w:firstLine="642" w:firstLineChars="200"/>
        <w:rPr>
          <w:rStyle w:val="15"/>
          <w:rFonts w:ascii="仿宋_GB2312" w:eastAsia="仿宋_GB2312"/>
          <w:color w:val="000000"/>
          <w:sz w:val="32"/>
          <w:szCs w:val="32"/>
        </w:rPr>
      </w:pPr>
      <w:r>
        <w:rPr>
          <w:rStyle w:val="15"/>
          <w:rFonts w:hint="eastAsia" w:ascii="仿宋_GB2312" w:eastAsia="仿宋_GB2312" w:cs="仿宋_GB2312"/>
          <w:sz w:val="32"/>
          <w:szCs w:val="32"/>
        </w:rPr>
        <w:t>2.卫生健康</w:t>
      </w:r>
      <w:r>
        <w:rPr>
          <w:rStyle w:val="15"/>
          <w:rFonts w:hint="eastAsia" w:ascii="仿宋_GB2312" w:eastAsia="仿宋_GB2312" w:cs="仿宋_GB2312"/>
          <w:color w:val="000000"/>
          <w:sz w:val="32"/>
          <w:szCs w:val="32"/>
        </w:rPr>
        <w:t>支出:</w:t>
      </w:r>
      <w:r>
        <w:rPr>
          <w:rFonts w:hint="eastAsia" w:ascii="仿宋_GB2312" w:eastAsia="仿宋_GB2312" w:cs="仿宋_GB2312"/>
          <w:color w:val="000000"/>
          <w:sz w:val="32"/>
          <w:szCs w:val="32"/>
        </w:rPr>
        <w:t>决算数为</w:t>
      </w:r>
      <w:r>
        <w:rPr>
          <w:rStyle w:val="15"/>
          <w:rFonts w:ascii="仿宋_GB2312" w:eastAsia="仿宋_GB2312" w:cs="仿宋_GB2312"/>
          <w:color w:val="000000"/>
          <w:sz w:val="32"/>
          <w:szCs w:val="32"/>
        </w:rPr>
        <w:t>2.07</w:t>
      </w:r>
      <w:r>
        <w:rPr>
          <w:rFonts w:hint="eastAsia" w:ascii="仿宋_GB2312" w:eastAsia="仿宋_GB2312" w:cs="仿宋_GB2312"/>
          <w:color w:val="000000"/>
          <w:sz w:val="32"/>
          <w:szCs w:val="32"/>
        </w:rPr>
        <w:t>万元，完成预算100%。其中：</w:t>
      </w:r>
      <w:r>
        <w:rPr>
          <w:rStyle w:val="15"/>
          <w:rFonts w:hint="eastAsia" w:ascii="仿宋_GB2312" w:eastAsia="仿宋_GB2312" w:cs="仿宋_GB2312"/>
          <w:color w:val="000000"/>
          <w:sz w:val="32"/>
          <w:szCs w:val="32"/>
        </w:rPr>
        <w:t>行政单位医疗费2.</w:t>
      </w:r>
      <w:r>
        <w:rPr>
          <w:rStyle w:val="15"/>
          <w:rFonts w:ascii="仿宋_GB2312" w:eastAsia="仿宋_GB2312" w:cs="仿宋_GB2312"/>
          <w:color w:val="000000"/>
          <w:sz w:val="32"/>
          <w:szCs w:val="32"/>
        </w:rPr>
        <w:t>07</w:t>
      </w:r>
      <w:r>
        <w:rPr>
          <w:rStyle w:val="15"/>
          <w:rFonts w:hint="eastAsia" w:ascii="仿宋_GB2312" w:eastAsia="仿宋_GB2312" w:cs="仿宋_GB2312"/>
          <w:color w:val="000000"/>
          <w:sz w:val="32"/>
          <w:szCs w:val="32"/>
        </w:rPr>
        <w:t>万元。</w:t>
      </w:r>
    </w:p>
    <w:p>
      <w:pPr>
        <w:spacing w:line="60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3、</w:t>
      </w:r>
      <w:r>
        <w:rPr>
          <w:rStyle w:val="15"/>
          <w:rFonts w:hint="eastAsia" w:ascii="仿宋_GB2312" w:eastAsia="仿宋_GB2312" w:cs="仿宋_GB2312"/>
          <w:color w:val="000000"/>
          <w:sz w:val="32"/>
          <w:szCs w:val="32"/>
        </w:rPr>
        <w:t>农林水支出：</w:t>
      </w:r>
      <w:r>
        <w:rPr>
          <w:rFonts w:hint="eastAsia" w:ascii="仿宋_GB2312" w:eastAsia="仿宋_GB2312" w:cs="仿宋_GB2312"/>
          <w:color w:val="000000"/>
          <w:sz w:val="32"/>
          <w:szCs w:val="32"/>
        </w:rPr>
        <w:t>决算数为</w:t>
      </w:r>
      <w:r>
        <w:rPr>
          <w:rStyle w:val="15"/>
          <w:rFonts w:hint="eastAsia" w:ascii="仿宋_GB2312" w:eastAsia="仿宋_GB2312" w:cs="仿宋_GB2312"/>
          <w:color w:val="000000"/>
          <w:sz w:val="32"/>
          <w:szCs w:val="32"/>
        </w:rPr>
        <w:t>0.</w:t>
      </w:r>
      <w:r>
        <w:rPr>
          <w:rStyle w:val="15"/>
          <w:rFonts w:ascii="仿宋_GB2312" w:eastAsia="仿宋_GB2312" w:cs="仿宋_GB2312"/>
          <w:color w:val="000000"/>
          <w:sz w:val="32"/>
          <w:szCs w:val="32"/>
        </w:rPr>
        <w:t>5</w:t>
      </w:r>
      <w:r>
        <w:rPr>
          <w:rFonts w:hint="eastAsia" w:ascii="仿宋_GB2312" w:eastAsia="仿宋_GB2312" w:cs="仿宋_GB2312"/>
          <w:color w:val="000000"/>
          <w:sz w:val="32"/>
          <w:szCs w:val="32"/>
        </w:rPr>
        <w:t>万元，完成预算100%。其中：农林水支出-扶贫-其他扶贫支出0.5万元。</w:t>
      </w:r>
    </w:p>
    <w:p>
      <w:pPr>
        <w:spacing w:line="600" w:lineRule="exact"/>
        <w:ind w:firstLine="640" w:firstLineChars="200"/>
        <w:rPr>
          <w:rFonts w:ascii="仿宋_GB2312" w:hAnsi="仿宋" w:eastAsia="仿宋_GB2312"/>
          <w:b/>
          <w:color w:val="FF0000"/>
          <w:sz w:val="32"/>
          <w:szCs w:val="32"/>
        </w:rPr>
      </w:pPr>
      <w:r>
        <w:rPr>
          <w:rFonts w:hint="eastAsia" w:ascii="仿宋_GB2312" w:eastAsia="仿宋_GB2312" w:cs="仿宋_GB2312"/>
          <w:color w:val="000000"/>
          <w:sz w:val="32"/>
          <w:szCs w:val="32"/>
        </w:rPr>
        <w:t>4、</w:t>
      </w:r>
      <w:r>
        <w:rPr>
          <w:rFonts w:hint="eastAsia" w:ascii="仿宋_GB2312" w:eastAsia="仿宋_GB2312" w:cs="仿宋_GB2312"/>
          <w:b/>
          <w:bCs/>
          <w:color w:val="404040"/>
          <w:sz w:val="32"/>
          <w:szCs w:val="32"/>
        </w:rPr>
        <w:t>住房保障支出：</w:t>
      </w:r>
      <w:r>
        <w:rPr>
          <w:rFonts w:hint="eastAsia" w:ascii="仿宋_GB2312" w:eastAsia="仿宋_GB2312" w:cs="仿宋_GB2312"/>
          <w:color w:val="000000"/>
          <w:sz w:val="32"/>
          <w:szCs w:val="32"/>
        </w:rPr>
        <w:t>决算数为</w:t>
      </w:r>
      <w:r>
        <w:rPr>
          <w:rStyle w:val="15"/>
          <w:rFonts w:ascii="仿宋_GB2312" w:eastAsia="仿宋_GB2312" w:cs="仿宋_GB2312"/>
          <w:color w:val="000000"/>
          <w:sz w:val="32"/>
          <w:szCs w:val="32"/>
        </w:rPr>
        <w:t>3.32</w:t>
      </w:r>
      <w:r>
        <w:rPr>
          <w:rFonts w:hint="eastAsia" w:ascii="仿宋_GB2312" w:eastAsia="仿宋_GB2312" w:cs="仿宋_GB2312"/>
          <w:color w:val="000000"/>
          <w:sz w:val="32"/>
          <w:szCs w:val="32"/>
        </w:rPr>
        <w:t>万元，完成预算100%。其中：</w:t>
      </w:r>
      <w:r>
        <w:rPr>
          <w:rFonts w:hint="eastAsia" w:ascii="仿宋_GB2312" w:eastAsia="仿宋_GB2312" w:cs="仿宋_GB2312"/>
          <w:b/>
          <w:bCs/>
          <w:color w:val="404040"/>
          <w:sz w:val="32"/>
          <w:szCs w:val="32"/>
        </w:rPr>
        <w:t>住房保障支出-住房改革支出-住房公积金</w:t>
      </w:r>
      <w:r>
        <w:rPr>
          <w:rFonts w:ascii="仿宋_GB2312" w:eastAsia="仿宋_GB2312" w:cs="仿宋_GB2312"/>
          <w:b/>
          <w:bCs/>
          <w:color w:val="404040"/>
          <w:sz w:val="32"/>
          <w:szCs w:val="32"/>
        </w:rPr>
        <w:t>3.32</w:t>
      </w:r>
      <w:r>
        <w:rPr>
          <w:rFonts w:hint="eastAsia" w:ascii="仿宋_GB2312" w:eastAsia="仿宋_GB2312" w:cs="仿宋_GB2312"/>
          <w:b/>
          <w:bCs/>
          <w:color w:val="404040"/>
          <w:sz w:val="32"/>
          <w:szCs w:val="32"/>
        </w:rPr>
        <w:t>万元。</w:t>
      </w:r>
      <w:r>
        <w:rPr>
          <w:rFonts w:hint="eastAsia" w:ascii="仿宋_GB2312" w:hAnsi="仿宋" w:eastAsia="仿宋_GB2312"/>
          <w:b/>
          <w:color w:val="FF0000"/>
          <w:sz w:val="32"/>
          <w:szCs w:val="32"/>
        </w:rPr>
        <w:t>（注：数据来源于财决Z01-1表，罗列全部功能分类科目至项级。上述“预算”口径为调整预算数。增减变动原因为决算数&lt;项级&gt;和调整预算数&lt;项级&gt;比较，与预算数持平可以不写原因。）</w:t>
      </w:r>
    </w:p>
    <w:p>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54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20</w:t>
      </w:r>
      <w:r>
        <w:rPr>
          <w:rFonts w:ascii="仿宋_GB2312" w:hAnsi="仿宋" w:eastAsia="仿宋_GB2312"/>
          <w:color w:val="000000"/>
          <w:sz w:val="32"/>
          <w:szCs w:val="32"/>
        </w:rPr>
        <w:t>20</w:t>
      </w:r>
      <w:r>
        <w:rPr>
          <w:rFonts w:hint="eastAsia" w:ascii="仿宋_GB2312" w:hAnsi="仿宋" w:eastAsia="仿宋_GB2312"/>
          <w:color w:val="000000"/>
          <w:sz w:val="32"/>
          <w:szCs w:val="32"/>
        </w:rPr>
        <w:t>年一般公共预算财政拨款基本支出</w:t>
      </w:r>
      <w:r>
        <w:rPr>
          <w:rFonts w:ascii="仿宋_GB2312" w:hAnsi="仿宋" w:eastAsia="仿宋_GB2312"/>
          <w:color w:val="000000"/>
          <w:sz w:val="32"/>
          <w:szCs w:val="32"/>
        </w:rPr>
        <w:t>56.22</w:t>
      </w:r>
      <w:r>
        <w:rPr>
          <w:rFonts w:hint="eastAsia" w:ascii="仿宋_GB2312" w:hAnsi="仿宋" w:eastAsia="仿宋_GB2312"/>
          <w:color w:val="000000"/>
          <w:sz w:val="32"/>
          <w:szCs w:val="32"/>
        </w:rPr>
        <w:t>万元，其中：</w:t>
      </w:r>
    </w:p>
    <w:p>
      <w:pPr>
        <w:spacing w:line="54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人员经费</w:t>
      </w:r>
      <w:r>
        <w:rPr>
          <w:rFonts w:ascii="仿宋_GB2312" w:hAnsi="仿宋" w:eastAsia="仿宋_GB2312"/>
          <w:color w:val="000000"/>
          <w:sz w:val="32"/>
          <w:szCs w:val="32"/>
        </w:rPr>
        <w:t>47.89</w:t>
      </w:r>
      <w:r>
        <w:rPr>
          <w:rFonts w:hint="eastAsia" w:ascii="仿宋_GB2312" w:hAnsi="仿宋" w:eastAsia="仿宋_GB2312"/>
          <w:color w:val="000000"/>
          <w:sz w:val="32"/>
          <w:szCs w:val="32"/>
        </w:rPr>
        <w:t>万元，主要包括：基本工资1</w:t>
      </w:r>
      <w:r>
        <w:rPr>
          <w:rFonts w:ascii="仿宋_GB2312" w:hAnsi="仿宋" w:eastAsia="仿宋_GB2312"/>
          <w:color w:val="000000"/>
          <w:sz w:val="32"/>
          <w:szCs w:val="32"/>
        </w:rPr>
        <w:t>3.67</w:t>
      </w:r>
      <w:r>
        <w:rPr>
          <w:rFonts w:hint="eastAsia" w:ascii="仿宋_GB2312" w:hAnsi="仿宋" w:eastAsia="仿宋_GB2312"/>
          <w:color w:val="000000"/>
          <w:sz w:val="32"/>
          <w:szCs w:val="32"/>
        </w:rPr>
        <w:t>、津贴补贴6</w:t>
      </w:r>
      <w:r>
        <w:rPr>
          <w:rFonts w:ascii="仿宋_GB2312" w:hAnsi="仿宋" w:eastAsia="仿宋_GB2312"/>
          <w:color w:val="000000"/>
          <w:sz w:val="32"/>
          <w:szCs w:val="32"/>
        </w:rPr>
        <w:t>.10</w:t>
      </w:r>
      <w:r>
        <w:rPr>
          <w:rFonts w:hint="eastAsia" w:ascii="仿宋_GB2312" w:hAnsi="仿宋" w:eastAsia="仿宋_GB2312"/>
          <w:color w:val="000000"/>
          <w:sz w:val="32"/>
          <w:szCs w:val="32"/>
        </w:rPr>
        <w:t>万元、奖金1</w:t>
      </w:r>
      <w:r>
        <w:rPr>
          <w:rFonts w:ascii="仿宋_GB2312" w:hAnsi="仿宋" w:eastAsia="仿宋_GB2312"/>
          <w:color w:val="000000"/>
          <w:sz w:val="32"/>
          <w:szCs w:val="32"/>
        </w:rPr>
        <w:t>.17</w:t>
      </w:r>
      <w:r>
        <w:rPr>
          <w:rFonts w:hint="eastAsia" w:ascii="仿宋_GB2312" w:hAnsi="仿宋" w:eastAsia="仿宋_GB2312"/>
          <w:color w:val="000000"/>
          <w:sz w:val="32"/>
          <w:szCs w:val="32"/>
        </w:rPr>
        <w:t>万元、伙食补助费0万元、绩效工资</w:t>
      </w:r>
      <w:r>
        <w:rPr>
          <w:rFonts w:ascii="仿宋_GB2312" w:hAnsi="仿宋" w:eastAsia="仿宋_GB2312"/>
          <w:color w:val="000000"/>
          <w:sz w:val="32"/>
          <w:szCs w:val="32"/>
        </w:rPr>
        <w:t>2.81</w:t>
      </w:r>
      <w:r>
        <w:rPr>
          <w:rFonts w:hint="eastAsia" w:ascii="仿宋_GB2312" w:hAnsi="仿宋" w:eastAsia="仿宋_GB2312"/>
          <w:color w:val="000000"/>
          <w:sz w:val="32"/>
          <w:szCs w:val="32"/>
        </w:rPr>
        <w:t>万元、机关事业单位基本养老保险缴费</w:t>
      </w:r>
      <w:r>
        <w:rPr>
          <w:rFonts w:ascii="仿宋_GB2312" w:hAnsi="仿宋" w:eastAsia="仿宋_GB2312"/>
          <w:color w:val="000000"/>
          <w:sz w:val="32"/>
          <w:szCs w:val="32"/>
        </w:rPr>
        <w:t>4.59</w:t>
      </w:r>
      <w:r>
        <w:rPr>
          <w:rFonts w:hint="eastAsia" w:ascii="仿宋_GB2312" w:hAnsi="仿宋" w:eastAsia="仿宋_GB2312"/>
          <w:color w:val="000000"/>
          <w:sz w:val="32"/>
          <w:szCs w:val="32"/>
        </w:rPr>
        <w:t>万元、职业年金缴费</w:t>
      </w:r>
      <w:r>
        <w:rPr>
          <w:rFonts w:ascii="仿宋_GB2312" w:hAnsi="仿宋" w:eastAsia="仿宋_GB2312"/>
          <w:color w:val="000000"/>
          <w:sz w:val="32"/>
          <w:szCs w:val="32"/>
        </w:rPr>
        <w:t>0</w:t>
      </w:r>
      <w:r>
        <w:rPr>
          <w:rFonts w:hint="eastAsia" w:ascii="仿宋_GB2312" w:hAnsi="仿宋" w:eastAsia="仿宋_GB2312"/>
          <w:color w:val="000000"/>
          <w:sz w:val="32"/>
          <w:szCs w:val="32"/>
        </w:rPr>
        <w:t>万元、其他社会保障缴费2.</w:t>
      </w:r>
      <w:r>
        <w:rPr>
          <w:rFonts w:ascii="仿宋_GB2312" w:hAnsi="仿宋" w:eastAsia="仿宋_GB2312"/>
          <w:color w:val="000000"/>
          <w:sz w:val="32"/>
          <w:szCs w:val="32"/>
        </w:rPr>
        <w:t>85</w:t>
      </w:r>
      <w:r>
        <w:rPr>
          <w:rFonts w:hint="eastAsia" w:ascii="仿宋_GB2312" w:hAnsi="仿宋" w:eastAsia="仿宋_GB2312"/>
          <w:color w:val="000000"/>
          <w:sz w:val="32"/>
          <w:szCs w:val="32"/>
        </w:rPr>
        <w:t>万元、其他工资福利支出</w:t>
      </w:r>
      <w:r>
        <w:rPr>
          <w:rFonts w:ascii="仿宋_GB2312" w:hAnsi="仿宋" w:eastAsia="仿宋_GB2312"/>
          <w:color w:val="000000"/>
          <w:sz w:val="32"/>
          <w:szCs w:val="32"/>
        </w:rPr>
        <w:t>13.39</w:t>
      </w:r>
      <w:r>
        <w:rPr>
          <w:rFonts w:hint="eastAsia" w:ascii="仿宋_GB2312" w:hAnsi="仿宋" w:eastAsia="仿宋_GB2312"/>
          <w:color w:val="000000"/>
          <w:sz w:val="32"/>
          <w:szCs w:val="32"/>
        </w:rPr>
        <w:t>万元、离休费0万元、退休费0万元、抚恤金0万元、生活补助</w:t>
      </w:r>
      <w:r>
        <w:rPr>
          <w:rFonts w:ascii="仿宋_GB2312" w:hAnsi="仿宋" w:eastAsia="仿宋_GB2312"/>
          <w:color w:val="000000"/>
          <w:sz w:val="32"/>
          <w:szCs w:val="32"/>
        </w:rPr>
        <w:t>0.86</w:t>
      </w:r>
      <w:r>
        <w:rPr>
          <w:rFonts w:hint="eastAsia" w:ascii="仿宋_GB2312" w:hAnsi="仿宋" w:eastAsia="仿宋_GB2312"/>
          <w:color w:val="000000"/>
          <w:sz w:val="32"/>
          <w:szCs w:val="32"/>
        </w:rPr>
        <w:t>万元、医疗费补助0万元、奖励金0万元、住房公积金</w:t>
      </w:r>
      <w:r>
        <w:rPr>
          <w:rFonts w:ascii="仿宋_GB2312" w:hAnsi="仿宋" w:eastAsia="仿宋_GB2312"/>
          <w:color w:val="000000"/>
          <w:sz w:val="32"/>
          <w:szCs w:val="32"/>
        </w:rPr>
        <w:t>3.32</w:t>
      </w:r>
      <w:r>
        <w:rPr>
          <w:rFonts w:hint="eastAsia" w:ascii="仿宋_GB2312" w:hAnsi="仿宋" w:eastAsia="仿宋_GB2312"/>
          <w:color w:val="000000"/>
          <w:sz w:val="32"/>
          <w:szCs w:val="32"/>
        </w:rPr>
        <w:t>万元、其他对个人和家庭的补助支出0万元。</w:t>
      </w:r>
      <w:r>
        <w:rPr>
          <w:rFonts w:hint="eastAsia" w:ascii="仿宋_GB2312" w:hAnsi="仿宋" w:eastAsia="仿宋_GB2312"/>
          <w:color w:val="000000"/>
          <w:sz w:val="32"/>
          <w:szCs w:val="32"/>
        </w:rPr>
        <w:br w:type="textWrapping"/>
      </w:r>
      <w:r>
        <w:rPr>
          <w:rFonts w:hint="eastAsia" w:ascii="仿宋_GB2312" w:hAnsi="仿宋" w:eastAsia="仿宋_GB2312"/>
          <w:color w:val="000000"/>
          <w:sz w:val="32"/>
          <w:szCs w:val="32"/>
        </w:rPr>
        <w:t>　　日常公用经费</w:t>
      </w:r>
      <w:r>
        <w:rPr>
          <w:rFonts w:ascii="仿宋_GB2312" w:hAnsi="仿宋" w:eastAsia="仿宋_GB2312"/>
          <w:color w:val="000000"/>
          <w:sz w:val="32"/>
          <w:szCs w:val="32"/>
        </w:rPr>
        <w:t>7.47</w:t>
      </w:r>
      <w:r>
        <w:rPr>
          <w:rFonts w:hint="eastAsia" w:ascii="仿宋_GB2312" w:hAnsi="仿宋" w:eastAsia="仿宋_GB2312"/>
          <w:color w:val="000000"/>
          <w:sz w:val="32"/>
          <w:szCs w:val="32"/>
        </w:rPr>
        <w:t>万元，主要包括：办公费</w:t>
      </w:r>
      <w:r>
        <w:rPr>
          <w:rFonts w:ascii="仿宋_GB2312" w:hAnsi="仿宋" w:eastAsia="仿宋_GB2312"/>
          <w:color w:val="000000"/>
          <w:sz w:val="32"/>
          <w:szCs w:val="32"/>
        </w:rPr>
        <w:t>0.53</w:t>
      </w:r>
      <w:r>
        <w:rPr>
          <w:rFonts w:hint="eastAsia" w:ascii="仿宋_GB2312" w:hAnsi="仿宋" w:eastAsia="仿宋_GB2312"/>
          <w:color w:val="000000"/>
          <w:sz w:val="32"/>
          <w:szCs w:val="32"/>
        </w:rPr>
        <w:t>万元、印刷费0.</w:t>
      </w:r>
      <w:r>
        <w:rPr>
          <w:rFonts w:ascii="仿宋_GB2312" w:hAnsi="仿宋" w:eastAsia="仿宋_GB2312"/>
          <w:color w:val="000000"/>
          <w:sz w:val="32"/>
          <w:szCs w:val="32"/>
        </w:rPr>
        <w:t>97</w:t>
      </w:r>
      <w:r>
        <w:rPr>
          <w:rFonts w:hint="eastAsia" w:ascii="仿宋_GB2312" w:hAnsi="仿宋" w:eastAsia="仿宋_GB2312"/>
          <w:color w:val="000000"/>
          <w:sz w:val="32"/>
          <w:szCs w:val="32"/>
        </w:rPr>
        <w:t>万元、咨询费0万元、手续费0.万元、水电费0.</w:t>
      </w:r>
      <w:r>
        <w:rPr>
          <w:rFonts w:ascii="仿宋_GB2312" w:hAnsi="仿宋" w:eastAsia="仿宋_GB2312"/>
          <w:color w:val="000000"/>
          <w:sz w:val="32"/>
          <w:szCs w:val="32"/>
        </w:rPr>
        <w:t>44</w:t>
      </w:r>
      <w:r>
        <w:rPr>
          <w:rFonts w:hint="eastAsia" w:ascii="仿宋_GB2312" w:hAnsi="仿宋" w:eastAsia="仿宋_GB2312"/>
          <w:color w:val="000000"/>
          <w:sz w:val="32"/>
          <w:szCs w:val="32"/>
        </w:rPr>
        <w:t>万元、邮电费0.</w:t>
      </w:r>
      <w:r>
        <w:rPr>
          <w:rFonts w:ascii="仿宋_GB2312" w:hAnsi="仿宋" w:eastAsia="仿宋_GB2312"/>
          <w:color w:val="000000"/>
          <w:sz w:val="32"/>
          <w:szCs w:val="32"/>
        </w:rPr>
        <w:t>50</w:t>
      </w:r>
      <w:r>
        <w:rPr>
          <w:rFonts w:hint="eastAsia" w:ascii="仿宋_GB2312" w:hAnsi="仿宋" w:eastAsia="仿宋_GB2312"/>
          <w:color w:val="000000"/>
          <w:sz w:val="32"/>
          <w:szCs w:val="32"/>
        </w:rPr>
        <w:t>万元、取暖费0万元、物业管理费0万元、差旅费0.</w:t>
      </w:r>
      <w:r>
        <w:rPr>
          <w:rFonts w:ascii="仿宋_GB2312" w:hAnsi="仿宋" w:eastAsia="仿宋_GB2312"/>
          <w:color w:val="000000"/>
          <w:sz w:val="32"/>
          <w:szCs w:val="32"/>
        </w:rPr>
        <w:t>11</w:t>
      </w:r>
      <w:r>
        <w:rPr>
          <w:rFonts w:hint="eastAsia" w:ascii="仿宋_GB2312" w:hAnsi="仿宋" w:eastAsia="仿宋_GB2312"/>
          <w:color w:val="000000"/>
          <w:sz w:val="32"/>
          <w:szCs w:val="32"/>
        </w:rPr>
        <w:t>万元、因公出国（境）费用0万元、维修（护）费0.</w:t>
      </w:r>
      <w:r>
        <w:rPr>
          <w:rFonts w:ascii="仿宋_GB2312" w:hAnsi="仿宋" w:eastAsia="仿宋_GB2312"/>
          <w:color w:val="000000"/>
          <w:sz w:val="32"/>
          <w:szCs w:val="32"/>
        </w:rPr>
        <w:t>17</w:t>
      </w:r>
      <w:r>
        <w:rPr>
          <w:rFonts w:hint="eastAsia" w:ascii="仿宋_GB2312" w:hAnsi="仿宋" w:eastAsia="仿宋_GB2312"/>
          <w:color w:val="000000"/>
          <w:sz w:val="32"/>
          <w:szCs w:val="32"/>
        </w:rPr>
        <w:t>万元、租赁费0万元、会议费0万元、培训费0万元、公务接待费0.52万元、劳务费</w:t>
      </w:r>
      <w:r>
        <w:rPr>
          <w:rFonts w:ascii="仿宋_GB2312" w:hAnsi="仿宋" w:eastAsia="仿宋_GB2312"/>
          <w:color w:val="000000"/>
          <w:sz w:val="32"/>
          <w:szCs w:val="32"/>
        </w:rPr>
        <w:t>3</w:t>
      </w:r>
      <w:r>
        <w:rPr>
          <w:rFonts w:hint="eastAsia" w:ascii="仿宋_GB2312" w:hAnsi="仿宋" w:eastAsia="仿宋_GB2312"/>
          <w:color w:val="000000"/>
          <w:sz w:val="32"/>
          <w:szCs w:val="32"/>
        </w:rPr>
        <w:t>万元、委托业务费0万元、工会经费0.</w:t>
      </w:r>
      <w:r>
        <w:rPr>
          <w:rFonts w:ascii="仿宋_GB2312" w:hAnsi="仿宋" w:eastAsia="仿宋_GB2312"/>
          <w:color w:val="000000"/>
          <w:sz w:val="32"/>
          <w:szCs w:val="32"/>
        </w:rPr>
        <w:t>28</w:t>
      </w:r>
      <w:r>
        <w:rPr>
          <w:rFonts w:hint="eastAsia" w:ascii="仿宋_GB2312" w:hAnsi="仿宋" w:eastAsia="仿宋_GB2312"/>
          <w:color w:val="000000"/>
          <w:sz w:val="32"/>
          <w:szCs w:val="32"/>
        </w:rPr>
        <w:t>万元、福利费</w:t>
      </w:r>
      <w:r>
        <w:rPr>
          <w:rFonts w:ascii="仿宋_GB2312" w:hAnsi="仿宋" w:eastAsia="仿宋_GB2312"/>
          <w:color w:val="000000"/>
          <w:sz w:val="32"/>
          <w:szCs w:val="32"/>
        </w:rPr>
        <w:t>0.95</w:t>
      </w:r>
      <w:r>
        <w:rPr>
          <w:rFonts w:hint="eastAsia" w:ascii="仿宋_GB2312" w:hAnsi="仿宋" w:eastAsia="仿宋_GB2312"/>
          <w:color w:val="000000"/>
          <w:sz w:val="32"/>
          <w:szCs w:val="32"/>
        </w:rPr>
        <w:t>万元、公务用车运行维护费0万元、其他交通费0.万元、税金及附加费用0万元、其他商品和服务支出0万元、办公设备购置0万元、专用设备购置0万元、信息网络及软件购置更新0万元、其他资本性0万元支出。</w:t>
      </w:r>
    </w:p>
    <w:p>
      <w:pPr>
        <w:spacing w:line="540" w:lineRule="exact"/>
        <w:ind w:firstLine="640"/>
        <w:outlineLvl w:val="1"/>
        <w:rPr>
          <w:rStyle w:val="26"/>
          <w:rFonts w:ascii="仿宋_GB2312" w:hAnsi="黑体" w:eastAsia="仿宋_GB2312"/>
          <w:b w:val="0"/>
        </w:rPr>
      </w:pPr>
      <w:bookmarkStart w:id="42" w:name="_Toc15396609"/>
      <w:bookmarkStart w:id="43" w:name="_Toc15377215"/>
      <w:r>
        <w:rPr>
          <w:rFonts w:hint="eastAsia" w:ascii="仿宋_GB2312" w:eastAsia="仿宋_GB2312"/>
          <w:color w:val="000000"/>
          <w:sz w:val="32"/>
          <w:szCs w:val="32"/>
        </w:rPr>
        <w:t>七、</w:t>
      </w:r>
      <w:r>
        <w:rPr>
          <w:rStyle w:val="26"/>
          <w:rFonts w:hint="eastAsia" w:ascii="仿宋_GB2312" w:hAnsi="黑体" w:eastAsia="仿宋_GB2312"/>
        </w:rPr>
        <w:t>“</w:t>
      </w:r>
      <w:r>
        <w:rPr>
          <w:rStyle w:val="26"/>
          <w:rFonts w:hint="eastAsia" w:ascii="仿宋_GB2312" w:hAnsi="黑体" w:eastAsia="仿宋_GB2312"/>
          <w:b w:val="0"/>
        </w:rPr>
        <w:t>三公”经费财政拨款支出决算情况说明</w:t>
      </w:r>
      <w:bookmarkEnd w:id="42"/>
      <w:bookmarkEnd w:id="43"/>
    </w:p>
    <w:p>
      <w:pPr>
        <w:spacing w:line="540" w:lineRule="exact"/>
        <w:ind w:firstLine="640"/>
        <w:outlineLvl w:val="2"/>
        <w:rPr>
          <w:rFonts w:ascii="仿宋_GB2312" w:hAnsi="仿宋" w:eastAsia="仿宋_GB2312"/>
          <w:b/>
          <w:color w:val="000000"/>
          <w:sz w:val="32"/>
          <w:szCs w:val="32"/>
        </w:rPr>
      </w:pPr>
      <w:bookmarkStart w:id="44" w:name="_Toc15377216"/>
      <w:r>
        <w:rPr>
          <w:rFonts w:hint="eastAsia" w:ascii="仿宋_GB2312" w:hAnsi="仿宋" w:eastAsia="仿宋_GB2312"/>
          <w:b/>
          <w:color w:val="000000"/>
          <w:sz w:val="32"/>
          <w:szCs w:val="32"/>
        </w:rPr>
        <w:t>（一）“三公”经费财政拨款支出决算总体情况说明</w:t>
      </w:r>
      <w:bookmarkEnd w:id="44"/>
    </w:p>
    <w:p>
      <w:pPr>
        <w:spacing w:line="54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20</w:t>
      </w:r>
      <w:r>
        <w:rPr>
          <w:rFonts w:ascii="仿宋_GB2312" w:hAnsi="仿宋" w:eastAsia="仿宋_GB2312"/>
          <w:color w:val="000000"/>
          <w:sz w:val="32"/>
          <w:szCs w:val="32"/>
        </w:rPr>
        <w:t>20</w:t>
      </w:r>
      <w:r>
        <w:rPr>
          <w:rFonts w:hint="eastAsia" w:ascii="仿宋_GB2312" w:hAnsi="仿宋" w:eastAsia="仿宋_GB2312"/>
          <w:color w:val="000000"/>
          <w:sz w:val="32"/>
          <w:szCs w:val="32"/>
        </w:rPr>
        <w:t>年“三公”经费财政拨款支出决算为0.52万元，完成预算100%，与预算数持平。</w:t>
      </w:r>
    </w:p>
    <w:p>
      <w:pPr>
        <w:spacing w:line="540" w:lineRule="exact"/>
        <w:ind w:firstLine="640"/>
        <w:rPr>
          <w:rFonts w:ascii="仿宋_GB2312" w:hAnsi="仿宋" w:eastAsia="仿宋_GB2312"/>
          <w:b/>
          <w:color w:val="FF0000"/>
          <w:sz w:val="32"/>
          <w:szCs w:val="32"/>
        </w:rPr>
      </w:pPr>
      <w:r>
        <w:rPr>
          <w:rFonts w:hint="eastAsia" w:ascii="仿宋_GB2312" w:hAnsi="仿宋" w:eastAsia="仿宋_GB2312"/>
          <w:b/>
          <w:color w:val="FF0000"/>
          <w:sz w:val="32"/>
          <w:szCs w:val="32"/>
        </w:rPr>
        <w:t>（注：上述“预算”口径为调整预算数，包括政府性基金支出决算情况。）</w:t>
      </w:r>
    </w:p>
    <w:p>
      <w:pPr>
        <w:spacing w:line="540" w:lineRule="exact"/>
        <w:ind w:firstLine="640"/>
        <w:outlineLvl w:val="2"/>
        <w:rPr>
          <w:rFonts w:ascii="仿宋_GB2312" w:hAnsi="仿宋" w:eastAsia="仿宋_GB2312"/>
          <w:b/>
          <w:color w:val="000000"/>
          <w:sz w:val="32"/>
          <w:szCs w:val="32"/>
        </w:rPr>
      </w:pPr>
      <w:bookmarkStart w:id="45" w:name="_Toc15377217"/>
      <w:r>
        <w:rPr>
          <w:rFonts w:hint="eastAsia" w:ascii="仿宋_GB2312" w:hAnsi="仿宋" w:eastAsia="仿宋_GB2312"/>
          <w:b/>
          <w:color w:val="000000"/>
          <w:sz w:val="32"/>
          <w:szCs w:val="32"/>
        </w:rPr>
        <w:t>（二）“三公”经费财政拨款支出决算具体情况说明</w:t>
      </w:r>
      <w:bookmarkEnd w:id="45"/>
    </w:p>
    <w:p>
      <w:pPr>
        <w:spacing w:line="54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20</w:t>
      </w:r>
      <w:r>
        <w:rPr>
          <w:rFonts w:ascii="仿宋_GB2312" w:hAnsi="仿宋" w:eastAsia="仿宋_GB2312"/>
          <w:color w:val="000000"/>
          <w:sz w:val="32"/>
          <w:szCs w:val="32"/>
        </w:rPr>
        <w:t>20</w:t>
      </w:r>
      <w:r>
        <w:rPr>
          <w:rFonts w:hint="eastAsia" w:ascii="仿宋_GB2312" w:hAnsi="仿宋" w:eastAsia="仿宋_GB2312"/>
          <w:color w:val="000000"/>
          <w:sz w:val="32"/>
          <w:szCs w:val="32"/>
        </w:rPr>
        <w:t>年“三公”经费财政拨款支出决算中，因公出国（境）费支出决算0万元，占0%；公务用车购置及运行维护费支出决算0万元，占0%；公务接待费支出决算0.52万元，占100%。具体情况如下：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r>
        <w:rPr>
          <w:rFonts w:ascii="仿宋" w:hAnsi="仿宋" w:eastAsia="仿宋"/>
          <w:color w:val="000000"/>
          <w:sz w:val="32"/>
          <w:szCs w:val="32"/>
        </w:rPr>
        <w:drawing>
          <wp:anchor distT="0" distB="0" distL="114300" distR="114300" simplePos="0" relativeHeight="251660288" behindDoc="0" locked="0" layoutInCell="1" allowOverlap="1">
            <wp:simplePos x="0" y="0"/>
            <wp:positionH relativeFrom="column">
              <wp:posOffset>-3810</wp:posOffset>
            </wp:positionH>
            <wp:positionV relativeFrom="paragraph">
              <wp:posOffset>666115</wp:posOffset>
            </wp:positionV>
            <wp:extent cx="5274310" cy="3137535"/>
            <wp:effectExtent l="0" t="0" r="2540" b="571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ascii="仿宋" w:hAnsi="仿宋" w:eastAsia="仿宋"/>
          <w:color w:val="000000"/>
          <w:sz w:val="32"/>
          <w:szCs w:val="32"/>
        </w:rPr>
      </w:pPr>
    </w:p>
    <w:p>
      <w:pPr>
        <w:spacing w:line="540" w:lineRule="exact"/>
        <w:ind w:firstLine="640"/>
        <w:rPr>
          <w:rFonts w:ascii="仿宋_GB2312" w:eastAsia="仿宋_GB2312"/>
          <w:b/>
          <w:color w:val="000000"/>
          <w:sz w:val="32"/>
          <w:szCs w:val="32"/>
        </w:rPr>
      </w:pPr>
      <w:r>
        <w:rPr>
          <w:rFonts w:hint="eastAsia" w:ascii="仿宋_GB2312" w:eastAsia="仿宋_GB2312"/>
          <w:b/>
          <w:color w:val="000000"/>
          <w:sz w:val="32"/>
          <w:szCs w:val="32"/>
        </w:rPr>
        <w:t>1.因公出国（境）经费支出</w:t>
      </w:r>
      <w:r>
        <w:rPr>
          <w:rFonts w:hint="eastAsia" w:ascii="仿宋_GB2312" w:eastAsia="仿宋_GB2312"/>
          <w:color w:val="000000"/>
          <w:sz w:val="32"/>
          <w:szCs w:val="32"/>
        </w:rPr>
        <w:t>0万元，</w:t>
      </w:r>
      <w:r>
        <w:rPr>
          <w:rStyle w:val="15"/>
          <w:rFonts w:hint="eastAsia" w:ascii="仿宋_GB2312" w:hAnsi="仿宋" w:eastAsia="仿宋_GB2312"/>
          <w:b w:val="0"/>
          <w:bCs/>
          <w:color w:val="000000"/>
          <w:sz w:val="32"/>
          <w:szCs w:val="32"/>
        </w:rPr>
        <w:t>完成预算10</w:t>
      </w:r>
      <w:r>
        <w:rPr>
          <w:rFonts w:hint="eastAsia" w:ascii="仿宋_GB2312" w:eastAsia="仿宋_GB2312"/>
          <w:color w:val="000000"/>
          <w:sz w:val="32"/>
          <w:szCs w:val="32"/>
        </w:rPr>
        <w:t>0</w:t>
      </w:r>
      <w:r>
        <w:rPr>
          <w:rStyle w:val="15"/>
          <w:rFonts w:hint="eastAsia" w:ascii="仿宋_GB2312" w:hAnsi="仿宋" w:eastAsia="仿宋_GB2312"/>
          <w:b w:val="0"/>
          <w:bCs/>
          <w:color w:val="000000"/>
          <w:sz w:val="32"/>
          <w:szCs w:val="32"/>
        </w:rPr>
        <w:t>%。</w:t>
      </w:r>
      <w:r>
        <w:rPr>
          <w:rFonts w:hint="eastAsia" w:ascii="仿宋_GB2312" w:eastAsia="仿宋_GB2312"/>
          <w:color w:val="000000"/>
          <w:sz w:val="32"/>
          <w:szCs w:val="32"/>
        </w:rPr>
        <w:t>全年安排因公出国（境）团组0次，出国（境）0人。因公出国（境）支出决算与201</w:t>
      </w:r>
      <w:r>
        <w:rPr>
          <w:rFonts w:ascii="仿宋_GB2312" w:eastAsia="仿宋_GB2312"/>
          <w:color w:val="000000"/>
          <w:sz w:val="32"/>
          <w:szCs w:val="32"/>
        </w:rPr>
        <w:t>9</w:t>
      </w:r>
      <w:r>
        <w:rPr>
          <w:rFonts w:hint="eastAsia" w:ascii="仿宋_GB2312" w:eastAsia="仿宋_GB2312"/>
          <w:color w:val="000000"/>
          <w:sz w:val="32"/>
          <w:szCs w:val="32"/>
        </w:rPr>
        <w:t>年持平。</w:t>
      </w:r>
    </w:p>
    <w:p>
      <w:pPr>
        <w:spacing w:line="600" w:lineRule="exact"/>
        <w:ind w:firstLine="642" w:firstLineChars="200"/>
        <w:rPr>
          <w:rFonts w:ascii="仿宋_GB2312" w:eastAsia="仿宋_GB2312"/>
          <w:color w:val="000000"/>
          <w:sz w:val="32"/>
          <w:szCs w:val="32"/>
        </w:rPr>
      </w:pPr>
      <w:r>
        <w:rPr>
          <w:rFonts w:hint="eastAsia" w:ascii="仿宋_GB2312" w:eastAsia="仿宋_GB2312"/>
          <w:b/>
          <w:color w:val="000000"/>
          <w:sz w:val="32"/>
          <w:szCs w:val="32"/>
        </w:rPr>
        <w:t>2.公务用车购置及运行维护费支出</w:t>
      </w:r>
      <w:r>
        <w:rPr>
          <w:rFonts w:hint="eastAsia" w:ascii="仿宋_GB2312" w:eastAsia="仿宋_GB2312"/>
          <w:color w:val="000000"/>
          <w:sz w:val="32"/>
          <w:szCs w:val="32"/>
        </w:rPr>
        <w:t>0万元,</w:t>
      </w:r>
      <w:r>
        <w:rPr>
          <w:rStyle w:val="15"/>
          <w:rFonts w:hint="eastAsia" w:ascii="仿宋_GB2312" w:hAnsi="仿宋" w:eastAsia="仿宋_GB2312"/>
          <w:b w:val="0"/>
          <w:bCs/>
          <w:color w:val="000000"/>
          <w:sz w:val="32"/>
          <w:szCs w:val="32"/>
        </w:rPr>
        <w:t>完成预算100%。</w:t>
      </w:r>
      <w:r>
        <w:rPr>
          <w:rFonts w:hint="eastAsia" w:ascii="仿宋_GB2312" w:eastAsia="仿宋_GB2312"/>
          <w:color w:val="000000"/>
          <w:sz w:val="32"/>
          <w:szCs w:val="32"/>
        </w:rPr>
        <w:t>公务用车购置及运行维护费支出决算与201</w:t>
      </w:r>
      <w:r>
        <w:rPr>
          <w:rFonts w:ascii="仿宋_GB2312" w:eastAsia="仿宋_GB2312"/>
          <w:color w:val="000000"/>
          <w:sz w:val="32"/>
          <w:szCs w:val="32"/>
        </w:rPr>
        <w:t>9</w:t>
      </w:r>
      <w:r>
        <w:rPr>
          <w:rFonts w:hint="eastAsia" w:ascii="仿宋_GB2312" w:eastAsia="仿宋_GB2312"/>
          <w:color w:val="000000"/>
          <w:sz w:val="32"/>
          <w:szCs w:val="32"/>
        </w:rPr>
        <w:t>年持平。</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0</w:t>
      </w:r>
      <w:r>
        <w:rPr>
          <w:rFonts w:hint="eastAsia" w:ascii="仿宋_GB2312" w:eastAsia="仿宋_GB2312"/>
          <w:color w:val="000000"/>
          <w:sz w:val="32"/>
          <w:szCs w:val="32"/>
        </w:rPr>
        <w:t>万元。全年按规定更新购置公务用车</w:t>
      </w:r>
      <w:r>
        <w:rPr>
          <w:rFonts w:ascii="仿宋_GB2312" w:eastAsia="仿宋_GB2312"/>
          <w:color w:val="000000"/>
          <w:sz w:val="32"/>
          <w:szCs w:val="32"/>
        </w:rPr>
        <w:t>0</w:t>
      </w:r>
      <w:r>
        <w:rPr>
          <w:rFonts w:hint="eastAsia" w:ascii="仿宋_GB2312" w:eastAsia="仿宋_GB2312"/>
          <w:color w:val="000000"/>
          <w:sz w:val="32"/>
          <w:szCs w:val="32"/>
        </w:rPr>
        <w:t>辆，其中：轿车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万元，越野车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万元，载客汽车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0</w:t>
      </w:r>
      <w:r>
        <w:rPr>
          <w:rFonts w:hint="eastAsia" w:ascii="仿宋_GB2312" w:eastAsia="仿宋_GB2312"/>
          <w:color w:val="000000"/>
          <w:sz w:val="32"/>
          <w:szCs w:val="32"/>
        </w:rPr>
        <w:t>辆，其中：轿车</w:t>
      </w:r>
      <w:r>
        <w:rPr>
          <w:rFonts w:ascii="仿宋_GB2312" w:eastAsia="仿宋_GB2312"/>
          <w:color w:val="000000"/>
          <w:sz w:val="32"/>
          <w:szCs w:val="32"/>
        </w:rPr>
        <w:t>0</w:t>
      </w:r>
      <w:r>
        <w:rPr>
          <w:rFonts w:hint="eastAsia" w:ascii="仿宋_GB2312" w:eastAsia="仿宋_GB2312"/>
          <w:color w:val="000000"/>
          <w:sz w:val="32"/>
          <w:szCs w:val="32"/>
        </w:rPr>
        <w:t>辆、越野车</w:t>
      </w:r>
      <w:r>
        <w:rPr>
          <w:rFonts w:ascii="仿宋_GB2312" w:eastAsia="仿宋_GB2312"/>
          <w:color w:val="000000"/>
          <w:sz w:val="32"/>
          <w:szCs w:val="32"/>
        </w:rPr>
        <w:t>0</w:t>
      </w:r>
      <w:r>
        <w:rPr>
          <w:rFonts w:hint="eastAsia" w:ascii="仿宋_GB2312" w:eastAsia="仿宋_GB2312"/>
          <w:color w:val="000000"/>
          <w:sz w:val="32"/>
          <w:szCs w:val="32"/>
        </w:rPr>
        <w:t>辆、载客汽车</w:t>
      </w:r>
      <w:r>
        <w:rPr>
          <w:rFonts w:ascii="仿宋_GB2312" w:eastAsia="仿宋_GB2312"/>
          <w:color w:val="000000"/>
          <w:sz w:val="32"/>
          <w:szCs w:val="32"/>
        </w:rPr>
        <w:t>0</w:t>
      </w:r>
      <w:r>
        <w:rPr>
          <w:rFonts w:hint="eastAsia" w:ascii="仿宋_GB2312" w:eastAsia="仿宋_GB2312"/>
          <w:color w:val="000000"/>
          <w:sz w:val="32"/>
          <w:szCs w:val="32"/>
        </w:rPr>
        <w:t>辆。</w:t>
      </w:r>
    </w:p>
    <w:p>
      <w:pPr>
        <w:spacing w:line="540" w:lineRule="exact"/>
        <w:ind w:firstLine="640"/>
        <w:rPr>
          <w:rFonts w:ascii="仿宋_GB2312" w:eastAsia="仿宋_GB2312"/>
          <w:color w:val="000000"/>
          <w:sz w:val="32"/>
          <w:szCs w:val="32"/>
        </w:rPr>
      </w:pPr>
    </w:p>
    <w:p>
      <w:pPr>
        <w:spacing w:line="54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w:t>
      </w:r>
    </w:p>
    <w:p>
      <w:pPr>
        <w:spacing w:line="540" w:lineRule="exact"/>
        <w:ind w:firstLine="640"/>
        <w:rPr>
          <w:rFonts w:ascii="仿宋_GB2312" w:eastAsia="仿宋_GB2312"/>
          <w:color w:val="000000"/>
          <w:sz w:val="32"/>
          <w:szCs w:val="32"/>
        </w:rPr>
      </w:pPr>
      <w:r>
        <w:rPr>
          <w:rFonts w:hint="eastAsia" w:ascii="仿宋_GB2312" w:eastAsia="仿宋_GB2312"/>
          <w:b/>
          <w:color w:val="000000"/>
          <w:sz w:val="32"/>
          <w:szCs w:val="32"/>
        </w:rPr>
        <w:t>3.公务接待费支出</w:t>
      </w:r>
      <w:r>
        <w:rPr>
          <w:rFonts w:hint="eastAsia" w:ascii="仿宋_GB2312" w:eastAsia="仿宋_GB2312"/>
          <w:color w:val="000000"/>
          <w:sz w:val="32"/>
          <w:szCs w:val="32"/>
        </w:rPr>
        <w:t>0.52万元，</w:t>
      </w:r>
      <w:r>
        <w:rPr>
          <w:rStyle w:val="15"/>
          <w:rFonts w:hint="eastAsia" w:ascii="仿宋_GB2312" w:hAnsi="仿宋" w:eastAsia="仿宋_GB2312"/>
          <w:b w:val="0"/>
          <w:bCs/>
          <w:color w:val="000000"/>
          <w:sz w:val="32"/>
          <w:szCs w:val="32"/>
        </w:rPr>
        <w:t>完成预算100%。</w:t>
      </w:r>
      <w:r>
        <w:rPr>
          <w:rFonts w:hint="eastAsia" w:ascii="仿宋_GB2312" w:eastAsia="仿宋_GB2312"/>
          <w:color w:val="000000"/>
          <w:sz w:val="32"/>
          <w:szCs w:val="32"/>
        </w:rPr>
        <w:t>公务接待费支出决算与201</w:t>
      </w:r>
      <w:r>
        <w:rPr>
          <w:rFonts w:ascii="仿宋_GB2312" w:eastAsia="仿宋_GB2312"/>
          <w:color w:val="000000"/>
          <w:sz w:val="32"/>
          <w:szCs w:val="32"/>
        </w:rPr>
        <w:t>9</w:t>
      </w:r>
      <w:r>
        <w:rPr>
          <w:rFonts w:hint="eastAsia" w:ascii="仿宋_GB2312" w:eastAsia="仿宋_GB2312"/>
          <w:color w:val="000000"/>
          <w:sz w:val="32"/>
          <w:szCs w:val="32"/>
        </w:rPr>
        <w:t>年持平。</w:t>
      </w:r>
    </w:p>
    <w:p>
      <w:pPr>
        <w:spacing w:line="540" w:lineRule="exact"/>
        <w:ind w:firstLine="640"/>
        <w:rPr>
          <w:rFonts w:ascii="仿宋_GB2312" w:eastAsia="仿宋_GB2312"/>
          <w:color w:val="000000"/>
          <w:sz w:val="32"/>
          <w:szCs w:val="32"/>
        </w:rPr>
      </w:pPr>
      <w:r>
        <w:rPr>
          <w:rFonts w:hint="eastAsia" w:ascii="仿宋_GB2312" w:hAnsi="仿宋" w:eastAsia="仿宋_GB2312"/>
          <w:b/>
          <w:color w:val="000000"/>
          <w:sz w:val="32"/>
          <w:szCs w:val="32"/>
        </w:rPr>
        <w:t>国内公务接待支出</w:t>
      </w:r>
      <w:r>
        <w:rPr>
          <w:rFonts w:hint="eastAsia" w:ascii="仿宋_GB2312" w:hAnsi="仿宋" w:eastAsia="仿宋_GB2312"/>
          <w:color w:val="000000"/>
          <w:sz w:val="32"/>
          <w:szCs w:val="32"/>
        </w:rPr>
        <w:t>0.52</w:t>
      </w:r>
      <w:r>
        <w:rPr>
          <w:rFonts w:hint="eastAsia" w:ascii="仿宋_GB2312" w:eastAsia="仿宋_GB2312"/>
          <w:color w:val="000000"/>
          <w:sz w:val="32"/>
          <w:szCs w:val="32"/>
        </w:rPr>
        <w:t>万元，主要用于执行公务、开展业务活动开支的用餐费。国内公务接待</w:t>
      </w:r>
      <w:r>
        <w:rPr>
          <w:rFonts w:ascii="仿宋_GB2312" w:eastAsia="仿宋_GB2312"/>
          <w:color w:val="000000"/>
          <w:sz w:val="32"/>
          <w:szCs w:val="32"/>
        </w:rPr>
        <w:t>18</w:t>
      </w:r>
      <w:r>
        <w:rPr>
          <w:rFonts w:hint="eastAsia" w:ascii="仿宋_GB2312" w:eastAsia="仿宋_GB2312"/>
          <w:color w:val="000000"/>
          <w:sz w:val="32"/>
          <w:szCs w:val="32"/>
        </w:rPr>
        <w:t>批次，</w:t>
      </w:r>
      <w:r>
        <w:rPr>
          <w:rFonts w:ascii="仿宋_GB2312" w:eastAsia="仿宋_GB2312"/>
          <w:color w:val="000000"/>
          <w:sz w:val="32"/>
          <w:szCs w:val="32"/>
        </w:rPr>
        <w:t>91</w:t>
      </w:r>
      <w:r>
        <w:rPr>
          <w:rFonts w:hint="eastAsia" w:ascii="仿宋_GB2312" w:eastAsia="仿宋_GB2312"/>
          <w:color w:val="000000"/>
          <w:sz w:val="32"/>
          <w:szCs w:val="32"/>
        </w:rPr>
        <w:t>人次（不包括陪同人员），共计支出0.52万元，具体内容包括：脱贫攻坚</w:t>
      </w:r>
      <w:r>
        <w:rPr>
          <w:rFonts w:ascii="仿宋_GB2312" w:eastAsia="仿宋_GB2312" w:cs="仿宋_GB2312"/>
          <w:color w:val="000000"/>
          <w:sz w:val="32"/>
          <w:szCs w:val="32"/>
        </w:rPr>
        <w:t>1</w:t>
      </w:r>
      <w:r>
        <w:rPr>
          <w:rFonts w:hint="eastAsia" w:ascii="仿宋_GB2312" w:eastAsia="仿宋_GB2312" w:cs="仿宋_GB2312"/>
          <w:color w:val="000000"/>
          <w:sz w:val="32"/>
          <w:szCs w:val="32"/>
        </w:rPr>
        <w:t>批次，0.</w:t>
      </w:r>
      <w:r>
        <w:rPr>
          <w:rFonts w:ascii="仿宋_GB2312" w:eastAsia="仿宋_GB2312" w:cs="仿宋_GB2312"/>
          <w:color w:val="000000"/>
          <w:sz w:val="32"/>
          <w:szCs w:val="32"/>
        </w:rPr>
        <w:t>05</w:t>
      </w:r>
      <w:r>
        <w:rPr>
          <w:rFonts w:hint="eastAsia" w:ascii="仿宋_GB2312" w:eastAsia="仿宋_GB2312" w:cs="仿宋_GB2312"/>
          <w:color w:val="000000"/>
          <w:sz w:val="32"/>
          <w:szCs w:val="32"/>
        </w:rPr>
        <w:t>万元；重点项目</w:t>
      </w:r>
      <w:r>
        <w:rPr>
          <w:rFonts w:ascii="仿宋_GB2312" w:eastAsia="仿宋_GB2312" w:cs="仿宋_GB2312"/>
          <w:color w:val="000000"/>
          <w:sz w:val="32"/>
          <w:szCs w:val="32"/>
        </w:rPr>
        <w:t>9</w:t>
      </w:r>
      <w:r>
        <w:rPr>
          <w:rFonts w:hint="eastAsia" w:ascii="仿宋_GB2312" w:eastAsia="仿宋_GB2312" w:cs="仿宋_GB2312"/>
          <w:color w:val="000000"/>
          <w:sz w:val="32"/>
          <w:szCs w:val="32"/>
        </w:rPr>
        <w:t>批次，0.</w:t>
      </w:r>
      <w:r>
        <w:rPr>
          <w:rFonts w:ascii="仿宋_GB2312" w:eastAsia="仿宋_GB2312" w:cs="仿宋_GB2312"/>
          <w:color w:val="000000"/>
          <w:sz w:val="32"/>
          <w:szCs w:val="32"/>
        </w:rPr>
        <w:t>25</w:t>
      </w:r>
      <w:r>
        <w:rPr>
          <w:rFonts w:hint="eastAsia" w:ascii="仿宋_GB2312" w:eastAsia="仿宋_GB2312" w:cs="仿宋_GB2312"/>
          <w:color w:val="000000"/>
          <w:sz w:val="32"/>
          <w:szCs w:val="32"/>
        </w:rPr>
        <w:t>万元；疫情防控8次，0.22万元</w:t>
      </w:r>
      <w:r>
        <w:rPr>
          <w:rFonts w:hint="eastAsia" w:ascii="仿宋_GB2312" w:eastAsia="仿宋_GB2312"/>
          <w:color w:val="000000"/>
          <w:sz w:val="32"/>
          <w:szCs w:val="32"/>
        </w:rPr>
        <w:t>。</w:t>
      </w:r>
    </w:p>
    <w:p>
      <w:pPr>
        <w:spacing w:line="540" w:lineRule="exact"/>
        <w:ind w:firstLine="642" w:firstLineChars="200"/>
        <w:rPr>
          <w:rFonts w:ascii="仿宋_GB2312" w:eastAsia="仿宋_GB2312"/>
          <w:color w:val="000000" w:themeColor="text1"/>
          <w:sz w:val="32"/>
          <w:szCs w:val="32"/>
        </w:rPr>
      </w:pPr>
      <w:r>
        <w:rPr>
          <w:rFonts w:hint="eastAsia" w:ascii="仿宋_GB2312" w:hAnsi="仿宋" w:eastAsia="仿宋_GB2312"/>
          <w:b/>
          <w:color w:val="000000"/>
          <w:sz w:val="32"/>
          <w:szCs w:val="32"/>
        </w:rPr>
        <w:t>无外事接待支出</w:t>
      </w:r>
      <w:r>
        <w:rPr>
          <w:rFonts w:hint="eastAsia" w:ascii="仿宋_GB2312" w:eastAsia="仿宋_GB2312"/>
          <w:color w:val="000000"/>
          <w:sz w:val="32"/>
          <w:szCs w:val="32"/>
        </w:rPr>
        <w:t>。</w:t>
      </w:r>
      <w:bookmarkStart w:id="46" w:name="_Toc15396610"/>
      <w:bookmarkStart w:id="47" w:name="_Toc15377218"/>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年政府性基金预算拨款支出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600" w:lineRule="exact"/>
        <w:ind w:firstLine="640" w:firstLineChars="200"/>
        <w:outlineLvl w:val="1"/>
        <w:rPr>
          <w:rStyle w:val="26"/>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hAnsi="仿宋" w:eastAsia="仿宋_GB2312"/>
          <w:color w:val="000000"/>
          <w:sz w:val="32"/>
          <w:szCs w:val="32"/>
        </w:rPr>
      </w:pPr>
      <w:r>
        <w:rPr>
          <w:rFonts w:hint="eastAsia" w:ascii="仿宋_GB2312" w:eastAsia="仿宋_GB2312"/>
          <w:color w:val="000000"/>
          <w:sz w:val="32"/>
          <w:szCs w:val="32"/>
        </w:rPr>
        <w:t>20</w:t>
      </w:r>
      <w:r>
        <w:rPr>
          <w:rFonts w:ascii="仿宋_GB2312" w:eastAsia="仿宋_GB2312"/>
          <w:color w:val="000000"/>
          <w:sz w:val="32"/>
          <w:szCs w:val="32"/>
        </w:rPr>
        <w:t>20</w:t>
      </w:r>
      <w:r>
        <w:rPr>
          <w:rFonts w:hint="eastAsia" w:ascii="仿宋_GB2312" w:eastAsia="仿宋_GB2312"/>
          <w:color w:val="000000"/>
          <w:sz w:val="32"/>
          <w:szCs w:val="32"/>
        </w:rPr>
        <w:t>年，机关运行经费支出</w:t>
      </w:r>
      <w:r>
        <w:rPr>
          <w:rFonts w:ascii="仿宋_GB2312" w:eastAsia="仿宋_GB2312"/>
          <w:color w:val="000000"/>
          <w:sz w:val="32"/>
          <w:szCs w:val="32"/>
        </w:rPr>
        <w:t>7.47</w:t>
      </w:r>
      <w:r>
        <w:rPr>
          <w:rFonts w:hint="eastAsia" w:ascii="仿宋_GB2312" w:eastAsia="仿宋_GB2312"/>
          <w:color w:val="000000"/>
          <w:sz w:val="32"/>
          <w:szCs w:val="32"/>
        </w:rPr>
        <w:t>万元，比201</w:t>
      </w:r>
      <w:r>
        <w:rPr>
          <w:rFonts w:ascii="仿宋_GB2312" w:eastAsia="仿宋_GB2312"/>
          <w:color w:val="000000"/>
          <w:sz w:val="32"/>
          <w:szCs w:val="32"/>
        </w:rPr>
        <w:t>9</w:t>
      </w:r>
      <w:r>
        <w:rPr>
          <w:rFonts w:hint="eastAsia" w:ascii="仿宋_GB2312" w:eastAsia="仿宋_GB2312"/>
          <w:color w:val="000000"/>
          <w:sz w:val="32"/>
          <w:szCs w:val="32"/>
        </w:rPr>
        <w:t>年增加</w:t>
      </w:r>
      <w:r>
        <w:rPr>
          <w:rFonts w:ascii="仿宋_GB2312" w:eastAsia="仿宋_GB2312"/>
          <w:color w:val="000000"/>
          <w:sz w:val="32"/>
          <w:szCs w:val="32"/>
        </w:rPr>
        <w:t>1.56</w:t>
      </w:r>
      <w:r>
        <w:rPr>
          <w:rFonts w:hint="eastAsia" w:ascii="仿宋_GB2312" w:eastAsia="仿宋_GB2312"/>
          <w:color w:val="000000"/>
          <w:sz w:val="32"/>
          <w:szCs w:val="32"/>
        </w:rPr>
        <w:t>万元，增长2</w:t>
      </w:r>
      <w:r>
        <w:rPr>
          <w:rFonts w:ascii="仿宋_GB2312" w:eastAsia="仿宋_GB2312"/>
          <w:color w:val="000000"/>
          <w:sz w:val="32"/>
          <w:szCs w:val="32"/>
        </w:rPr>
        <w:t>6.39</w:t>
      </w:r>
      <w:r>
        <w:rPr>
          <w:rFonts w:hint="eastAsia" w:ascii="仿宋_GB2312" w:eastAsia="仿宋_GB2312"/>
          <w:color w:val="000000"/>
          <w:sz w:val="32"/>
          <w:szCs w:val="32"/>
        </w:rPr>
        <w:t>%。</w:t>
      </w:r>
      <w:r>
        <w:rPr>
          <w:rFonts w:hint="eastAsia" w:ascii="仿宋_GB2312" w:hAnsi="仿宋" w:eastAsia="仿宋_GB2312"/>
          <w:color w:val="000000"/>
          <w:sz w:val="32"/>
          <w:szCs w:val="32"/>
        </w:rPr>
        <w:t>主要变动原因是支付公益性卫生百万救护培训劳务费支出。</w:t>
      </w:r>
    </w:p>
    <w:p>
      <w:pPr>
        <w:spacing w:line="600" w:lineRule="exact"/>
        <w:ind w:firstLine="642" w:firstLineChars="200"/>
        <w:rPr>
          <w:rFonts w:ascii="仿宋_GB2312" w:hAnsi="仿宋" w:eastAsia="仿宋_GB2312"/>
          <w:b/>
          <w:color w:val="FF0000"/>
          <w:sz w:val="32"/>
          <w:szCs w:val="32"/>
        </w:rPr>
      </w:pPr>
      <w:r>
        <w:rPr>
          <w:rFonts w:hint="eastAsia" w:ascii="仿宋_GB2312" w:hAnsi="仿宋" w:eastAsia="仿宋_GB2312"/>
          <w:b/>
          <w:color w:val="FF0000"/>
          <w:sz w:val="32"/>
          <w:szCs w:val="32"/>
        </w:rPr>
        <w:t>（注：数据来源于财决附03表）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20年，政府采购支出总额</w:t>
      </w:r>
      <w:r>
        <w:rPr>
          <w:rFonts w:ascii="仿宋_GB2312" w:eastAsia="仿宋_GB2312"/>
          <w:color w:val="000000"/>
          <w:sz w:val="32"/>
          <w:szCs w:val="32"/>
        </w:rPr>
        <w:t>0</w:t>
      </w:r>
      <w:r>
        <w:rPr>
          <w:rFonts w:hint="eastAsia" w:ascii="仿宋_GB2312" w:eastAsia="仿宋_GB2312"/>
          <w:color w:val="000000"/>
          <w:sz w:val="32"/>
          <w:szCs w:val="32"/>
        </w:rPr>
        <w:t>万元，其中：政府采购货物支出</w:t>
      </w:r>
      <w:r>
        <w:rPr>
          <w:rFonts w:ascii="仿宋_GB2312" w:eastAsia="仿宋_GB2312"/>
          <w:color w:val="000000"/>
          <w:sz w:val="32"/>
          <w:szCs w:val="32"/>
        </w:rPr>
        <w:t>0</w:t>
      </w:r>
      <w:r>
        <w:rPr>
          <w:rFonts w:hint="eastAsia" w:ascii="仿宋_GB2312" w:eastAsia="仿宋_GB2312"/>
          <w:color w:val="000000"/>
          <w:sz w:val="32"/>
          <w:szCs w:val="32"/>
        </w:rPr>
        <w:t>万元、政府采购工程支出</w:t>
      </w:r>
      <w:r>
        <w:rPr>
          <w:rFonts w:ascii="仿宋_GB2312" w:eastAsia="仿宋_GB2312"/>
          <w:color w:val="000000"/>
          <w:sz w:val="32"/>
          <w:szCs w:val="32"/>
        </w:rPr>
        <w:t>0</w:t>
      </w:r>
      <w:r>
        <w:rPr>
          <w:rFonts w:hint="eastAsia" w:ascii="仿宋_GB2312" w:eastAsia="仿宋_GB2312"/>
          <w:color w:val="000000"/>
          <w:sz w:val="32"/>
          <w:szCs w:val="32"/>
        </w:rPr>
        <w:t>万元、政府采购服务支出</w:t>
      </w:r>
      <w:r>
        <w:rPr>
          <w:rFonts w:ascii="仿宋_GB2312" w:eastAsia="仿宋_GB2312"/>
          <w:color w:val="000000"/>
          <w:sz w:val="32"/>
          <w:szCs w:val="32"/>
        </w:rPr>
        <w:t>0</w:t>
      </w:r>
      <w:r>
        <w:rPr>
          <w:rFonts w:hint="eastAsia" w:ascii="仿宋_GB2312" w:eastAsia="仿宋_GB2312"/>
          <w:color w:val="000000"/>
          <w:sz w:val="32"/>
          <w:szCs w:val="32"/>
        </w:rPr>
        <w:t>万元。授予中小企业合同金额</w:t>
      </w:r>
      <w:r>
        <w:rPr>
          <w:rFonts w:ascii="仿宋_GB2312" w:eastAsia="仿宋_GB2312"/>
          <w:color w:val="000000"/>
          <w:sz w:val="32"/>
          <w:szCs w:val="32"/>
        </w:rPr>
        <w:t>0</w:t>
      </w:r>
      <w:r>
        <w:rPr>
          <w:rFonts w:hint="eastAsia" w:ascii="仿宋_GB2312" w:eastAsia="仿宋_GB2312"/>
          <w:color w:val="000000"/>
          <w:sz w:val="32"/>
          <w:szCs w:val="32"/>
        </w:rPr>
        <w:t>万元，占政府采购支出总额的</w:t>
      </w:r>
      <w:r>
        <w:rPr>
          <w:rFonts w:ascii="仿宋_GB2312" w:eastAsia="仿宋_GB2312"/>
          <w:color w:val="000000"/>
          <w:sz w:val="32"/>
          <w:szCs w:val="32"/>
        </w:rPr>
        <w:t>0%</w:t>
      </w:r>
      <w:r>
        <w:rPr>
          <w:rFonts w:hint="eastAsia" w:ascii="仿宋_GB2312" w:eastAsia="仿宋_GB2312"/>
          <w:color w:val="000000"/>
          <w:sz w:val="32"/>
          <w:szCs w:val="32"/>
        </w:rPr>
        <w:t>，其中：授予小微企业合同金额</w:t>
      </w:r>
      <w:r>
        <w:rPr>
          <w:rFonts w:ascii="仿宋_GB2312" w:eastAsia="仿宋_GB2312"/>
          <w:color w:val="000000"/>
          <w:sz w:val="32"/>
          <w:szCs w:val="32"/>
        </w:rPr>
        <w:t>0</w:t>
      </w:r>
      <w:r>
        <w:rPr>
          <w:rFonts w:hint="eastAsia" w:ascii="仿宋_GB2312" w:eastAsia="仿宋_GB2312"/>
          <w:color w:val="000000"/>
          <w:sz w:val="32"/>
          <w:szCs w:val="32"/>
        </w:rPr>
        <w:t>万元，占政府采购支出总额的</w:t>
      </w:r>
      <w:r>
        <w:rPr>
          <w:rFonts w:ascii="仿宋_GB2312" w:eastAsia="仿宋_GB2312"/>
          <w:color w:val="000000"/>
          <w:sz w:val="32"/>
          <w:szCs w:val="32"/>
        </w:rPr>
        <w:t>0%</w:t>
      </w:r>
      <w:r>
        <w:rPr>
          <w:rFonts w:hint="eastAsia" w:ascii="仿宋_GB2312" w:eastAsia="仿宋_GB2312"/>
          <w:color w:val="000000"/>
          <w:sz w:val="32"/>
          <w:szCs w:val="32"/>
        </w:rPr>
        <w:t>。</w:t>
      </w: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日，共有车辆</w:t>
      </w:r>
      <w:r>
        <w:rPr>
          <w:rFonts w:ascii="仿宋_GB2312" w:eastAsia="仿宋_GB2312"/>
          <w:color w:val="000000"/>
          <w:sz w:val="32"/>
          <w:szCs w:val="32"/>
        </w:rPr>
        <w:t>0</w:t>
      </w:r>
      <w:r>
        <w:rPr>
          <w:rFonts w:hint="eastAsia" w:ascii="仿宋_GB2312" w:eastAsia="仿宋_GB2312"/>
          <w:color w:val="000000"/>
          <w:sz w:val="32"/>
          <w:szCs w:val="32"/>
        </w:rPr>
        <w:t>辆。其中：主要领导干部用车</w:t>
      </w:r>
      <w:r>
        <w:rPr>
          <w:rFonts w:ascii="仿宋_GB2312" w:eastAsia="仿宋_GB2312"/>
          <w:color w:val="000000"/>
          <w:sz w:val="32"/>
          <w:szCs w:val="32"/>
        </w:rPr>
        <w:t>0</w:t>
      </w:r>
      <w:r>
        <w:rPr>
          <w:rFonts w:hint="eastAsia" w:ascii="仿宋_GB2312" w:eastAsia="仿宋_GB2312"/>
          <w:color w:val="000000"/>
          <w:sz w:val="32"/>
          <w:szCs w:val="32"/>
        </w:rPr>
        <w:t>辆、机要通信用车</w:t>
      </w:r>
      <w:r>
        <w:rPr>
          <w:rFonts w:ascii="仿宋_GB2312" w:eastAsia="仿宋_GB2312"/>
          <w:color w:val="000000"/>
          <w:sz w:val="32"/>
          <w:szCs w:val="32"/>
        </w:rPr>
        <w:t>0</w:t>
      </w:r>
      <w:r>
        <w:rPr>
          <w:rFonts w:hint="eastAsia" w:ascii="仿宋_GB2312" w:eastAsia="仿宋_GB2312"/>
          <w:color w:val="000000"/>
          <w:sz w:val="32"/>
          <w:szCs w:val="32"/>
        </w:rPr>
        <w:t>辆、应急保障用车</w:t>
      </w:r>
      <w:r>
        <w:rPr>
          <w:rFonts w:ascii="仿宋_GB2312" w:eastAsia="仿宋_GB2312"/>
          <w:color w:val="000000"/>
          <w:sz w:val="32"/>
          <w:szCs w:val="32"/>
        </w:rPr>
        <w:t>0</w:t>
      </w:r>
      <w:r>
        <w:rPr>
          <w:rFonts w:hint="eastAsia" w:ascii="仿宋_GB2312" w:eastAsia="仿宋_GB2312"/>
          <w:color w:val="000000"/>
          <w:sz w:val="32"/>
          <w:szCs w:val="32"/>
        </w:rPr>
        <w:t>辆、其他用车</w:t>
      </w:r>
      <w:r>
        <w:rPr>
          <w:rFonts w:ascii="仿宋_GB2312" w:eastAsia="仿宋_GB2312"/>
          <w:color w:val="000000"/>
          <w:sz w:val="32"/>
          <w:szCs w:val="32"/>
        </w:rPr>
        <w:t>0</w:t>
      </w:r>
      <w:r>
        <w:rPr>
          <w:rFonts w:hint="eastAsia" w:ascii="仿宋_GB2312" w:eastAsia="仿宋_GB2312"/>
          <w:color w:val="000000"/>
          <w:sz w:val="32"/>
          <w:szCs w:val="32"/>
        </w:rPr>
        <w:t>辆；单价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ascii="仿宋_GB2312" w:eastAsia="仿宋_GB2312"/>
          <w:color w:val="000000"/>
          <w:sz w:val="32"/>
          <w:szCs w:val="32"/>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台（套）。账面有一辆车属于公务用车改革后车辆已上交，账面未做账务处理。</w:t>
      </w: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根据预算绩效管理要求，本部门（单位）在年初预算编制阶段，组织对本部门所有项目开展了预算事前绩效评估，对</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个项目开展了绩效目标完成情况自评。</w:t>
      </w:r>
    </w:p>
    <w:p>
      <w:pPr>
        <w:spacing w:line="600" w:lineRule="exact"/>
        <w:ind w:firstLine="640"/>
        <w:rPr>
          <w:rFonts w:ascii="仿宋" w:hAnsi="仿宋" w:eastAsia="仿宋"/>
          <w:color w:val="000000"/>
          <w:sz w:val="32"/>
          <w:szCs w:val="32"/>
        </w:rPr>
      </w:pPr>
      <w:r>
        <w:rPr>
          <w:rFonts w:hint="eastAsia" w:ascii="仿宋_GB2312" w:hAnsi="仿宋_GB2312" w:eastAsia="仿宋_GB2312" w:cs="仿宋_GB2312"/>
          <w:sz w:val="32"/>
          <w:szCs w:val="32"/>
        </w:rPr>
        <w:t>本部门按要求对20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年部门整体支出开展绩效自评，从评价情况来看：项目资金运行安全，能够在规定时限内高效完成项目内容，达到项目预期效益。本部门还自行组织对</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个项目支出绩效评价，从评价情况来看：资金安全高效运行，完成项目达到预期效益。</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年度部门决算中反映“救灾物资仓储运转管理经费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，“专项资金筹集工作”“扶贫-非贫困村第一书记”</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（1）救灾物资仓储运转管理项目绩效目标完成情况综述。项目全年预算数</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保障了救灾物资安全存放，正常运转，当灾情出现时，大大提高了救灾物资的及时调拨，将救灾物资安全发放到灾民手中，解决了灾民生产生活的困难。发现的主要问题：管理不够规范。下一步改进措施：落实专人负责收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（2）扶贫-非贫困村第一书记项目绩效目标完成情况综述。项目全年预算数</w:t>
      </w:r>
      <w:r>
        <w:rPr>
          <w:rFonts w:ascii="仿宋_GB2312" w:hAnsi="仿宋_GB2312" w:eastAsia="仿宋_GB2312" w:cs="仿宋_GB2312"/>
          <w:sz w:val="32"/>
          <w:szCs w:val="32"/>
        </w:rPr>
        <w:t>0.5</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0.5</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%。通过项目实施，使该项工作良性发展，助其早日脱贫。扶贫干部，以更高的热情全身心投入到脱贫攻坚的伟大事业，分类指导，分级实施，精准脱贫。</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（3）专项资金筹集工作经费项目绩效目标完成情况综述。项目全年预算数3万元，执行数为3万元，完成预算的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拓宽了红十字会筹资渠道，提升了红十字会救灾、救助、救护实力，从而助力利州区经济社会发展，特别是新冠疫情期间，区红十字会的募捐工作走到了全市红会系统前列，受到了上级领导的赞扬。</w:t>
      </w:r>
    </w:p>
    <w:p>
      <w:pPr>
        <w:spacing w:line="580" w:lineRule="exact"/>
        <w:ind w:firstLine="640" w:firstLineChars="200"/>
        <w:rPr>
          <w:rFonts w:ascii="仿宋_GB2312" w:hAnsi="仿宋_GB2312" w:eastAsia="仿宋_GB2312" w:cs="仿宋_GB2312"/>
          <w:sz w:val="32"/>
          <w:szCs w:val="32"/>
        </w:rPr>
      </w:pP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w:t>
            </w:r>
            <w:r>
              <w:rPr>
                <w:rFonts w:ascii="宋体" w:hAnsi="宋体" w:cs="宋体"/>
                <w:color w:val="000000"/>
                <w:kern w:val="0"/>
                <w:sz w:val="36"/>
                <w:szCs w:val="36"/>
              </w:rPr>
              <w:t>20</w:t>
            </w:r>
            <w:r>
              <w:rPr>
                <w:rFonts w:hint="eastAsia" w:ascii="宋体" w:hAnsi="宋体" w:cs="宋体"/>
                <w:color w:val="000000"/>
                <w:kern w:val="0"/>
                <w:sz w:val="36"/>
                <w:szCs w:val="36"/>
              </w:rPr>
              <w:t xml:space="preserve">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救灾物资仓储运转管理</w:t>
            </w:r>
          </w:p>
        </w:tc>
      </w:tr>
      <w:tr>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广元市利州区红十字会</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万元</w:t>
            </w:r>
          </w:p>
        </w:tc>
      </w:tr>
      <w:tr>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4"/>
              <w:widowControl/>
              <w:numPr>
                <w:ilvl w:val="0"/>
                <w:numId w:val="3"/>
              </w:numPr>
              <w:ind w:firstLineChars="0"/>
              <w:jc w:val="left"/>
              <w:textAlignment w:val="center"/>
              <w:rPr>
                <w:rFonts w:ascii="宋体" w:hAnsi="宋体" w:cs="宋体"/>
                <w:color w:val="000000"/>
                <w:kern w:val="0"/>
                <w:sz w:val="24"/>
              </w:rPr>
            </w:pPr>
            <w:r>
              <w:rPr>
                <w:rFonts w:hint="eastAsia" w:ascii="宋体" w:hAnsi="宋体" w:cs="宋体"/>
                <w:color w:val="000000"/>
                <w:kern w:val="0"/>
                <w:sz w:val="24"/>
              </w:rPr>
              <w:t>救灾物资安全存放，正常运转。</w:t>
            </w:r>
          </w:p>
          <w:p>
            <w:pPr>
              <w:pStyle w:val="24"/>
              <w:widowControl/>
              <w:numPr>
                <w:ilvl w:val="0"/>
                <w:numId w:val="3"/>
              </w:numPr>
              <w:ind w:firstLineChars="0"/>
              <w:jc w:val="left"/>
              <w:textAlignment w:val="center"/>
              <w:rPr>
                <w:rFonts w:ascii="宋体" w:hAnsi="宋体" w:cs="宋体"/>
                <w:color w:val="000000"/>
                <w:kern w:val="0"/>
                <w:sz w:val="24"/>
              </w:rPr>
            </w:pPr>
            <w:r>
              <w:rPr>
                <w:rFonts w:hint="eastAsia" w:ascii="宋体" w:hAnsi="宋体" w:cs="宋体"/>
                <w:color w:val="000000"/>
                <w:kern w:val="0"/>
                <w:sz w:val="24"/>
              </w:rPr>
              <w:t>及时调拨，安全有序发放。</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保障了救灾物资安全存放，正常运转，当灾情出现时，大大提高了救灾物资的及时调拨，将救灾物资安全发放到灾民手中，解决了灾民生产生活的困难。</w:t>
            </w:r>
          </w:p>
        </w:tc>
      </w:tr>
      <w:tr>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质量完成指标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color w:val="000000"/>
                <w:sz w:val="24"/>
              </w:rPr>
            </w:pPr>
            <w:r>
              <w:rPr>
                <w:rFonts w:hint="eastAsia" w:ascii="宋体" w:hAnsi="宋体" w:cs="宋体"/>
                <w:color w:val="000000"/>
                <w:kern w:val="0"/>
                <w:sz w:val="24"/>
              </w:rPr>
              <w:t>救灾物资安全存放，正常运转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color w:val="000000"/>
                <w:sz w:val="24"/>
              </w:rPr>
            </w:pPr>
            <w:r>
              <w:rPr>
                <w:rFonts w:hint="eastAsia" w:ascii="宋体" w:hAnsi="宋体" w:cs="宋体"/>
                <w:color w:val="000000"/>
                <w:kern w:val="0"/>
                <w:sz w:val="24"/>
              </w:rPr>
              <w:t>保障救灾物资安全存放，正常运转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color w:val="000000"/>
                <w:sz w:val="24"/>
              </w:rPr>
            </w:pPr>
            <w:r>
              <w:rPr>
                <w:rFonts w:hint="eastAsia" w:ascii="宋体" w:hAnsi="宋体" w:cs="宋体"/>
                <w:color w:val="000000"/>
                <w:kern w:val="0"/>
                <w:sz w:val="24"/>
              </w:rPr>
              <w:t>保障了救灾物资安全存放，正常运转</w:t>
            </w:r>
          </w:p>
        </w:tc>
      </w:tr>
      <w:tr>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社会效益</w:t>
            </w:r>
          </w:p>
          <w:p>
            <w:pPr>
              <w:widowControl/>
              <w:jc w:val="center"/>
              <w:textAlignment w:val="center"/>
              <w:rPr>
                <w:rFonts w:ascii="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及时调拨，安全有序发放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及时调拨，安全有序发放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及时调拨，安全有序发放</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群众满意度</w:t>
            </w:r>
            <w:r>
              <w:rPr>
                <w:rFonts w:ascii="宋体" w:hAnsi="宋体" w:cs="宋体"/>
                <w:color w:val="000000"/>
                <w:kern w:val="0"/>
                <w:sz w:val="24"/>
              </w:rPr>
              <w:t>95</w:t>
            </w:r>
            <w:r>
              <w:rPr>
                <w:rFonts w:hint="eastAsia"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群众满意度</w:t>
            </w:r>
            <w:r>
              <w:rPr>
                <w:rFonts w:ascii="宋体" w:hAnsi="宋体" w:cs="宋体"/>
                <w:color w:val="000000"/>
                <w:kern w:val="0"/>
                <w:sz w:val="24"/>
              </w:rPr>
              <w:t>92</w:t>
            </w:r>
            <w:r>
              <w:rPr>
                <w:rFonts w:hint="eastAsia" w:ascii="宋体" w:hAnsi="宋体" w:cs="宋体"/>
                <w:color w:val="000000"/>
                <w:kern w:val="0"/>
                <w:sz w:val="24"/>
              </w:rPr>
              <w:t>％</w:t>
            </w:r>
          </w:p>
        </w:tc>
      </w:tr>
      <w:tr>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bl>
    <w:p>
      <w:pPr>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color w:val="000000"/>
                <w:sz w:val="36"/>
                <w:szCs w:val="36"/>
              </w:rPr>
            </w:pPr>
            <w:r>
              <w:rPr>
                <w:rFonts w:hint="eastAsia" w:ascii="黑体" w:hAnsi="黑体" w:eastAsia="黑体" w:cs="黑体"/>
                <w:color w:val="000000"/>
                <w:kern w:val="0"/>
                <w:sz w:val="36"/>
                <w:szCs w:val="36"/>
              </w:rPr>
              <w:t>项目支出绩效目标完成情况表</w:t>
            </w:r>
            <w:r>
              <w:rPr>
                <w:rFonts w:ascii="宋体"/>
                <w:b/>
                <w:bCs/>
                <w:color w:val="000000"/>
                <w:kern w:val="0"/>
                <w:sz w:val="36"/>
                <w:szCs w:val="36"/>
              </w:rPr>
              <w:br w:type="textWrapping"/>
            </w: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431"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扶贫-非贫困村第一书记</w:t>
            </w:r>
          </w:p>
        </w:tc>
      </w:tr>
      <w:tr>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广元市利州区红十字会</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sz w:val="24"/>
              </w:rPr>
              <w:t>0.5</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sz w:val="24"/>
              </w:rPr>
              <w:t>0.5</w:t>
            </w:r>
            <w:r>
              <w:rPr>
                <w:rFonts w:hint="eastAsia" w:ascii="宋体" w:cs="宋体"/>
                <w:color w:val="000000"/>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sz w:val="24"/>
              </w:rPr>
              <w:t>0.5</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ascii="宋体" w:cs="宋体"/>
                <w:color w:val="000000"/>
                <w:sz w:val="24"/>
              </w:rPr>
              <w:t>0.5</w:t>
            </w:r>
            <w:r>
              <w:rPr>
                <w:rFonts w:hint="eastAsia" w:ascii="宋体" w:cs="宋体"/>
                <w:color w:val="000000"/>
                <w:sz w:val="24"/>
              </w:rPr>
              <w:t>万元</w:t>
            </w:r>
          </w:p>
        </w:tc>
      </w:tr>
      <w:tr>
        <w:trPr>
          <w:trHeight w:val="145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olor w:val="000000"/>
                <w:sz w:val="24"/>
              </w:rPr>
            </w:pPr>
            <w:r>
              <w:rPr>
                <w:rFonts w:hint="eastAsia" w:ascii="宋体" w:hAnsi="宋体" w:cs="宋体"/>
                <w:color w:val="000000"/>
                <w:kern w:val="0"/>
                <w:sz w:val="24"/>
              </w:rPr>
              <w:t>帮助贫困户脱贫</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olor w:val="000000"/>
                <w:sz w:val="24"/>
              </w:rPr>
            </w:pPr>
            <w:r>
              <w:rPr>
                <w:rFonts w:hint="eastAsia" w:ascii="宋体" w:hAnsi="宋体" w:cs="宋体"/>
                <w:color w:val="000000"/>
                <w:kern w:val="0"/>
                <w:sz w:val="24"/>
              </w:rPr>
              <w:t>根据不同的家庭状况，制定的不同帮扶计划，为下半年的产业发展，经济增长奠定了坚实的基础</w:t>
            </w:r>
          </w:p>
        </w:tc>
      </w:tr>
      <w:tr>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117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质量完成指标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olor w:val="000000"/>
                <w:sz w:val="24"/>
              </w:rPr>
            </w:pPr>
            <w:r>
              <w:rPr>
                <w:rFonts w:hint="eastAsia" w:ascii="宋体" w:hAnsi="宋体" w:cs="宋体"/>
                <w:color w:val="000000"/>
                <w:kern w:val="0"/>
                <w:sz w:val="24"/>
              </w:rPr>
              <w:t>实施帮扶计划</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olor w:val="000000"/>
                <w:sz w:val="24"/>
              </w:rPr>
            </w:pPr>
            <w:r>
              <w:rPr>
                <w:rFonts w:hint="eastAsia" w:ascii="宋体" w:cs="宋体"/>
                <w:color w:val="000000"/>
                <w:sz w:val="24"/>
              </w:rPr>
              <w:t>培训脱贫技能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olor w:val="000000"/>
                <w:sz w:val="24"/>
              </w:rPr>
            </w:pPr>
            <w:r>
              <w:rPr>
                <w:rFonts w:hint="eastAsia" w:ascii="宋体" w:cs="宋体"/>
                <w:color w:val="000000"/>
                <w:sz w:val="24"/>
              </w:rPr>
              <w:t>明确目标，脱贫增收</w:t>
            </w:r>
          </w:p>
        </w:tc>
      </w:tr>
      <w:tr>
        <w:tblPrEx>
          <w:tblCellMar>
            <w:top w:w="0" w:type="dxa"/>
            <w:left w:w="0" w:type="dxa"/>
            <w:bottom w:w="0" w:type="dxa"/>
            <w:right w:w="0" w:type="dxa"/>
          </w:tblCellMar>
        </w:tblPrEx>
        <w:trPr>
          <w:trHeight w:val="166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社会效益</w:t>
            </w:r>
          </w:p>
          <w:p>
            <w:pPr>
              <w:widowControl/>
              <w:jc w:val="center"/>
              <w:textAlignment w:val="center"/>
              <w:rPr>
                <w:rFonts w:ascii="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olor w:val="000000"/>
                <w:sz w:val="24"/>
              </w:rPr>
            </w:pPr>
            <w:r>
              <w:rPr>
                <w:rFonts w:hint="eastAsia" w:ascii="宋体" w:cs="宋体"/>
                <w:color w:val="000000"/>
                <w:sz w:val="24"/>
              </w:rPr>
              <w:t>提高思想认识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40" w:lineRule="exact"/>
              <w:rPr>
                <w:rFonts w:ascii="宋体"/>
                <w:color w:val="000000"/>
                <w:sz w:val="24"/>
              </w:rPr>
            </w:pPr>
            <w:r>
              <w:rPr>
                <w:rFonts w:hint="eastAsia" w:ascii="宋体" w:cs="宋体"/>
                <w:color w:val="000000"/>
                <w:sz w:val="24"/>
              </w:rPr>
              <w:t>提高思想认识，扶贫先扶智</w:t>
            </w:r>
          </w:p>
          <w:p>
            <w:pPr>
              <w:widowControl/>
              <w:jc w:val="center"/>
              <w:textAlignment w:val="center"/>
              <w:rPr>
                <w:rFonts w:ascii="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olor w:val="000000"/>
                <w:sz w:val="24"/>
              </w:rPr>
            </w:pPr>
            <w:r>
              <w:rPr>
                <w:rFonts w:hint="eastAsia" w:ascii="宋体" w:cs="宋体"/>
                <w:color w:val="000000"/>
                <w:sz w:val="24"/>
              </w:rPr>
              <w:t>思想认识提升很大，改掉了一部份人的惰性</w:t>
            </w:r>
          </w:p>
        </w:tc>
      </w:tr>
      <w:tr>
        <w:tblPrEx>
          <w:tblCellMar>
            <w:top w:w="0" w:type="dxa"/>
            <w:left w:w="0" w:type="dxa"/>
            <w:bottom w:w="0" w:type="dxa"/>
            <w:right w:w="0" w:type="dxa"/>
          </w:tblCellMar>
        </w:tblPrEx>
        <w:trPr>
          <w:trHeight w:val="182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群众满意度</w:t>
            </w:r>
            <w:r>
              <w:rPr>
                <w:rFonts w:ascii="宋体" w:hAnsi="宋体" w:cs="宋体"/>
                <w:color w:val="000000"/>
                <w:kern w:val="0"/>
                <w:sz w:val="24"/>
              </w:rPr>
              <w:t>100</w:t>
            </w:r>
            <w:r>
              <w:rPr>
                <w:rFonts w:hint="eastAsia"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群众满意度</w:t>
            </w:r>
            <w:r>
              <w:rPr>
                <w:rFonts w:ascii="宋体" w:hAnsi="宋体" w:cs="宋体"/>
                <w:color w:val="000000"/>
                <w:kern w:val="0"/>
                <w:sz w:val="24"/>
              </w:rPr>
              <w:t>99</w:t>
            </w:r>
            <w:r>
              <w:rPr>
                <w:rFonts w:hint="eastAsia" w:ascii="宋体" w:hAnsi="宋体" w:cs="宋体"/>
                <w:color w:val="000000"/>
                <w:kern w:val="0"/>
                <w:sz w:val="24"/>
              </w:rPr>
              <w:t>％</w:t>
            </w:r>
          </w:p>
        </w:tc>
      </w:tr>
    </w:tbl>
    <w:p>
      <w:pPr>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w:t>
            </w:r>
            <w:r>
              <w:rPr>
                <w:rFonts w:ascii="宋体" w:hAnsi="宋体" w:cs="宋体"/>
                <w:color w:val="000000"/>
                <w:kern w:val="0"/>
                <w:sz w:val="36"/>
                <w:szCs w:val="36"/>
              </w:rPr>
              <w:t>20</w:t>
            </w:r>
            <w:r>
              <w:rPr>
                <w:rFonts w:hint="eastAsia" w:ascii="宋体" w:hAnsi="宋体" w:cs="宋体"/>
                <w:color w:val="000000"/>
                <w:kern w:val="0"/>
                <w:sz w:val="36"/>
                <w:szCs w:val="36"/>
              </w:rPr>
              <w:t xml:space="preserve">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专项资金筹集工作</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广元市利州区红十字会</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1、积极开展专项募捐工作，提升红会实力。</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2、及时拨付受捐方，并按要求进行审计和向社会公开。</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新冠疫情期间，区红十字会积极开展防疫款物的募捐，累计接收捐款累计接收捐赠资金203笔金额合2651957.16元，（其中定向用于湖北武汉906221.16元，定向区本级及区内乡镇、村和社区</w:t>
            </w:r>
            <w:r>
              <w:rPr>
                <w:rFonts w:ascii="宋体" w:hAnsi="宋体" w:cs="宋体"/>
                <w:color w:val="000000"/>
                <w:kern w:val="0"/>
                <w:sz w:val="24"/>
              </w:rPr>
              <w:t>1709736</w:t>
            </w:r>
            <w:r>
              <w:rPr>
                <w:rFonts w:hint="eastAsia" w:ascii="宋体" w:hAnsi="宋体" w:cs="宋体"/>
                <w:color w:val="000000"/>
                <w:kern w:val="0"/>
                <w:sz w:val="24"/>
              </w:rPr>
              <w:t>元），累计接收捐赠物资价值人民币1666246元，每一笔款物均及时拨付受捐方，同时，进行了专项审计并及时向社会公开</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质量完成指标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color w:val="000000"/>
                <w:sz w:val="24"/>
              </w:rPr>
            </w:pPr>
            <w:r>
              <w:rPr>
                <w:rFonts w:hint="eastAsia" w:ascii="宋体" w:hAnsi="宋体" w:cs="宋体"/>
                <w:color w:val="000000"/>
                <w:kern w:val="0"/>
                <w:sz w:val="24"/>
              </w:rPr>
              <w:t>积极开展募捐工作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积极开展募捐工作，提升红会实力。</w:t>
            </w:r>
          </w:p>
          <w:p>
            <w:pPr>
              <w:widowControl/>
              <w:textAlignment w:val="center"/>
              <w:rPr>
                <w:rFonts w:ascii="宋体"/>
                <w:color w:val="000000"/>
                <w:sz w:val="24"/>
              </w:rPr>
            </w:pPr>
            <w:r>
              <w:rPr>
                <w:rFonts w:hint="eastAsia" w:ascii="宋体" w:hAnsi="宋体" w:cs="宋体"/>
                <w:color w:val="000000"/>
                <w:kern w:val="0"/>
                <w:sz w:val="24"/>
              </w:rPr>
              <w:t>及时拨付受捐方，并按要求进行审计和向社会公开。</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color w:val="000000"/>
                <w:sz w:val="24"/>
              </w:rPr>
            </w:pPr>
            <w:r>
              <w:rPr>
                <w:rFonts w:hint="eastAsia" w:ascii="宋体" w:hAnsi="宋体" w:cs="宋体"/>
                <w:color w:val="000000"/>
                <w:kern w:val="0"/>
                <w:sz w:val="24"/>
              </w:rPr>
              <w:t>新冠疫情期间，区红十字会积极开展防疫款物的募捐，累计接收捐款累计接收捐赠资金203笔金额合2651957.16元，累计接收捐赠物资价值人民币1666246元，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000000"/>
                <w:sz w:val="24"/>
              </w:rPr>
            </w:pPr>
            <w:r>
              <w:rPr>
                <w:rFonts w:hint="eastAsia" w:ascii="宋体" w:cs="宋体"/>
                <w:color w:val="000000"/>
                <w:sz w:val="24"/>
              </w:rPr>
              <w:t>社会效益</w:t>
            </w:r>
          </w:p>
          <w:p>
            <w:pPr>
              <w:widowControl/>
              <w:jc w:val="center"/>
              <w:textAlignment w:val="center"/>
              <w:rPr>
                <w:rFonts w:ascii="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及时调拨，安全有序发放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及时调拨，安全有序发放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及时调拨，安全有序发放</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群众满意度</w:t>
            </w:r>
            <w:r>
              <w:rPr>
                <w:rFonts w:ascii="宋体" w:hAnsi="宋体" w:cs="宋体"/>
                <w:color w:val="000000"/>
                <w:kern w:val="0"/>
                <w:sz w:val="24"/>
              </w:rPr>
              <w:t>95</w:t>
            </w:r>
            <w:r>
              <w:rPr>
                <w:rFonts w:hint="eastAsia"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群众满意度</w:t>
            </w:r>
            <w:r>
              <w:rPr>
                <w:rFonts w:ascii="宋体" w:hAnsi="宋体" w:cs="宋体"/>
                <w:color w:val="000000"/>
                <w:kern w:val="0"/>
                <w:sz w:val="24"/>
              </w:rPr>
              <w:t>92</w:t>
            </w:r>
            <w:r>
              <w:rPr>
                <w:rFonts w:hint="eastAsia" w:ascii="宋体" w:hAnsi="宋体" w:cs="宋体"/>
                <w:color w:val="000000"/>
                <w:kern w:val="0"/>
                <w:sz w:val="24"/>
              </w:rPr>
              <w:t>％</w:t>
            </w:r>
          </w:p>
        </w:tc>
      </w:tr>
    </w:tbl>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年部门整体支出绩效评价情况开展自评，《利州区红十字会20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本部门自行组织对“救灾物资仓储运转管理经费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项目、“专项资金筹集工作”项目、“扶贫-非贫困村第一书记”项目开展了绩效评价，《利州区红十字会项目20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年绩效评价报告》见附件（附件2）。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5"/>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2020</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3"/>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5"/>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zh-CN"/>
        </w:rPr>
        <w:t>利州区红十字会</w:t>
      </w:r>
      <w:r>
        <w:rPr>
          <w:rFonts w:ascii="方正小标宋简体" w:hAnsi="宋体" w:eastAsia="方正小标宋简体"/>
          <w:color w:val="000000"/>
          <w:kern w:val="0"/>
          <w:sz w:val="40"/>
          <w:szCs w:val="44"/>
          <w:lang w:val="zh-CN"/>
        </w:rPr>
        <w:t>2</w:t>
      </w:r>
      <w:r>
        <w:rPr>
          <w:rFonts w:ascii="方正小标宋简体" w:hAnsi="宋体" w:eastAsia="方正小标宋简体"/>
          <w:color w:val="000000"/>
          <w:kern w:val="0"/>
          <w:sz w:val="40"/>
          <w:szCs w:val="44"/>
        </w:rPr>
        <w:t>020年部门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（一）机构组成。</w:t>
      </w:r>
    </w:p>
    <w:p>
      <w:pPr>
        <w:spacing w:line="580" w:lineRule="exact"/>
        <w:ind w:firstLine="627" w:firstLineChars="196"/>
        <w:rPr>
          <w:rFonts w:ascii="仿宋_GB2312" w:eastAsia="仿宋_GB2312"/>
          <w:sz w:val="32"/>
          <w:szCs w:val="32"/>
        </w:rPr>
      </w:pPr>
      <w:r>
        <w:rPr>
          <w:rFonts w:hint="eastAsia" w:ascii="仿宋_GB2312" w:eastAsia="仿宋_GB2312" w:cs="仿宋_GB2312"/>
          <w:sz w:val="32"/>
          <w:szCs w:val="32"/>
        </w:rPr>
        <w:t>广元市利州区红十字会共有编制4个，其中：事业编制4个。</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（二）机构职能。</w:t>
      </w:r>
    </w:p>
    <w:p>
      <w:pPr>
        <w:ind w:firstLine="640" w:firstLineChars="200"/>
        <w:rPr>
          <w:rFonts w:ascii="仿宋_GB2312" w:hAnsi="宋体" w:eastAsia="仿宋_GB2312" w:cs="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传播国际红十字运动知识和国际人道法；宣传、执行《中华人民共和国红十字会法》和《四川省</w:t>
      </w:r>
      <w:r>
        <w:rPr>
          <w:rFonts w:ascii="仿宋_GB2312" w:hAnsi="宋体" w:eastAsia="仿宋_GB2312" w:cs="仿宋_GB2312"/>
          <w:sz w:val="32"/>
          <w:szCs w:val="32"/>
        </w:rPr>
        <w:t>&lt;</w:t>
      </w:r>
      <w:r>
        <w:rPr>
          <w:rFonts w:hint="eastAsia" w:ascii="仿宋_GB2312" w:hAnsi="宋体" w:eastAsia="仿宋_GB2312" w:cs="仿宋_GB2312"/>
          <w:sz w:val="32"/>
          <w:szCs w:val="32"/>
        </w:rPr>
        <w:t>中华人民共和国红十字会法</w:t>
      </w:r>
      <w:r>
        <w:rPr>
          <w:rFonts w:ascii="仿宋_GB2312" w:hAnsi="宋体" w:eastAsia="仿宋_GB2312" w:cs="仿宋_GB2312"/>
          <w:sz w:val="32"/>
          <w:szCs w:val="32"/>
        </w:rPr>
        <w:t>&gt;</w:t>
      </w:r>
      <w:r>
        <w:rPr>
          <w:rFonts w:hint="eastAsia" w:ascii="仿宋_GB2312" w:hAnsi="宋体" w:eastAsia="仿宋_GB2312" w:cs="仿宋_GB2312"/>
          <w:sz w:val="32"/>
          <w:szCs w:val="32"/>
        </w:rPr>
        <w:t>实施办法》等法律、法规，遵循《中国红十字会章程》，依法建会、治会、兴会。</w:t>
      </w:r>
    </w:p>
    <w:p>
      <w:pPr>
        <w:ind w:firstLine="640" w:firstLineChars="200"/>
        <w:rPr>
          <w:rFonts w:ascii="仿宋_GB2312" w:hAnsi="宋体" w:eastAsia="仿宋_GB2312" w:cs="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开展备灾救灾工作，兴建和管理备灾救灾设施，在自然灾害和突发事件中，开展对受害者的救护和救助。</w:t>
      </w:r>
    </w:p>
    <w:p>
      <w:pPr>
        <w:ind w:firstLine="640" w:firstLineChars="200"/>
        <w:rPr>
          <w:rFonts w:ascii="仿宋_GB2312" w:hAnsi="宋体" w:eastAsia="仿宋_GB2312" w:cs="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开展人道领域的社会公益服务活动和卫生救护、防病常识的宣传普及，组织社会捐助，进行初级卫生救护培训，组织群众参加现场救护，推动无偿献血和非血缘关系造血干细胞移植工作。</w:t>
      </w:r>
    </w:p>
    <w:p>
      <w:pPr>
        <w:ind w:firstLine="640" w:firstLineChars="200"/>
        <w:rPr>
          <w:rFonts w:ascii="仿宋_GB2312" w:hAnsi="宋体" w:eastAsia="仿宋_GB2312" w:cs="仿宋_GB2312"/>
          <w:sz w:val="32"/>
          <w:szCs w:val="32"/>
        </w:rPr>
      </w:pPr>
      <w:r>
        <w:rPr>
          <w:rFonts w:ascii="仿宋_GB2312" w:hAnsi="宋体" w:eastAsia="仿宋_GB2312" w:cs="仿宋_GB2312"/>
          <w:sz w:val="32"/>
          <w:szCs w:val="32"/>
        </w:rPr>
        <w:t>4.</w:t>
      </w:r>
      <w:r>
        <w:rPr>
          <w:rFonts w:hint="eastAsia" w:ascii="仿宋_GB2312" w:hAnsi="宋体" w:eastAsia="仿宋_GB2312" w:cs="仿宋_GB2312"/>
          <w:sz w:val="32"/>
          <w:szCs w:val="32"/>
        </w:rPr>
        <w:t>组织对公民特别是青少年进行人道主义和社会精神文明教育活动。</w:t>
      </w:r>
    </w:p>
    <w:p>
      <w:pPr>
        <w:ind w:firstLine="640" w:firstLineChars="200"/>
        <w:rPr>
          <w:rFonts w:ascii="仿宋_GB2312" w:hAnsi="宋体" w:eastAsia="仿宋_GB2312" w:cs="仿宋_GB2312"/>
          <w:sz w:val="32"/>
          <w:szCs w:val="32"/>
        </w:rPr>
      </w:pPr>
      <w:r>
        <w:rPr>
          <w:rFonts w:ascii="仿宋_GB2312" w:hAnsi="宋体" w:eastAsia="仿宋_GB2312" w:cs="仿宋_GB2312"/>
          <w:sz w:val="32"/>
          <w:szCs w:val="32"/>
        </w:rPr>
        <w:t>5.</w:t>
      </w:r>
      <w:r>
        <w:rPr>
          <w:rFonts w:hint="eastAsia" w:ascii="仿宋_GB2312" w:hAnsi="宋体" w:eastAsia="仿宋_GB2312" w:cs="仿宋_GB2312"/>
          <w:sz w:val="32"/>
          <w:szCs w:val="32"/>
        </w:rPr>
        <w:t>参与艾滋病防治、吸毒危害等宣传教育工作，提高公民自我防护的意识和能力。</w:t>
      </w:r>
    </w:p>
    <w:p>
      <w:pPr>
        <w:ind w:firstLine="640" w:firstLineChars="200"/>
        <w:rPr>
          <w:rFonts w:ascii="仿宋_GB2312" w:hAnsi="宋体" w:eastAsia="仿宋_GB2312" w:cs="仿宋_GB2312"/>
          <w:sz w:val="32"/>
          <w:szCs w:val="32"/>
        </w:rPr>
      </w:pPr>
      <w:r>
        <w:rPr>
          <w:rFonts w:ascii="仿宋_GB2312" w:hAnsi="宋体" w:eastAsia="仿宋_GB2312" w:cs="仿宋_GB2312"/>
          <w:sz w:val="32"/>
          <w:szCs w:val="32"/>
        </w:rPr>
        <w:t>6.</w:t>
      </w:r>
      <w:r>
        <w:rPr>
          <w:rFonts w:hint="eastAsia" w:ascii="仿宋_GB2312" w:hAnsi="宋体" w:eastAsia="仿宋_GB2312" w:cs="仿宋_GB2312"/>
          <w:sz w:val="32"/>
          <w:szCs w:val="32"/>
        </w:rPr>
        <w:t>参与少数民族地区、贫困地区的医疗服务和扶贫工作。</w:t>
      </w:r>
    </w:p>
    <w:p>
      <w:pPr>
        <w:ind w:firstLine="640" w:firstLineChars="200"/>
        <w:rPr>
          <w:rFonts w:ascii="仿宋_GB2312" w:hAnsi="宋体" w:eastAsia="仿宋_GB2312" w:cs="仿宋_GB2312"/>
          <w:sz w:val="32"/>
          <w:szCs w:val="32"/>
        </w:rPr>
      </w:pPr>
      <w:r>
        <w:rPr>
          <w:rFonts w:ascii="仿宋_GB2312" w:hAnsi="宋体" w:eastAsia="仿宋_GB2312" w:cs="仿宋_GB2312"/>
          <w:sz w:val="32"/>
          <w:szCs w:val="32"/>
        </w:rPr>
        <w:t>7.</w:t>
      </w:r>
      <w:r>
        <w:rPr>
          <w:rFonts w:hint="eastAsia" w:ascii="仿宋_GB2312" w:hAnsi="宋体" w:eastAsia="仿宋_GB2312" w:cs="仿宋_GB2312"/>
          <w:sz w:val="32"/>
          <w:szCs w:val="32"/>
        </w:rPr>
        <w:t>负责海峡两岸的查人转信及有关人员的遣返和见证事务。</w:t>
      </w:r>
    </w:p>
    <w:p>
      <w:pPr>
        <w:ind w:firstLine="640" w:firstLineChars="200"/>
        <w:rPr>
          <w:rFonts w:ascii="仿宋_GB2312" w:hAnsi="宋体" w:eastAsia="仿宋_GB2312" w:cs="仿宋_GB2312"/>
          <w:sz w:val="32"/>
          <w:szCs w:val="32"/>
        </w:rPr>
      </w:pPr>
      <w:r>
        <w:rPr>
          <w:rFonts w:ascii="仿宋_GB2312" w:hAnsi="宋体" w:eastAsia="仿宋_GB2312" w:cs="仿宋_GB2312"/>
          <w:sz w:val="32"/>
          <w:szCs w:val="32"/>
        </w:rPr>
        <w:t>8.</w:t>
      </w:r>
      <w:r>
        <w:rPr>
          <w:rFonts w:hint="eastAsia" w:ascii="仿宋_GB2312" w:hAnsi="宋体" w:eastAsia="仿宋_GB2312" w:cs="仿宋_GB2312"/>
          <w:sz w:val="32"/>
          <w:szCs w:val="32"/>
        </w:rPr>
        <w:t>与境内外红十字会和组织进行友好往来，开展人道领域的合作与交流，争取援助。</w:t>
      </w:r>
    </w:p>
    <w:p>
      <w:pPr>
        <w:ind w:firstLine="640" w:firstLineChars="200"/>
        <w:rPr>
          <w:rFonts w:ascii="仿宋_GB2312" w:hAnsi="宋体" w:eastAsia="仿宋_GB2312" w:cs="仿宋_GB2312"/>
          <w:sz w:val="32"/>
          <w:szCs w:val="32"/>
        </w:rPr>
      </w:pPr>
      <w:r>
        <w:rPr>
          <w:rFonts w:ascii="仿宋_GB2312" w:hAnsi="宋体" w:eastAsia="仿宋_GB2312" w:cs="仿宋_GB2312"/>
          <w:sz w:val="32"/>
          <w:szCs w:val="32"/>
        </w:rPr>
        <w:t>9.</w:t>
      </w:r>
      <w:r>
        <w:rPr>
          <w:rFonts w:hint="eastAsia" w:ascii="仿宋_GB2312" w:hAnsi="宋体" w:eastAsia="仿宋_GB2312" w:cs="仿宋_GB2312"/>
          <w:sz w:val="32"/>
          <w:szCs w:val="32"/>
        </w:rPr>
        <w:t>根据中国红十字会总会和四川省红十字会的部署，参加国际和国内人道主义救援工作。</w:t>
      </w:r>
    </w:p>
    <w:p>
      <w:pPr>
        <w:ind w:firstLine="640" w:firstLineChars="200"/>
        <w:rPr>
          <w:rFonts w:ascii="仿宋_GB2312" w:hAnsi="宋体" w:eastAsia="仿宋_GB2312"/>
          <w:sz w:val="32"/>
          <w:szCs w:val="32"/>
        </w:rPr>
      </w:pPr>
      <w:r>
        <w:rPr>
          <w:rFonts w:ascii="仿宋_GB2312" w:hAnsi="宋体" w:eastAsia="仿宋_GB2312" w:cs="仿宋_GB2312"/>
          <w:sz w:val="32"/>
          <w:szCs w:val="32"/>
        </w:rPr>
        <w:t>10.</w:t>
      </w:r>
      <w:r>
        <w:rPr>
          <w:rFonts w:hint="eastAsia" w:ascii="仿宋_GB2312" w:hAnsi="宋体" w:eastAsia="仿宋_GB2312" w:cs="仿宋_GB2312"/>
          <w:sz w:val="32"/>
          <w:szCs w:val="32"/>
        </w:rPr>
        <w:t>完成区委区政府和市红十字会交办的其他事务。</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（三）人员概况。</w:t>
      </w:r>
    </w:p>
    <w:p>
      <w:pPr>
        <w:widowControl/>
        <w:shd w:val="clear" w:color="auto" w:fill="FFFFFF"/>
        <w:ind w:firstLine="640"/>
        <w:rPr>
          <w:rFonts w:ascii="仿宋_GB2312" w:eastAsia="仿宋_GB2312"/>
          <w:sz w:val="32"/>
          <w:szCs w:val="32"/>
        </w:rPr>
      </w:pPr>
      <w:r>
        <w:rPr>
          <w:rFonts w:hint="eastAsia" w:ascii="仿宋_GB2312" w:eastAsia="仿宋_GB2312" w:cs="仿宋_GB2312"/>
          <w:sz w:val="32"/>
          <w:szCs w:val="32"/>
        </w:rPr>
        <w:t>广元市利州区红十字会现有事业编制</w:t>
      </w:r>
      <w:r>
        <w:rPr>
          <w:rFonts w:ascii="仿宋_GB2312" w:eastAsia="仿宋_GB2312" w:cs="仿宋_GB2312"/>
          <w:sz w:val="32"/>
          <w:szCs w:val="32"/>
        </w:rPr>
        <w:t>5</w:t>
      </w:r>
      <w:r>
        <w:rPr>
          <w:rFonts w:hint="eastAsia" w:ascii="仿宋_GB2312" w:eastAsia="仿宋_GB2312" w:cs="仿宋_GB2312"/>
          <w:sz w:val="32"/>
          <w:szCs w:val="32"/>
        </w:rPr>
        <w:t>名，在编在岗事业人员</w:t>
      </w:r>
      <w:r>
        <w:rPr>
          <w:rFonts w:ascii="仿宋_GB2312" w:eastAsia="仿宋_GB2312" w:cs="仿宋_GB2312"/>
          <w:sz w:val="32"/>
          <w:szCs w:val="32"/>
        </w:rPr>
        <w:t>5</w:t>
      </w:r>
      <w:r>
        <w:rPr>
          <w:rFonts w:hint="eastAsia" w:ascii="仿宋_GB2312" w:eastAsia="仿宋_GB2312" w:cs="仿宋_GB2312"/>
          <w:sz w:val="32"/>
          <w:szCs w:val="32"/>
        </w:rPr>
        <w:t>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pacing w:line="580" w:lineRule="exact"/>
        <w:ind w:firstLine="640" w:firstLineChars="200"/>
        <w:rPr>
          <w:rFonts w:ascii="仿宋" w:hAnsi="仿宋" w:eastAsia="仿宋"/>
          <w:color w:val="000000"/>
          <w:sz w:val="32"/>
          <w:szCs w:val="32"/>
        </w:rPr>
      </w:pPr>
      <w:r>
        <w:rPr>
          <w:rFonts w:ascii="仿宋" w:hAnsi="仿宋" w:eastAsia="仿宋" w:cs="仿宋"/>
          <w:color w:val="000000"/>
          <w:sz w:val="32"/>
          <w:szCs w:val="32"/>
        </w:rPr>
        <w:t>2020</w:t>
      </w:r>
      <w:r>
        <w:rPr>
          <w:rFonts w:hint="eastAsia" w:ascii="仿宋" w:hAnsi="仿宋" w:eastAsia="仿宋" w:cs="仿宋"/>
          <w:color w:val="000000"/>
          <w:sz w:val="32"/>
          <w:szCs w:val="32"/>
        </w:rPr>
        <w:t>年财政资金收入</w:t>
      </w:r>
      <w:r>
        <w:rPr>
          <w:rFonts w:ascii="仿宋" w:hAnsi="仿宋" w:eastAsia="仿宋" w:cs="仿宋"/>
          <w:color w:val="000000"/>
          <w:sz w:val="32"/>
          <w:szCs w:val="32"/>
        </w:rPr>
        <w:t>94.98</w:t>
      </w:r>
      <w:r>
        <w:rPr>
          <w:rFonts w:hint="eastAsia" w:ascii="仿宋" w:hAnsi="仿宋" w:eastAsia="仿宋" w:cs="仿宋"/>
          <w:color w:val="000000"/>
          <w:sz w:val="32"/>
          <w:szCs w:val="32"/>
        </w:rPr>
        <w:t>万元。</w:t>
      </w:r>
    </w:p>
    <w:p>
      <w:pPr>
        <w:spacing w:line="58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spacing w:line="580" w:lineRule="exact"/>
        <w:ind w:firstLine="640" w:firstLineChars="200"/>
        <w:rPr>
          <w:rFonts w:ascii="仿宋" w:hAnsi="仿宋" w:eastAsia="仿宋"/>
          <w:color w:val="000000"/>
          <w:sz w:val="32"/>
          <w:szCs w:val="32"/>
        </w:rPr>
      </w:pPr>
      <w:r>
        <w:rPr>
          <w:rFonts w:ascii="仿宋" w:hAnsi="仿宋" w:eastAsia="仿宋" w:cs="仿宋"/>
          <w:color w:val="000000"/>
          <w:sz w:val="32"/>
          <w:szCs w:val="32"/>
        </w:rPr>
        <w:t>2020</w:t>
      </w:r>
      <w:r>
        <w:rPr>
          <w:rFonts w:hint="eastAsia" w:ascii="仿宋" w:hAnsi="仿宋" w:eastAsia="仿宋" w:cs="仿宋"/>
          <w:color w:val="000000"/>
          <w:sz w:val="32"/>
          <w:szCs w:val="32"/>
        </w:rPr>
        <w:t>年财政资金支出</w:t>
      </w:r>
      <w:r>
        <w:rPr>
          <w:rFonts w:ascii="仿宋" w:hAnsi="仿宋" w:eastAsia="仿宋" w:cs="仿宋"/>
          <w:color w:val="000000"/>
          <w:sz w:val="32"/>
          <w:szCs w:val="32"/>
        </w:rPr>
        <w:t>59.24</w:t>
      </w:r>
      <w:r>
        <w:rPr>
          <w:rFonts w:hint="eastAsia" w:ascii="仿宋" w:hAnsi="仿宋" w:eastAsia="仿宋" w:cs="仿宋"/>
          <w:color w:val="000000"/>
          <w:sz w:val="32"/>
          <w:szCs w:val="32"/>
        </w:rPr>
        <w:t>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spacing w:line="58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认真制定绩效目标、计划目标完成情况、预算编制准确、严格控制支出、预算动态调整、按进度执行、预算完成情况良好，无违规事件。</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spacing w:line="58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我们对预算执行情况进行了详细地自评、按程序进行对外公示公开，社会满意度良好。</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spacing w:line="58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（一）评价结论。预算编制严谨、执行到位、效益良好。</w:t>
      </w:r>
    </w:p>
    <w:p>
      <w:pPr>
        <w:spacing w:line="58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（二）存在问题。个别项目编制有待进一步精细化</w:t>
      </w:r>
    </w:p>
    <w:p>
      <w:pPr>
        <w:spacing w:line="58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（三）改进建议。加强项目精细化管理，向管理要质量、要效益，进一步提升财政资金的使用效益。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救灾物资仓储运转管理经费</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w:t>
      </w:r>
      <w:r>
        <w:rPr>
          <w:rFonts w:ascii="方正小标宋简体" w:hAnsi="宋体" w:eastAsia="方正小标宋简体"/>
          <w:color w:val="000000"/>
          <w:kern w:val="0"/>
          <w:sz w:val="44"/>
          <w:szCs w:val="44"/>
        </w:rPr>
        <w:t>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仿宋" w:eastAsia="仿宋_GB2312" w:cs="仿宋"/>
          <w:sz w:val="32"/>
          <w:szCs w:val="32"/>
        </w:rPr>
        <w:t>项目评价实施方案情况：</w:t>
      </w:r>
      <w:r>
        <w:rPr>
          <w:rFonts w:hint="eastAsia" w:ascii="仿宋_GB2312" w:hAnsi="仿宋_GB2312" w:eastAsia="仿宋_GB2312" w:cs="仿宋_GB2312"/>
          <w:sz w:val="32"/>
          <w:szCs w:val="32"/>
        </w:rPr>
        <w:t>保障救灾物资安全存放，正常运转，大大提高救灾物资的及时调拨。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仿宋_GB2312" w:eastAsia="仿宋_GB2312" w:cs="仿宋_GB2312"/>
          <w:sz w:val="32"/>
          <w:szCs w:val="32"/>
        </w:rPr>
        <w:t>保障了救灾物资安全存放，正常运转，当灾情出现时，大大提高了救灾物资的及时调拨，将救灾物资及时安全发放到灾民手中，解决了灾民生产生活的困难。</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自然灾害频繁，各种意外时有发生，救灾物资常年储备成了必不可少。</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该项目资金来源于财政资金，</w:t>
      </w:r>
      <w:r>
        <w:rPr>
          <w:rFonts w:hint="eastAsia" w:ascii="楷体_GB2312" w:hAnsi="宋体" w:eastAsia="楷体_GB2312"/>
          <w:sz w:val="32"/>
          <w:szCs w:val="32"/>
          <w:lang w:val="zh-CN"/>
        </w:rPr>
        <w:t>已全额用于当年救灾物资管理支出。</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单位财务管理制度健全，严格执行财务管理制度，账务处理及时，会计核算规范。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eastAsia="仿宋_GB2312" w:cs="仿宋_GB2312"/>
          <w:sz w:val="32"/>
          <w:szCs w:val="32"/>
        </w:rPr>
        <w:t>精心组织、提早部署、周密安排，保证救灾物资安全，当灾情出现，能及时调拨救灾物资，安全送达分发。</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该项目保证了救灾物资存放安全，及时调拨，有序收发，正常运转，群众满意度9</w:t>
      </w:r>
      <w:r>
        <w:rPr>
          <w:rFonts w:ascii="仿宋_GB2312" w:hAnsi="宋体" w:eastAsia="仿宋_GB2312"/>
          <w:sz w:val="32"/>
          <w:szCs w:val="32"/>
          <w:lang w:val="zh-CN"/>
        </w:rPr>
        <w:t>2</w:t>
      </w:r>
      <w:r>
        <w:rPr>
          <w:rFonts w:hint="eastAsia" w:ascii="仿宋_GB2312" w:hAnsi="宋体" w:eastAsia="仿宋_GB2312"/>
          <w:sz w:val="32"/>
          <w:szCs w:val="32"/>
          <w:lang w:val="zh-CN"/>
        </w:rPr>
        <w:t>%以上。</w:t>
      </w:r>
    </w:p>
    <w:p>
      <w:pPr>
        <w:spacing w:line="580" w:lineRule="exact"/>
        <w:ind w:firstLine="640"/>
        <w:rPr>
          <w:rFonts w:ascii="仿宋_GB2312" w:hAnsi="仿宋_GB2312" w:eastAsia="仿宋_GB2312" w:cs="仿宋_GB2312"/>
          <w:sz w:val="32"/>
          <w:szCs w:val="32"/>
        </w:rPr>
      </w:pPr>
    </w:p>
    <w:p>
      <w:pPr>
        <w:widowControl/>
        <w:jc w:val="left"/>
        <w:rPr>
          <w:rStyle w:val="25"/>
          <w:rFonts w:ascii="黑体" w:hAnsi="黑体" w:eastAsia="黑体"/>
          <w:b w:val="0"/>
        </w:rPr>
      </w:pPr>
    </w:p>
    <w:p>
      <w:pPr>
        <w:widowControl/>
        <w:jc w:val="left"/>
        <w:rPr>
          <w:rStyle w:val="25"/>
          <w:rFonts w:ascii="黑体" w:hAnsi="黑体" w:eastAsia="黑体"/>
          <w:b w:val="0"/>
        </w:rPr>
      </w:pPr>
      <w:r>
        <w:rPr>
          <w:rStyle w:val="25"/>
          <w:rFonts w:ascii="黑体" w:hAnsi="黑体" w:eastAsia="黑体"/>
          <w:b w:val="0"/>
        </w:rPr>
        <w:br w:type="page"/>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扶贫-非贫困村第一书记项目</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w:t>
      </w:r>
      <w:r>
        <w:rPr>
          <w:rFonts w:ascii="方正小标宋简体" w:hAnsi="宋体" w:eastAsia="方正小标宋简体"/>
          <w:color w:val="000000"/>
          <w:kern w:val="0"/>
          <w:sz w:val="44"/>
          <w:szCs w:val="44"/>
        </w:rPr>
        <w:t>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b/>
          <w:sz w:val="32"/>
          <w:szCs w:val="32"/>
          <w:lang w:val="zh-CN"/>
        </w:rPr>
      </w:pPr>
      <w:r>
        <w:rPr>
          <w:rFonts w:hint="eastAsia" w:ascii="仿宋_GB2312" w:hAnsi="仿宋" w:eastAsia="仿宋_GB2312" w:cs="仿宋"/>
          <w:sz w:val="32"/>
          <w:szCs w:val="32"/>
        </w:rPr>
        <w:t>项目评价实施方案情况：加快精准脱贫的步伐，让群众过上“两不愁、三保障”的生活。</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spacing w:line="58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使该项工作良性发展，分类指导，分级实施，</w:t>
      </w:r>
      <w:r>
        <w:rPr>
          <w:rFonts w:hint="eastAsia" w:ascii="仿宋_GB2312" w:hAnsi="仿宋" w:eastAsia="仿宋_GB2312" w:cs="仿宋"/>
          <w:sz w:val="32"/>
          <w:szCs w:val="32"/>
        </w:rPr>
        <w:t>全面精准</w:t>
      </w:r>
      <w:r>
        <w:rPr>
          <w:rFonts w:hint="eastAsia" w:ascii="仿宋_GB2312" w:hAnsi="仿宋_GB2312" w:eastAsia="仿宋_GB2312" w:cs="仿宋_GB2312"/>
          <w:sz w:val="32"/>
          <w:szCs w:val="32"/>
        </w:rPr>
        <w:t>脱贫，</w:t>
      </w:r>
      <w:r>
        <w:rPr>
          <w:rFonts w:hint="eastAsia" w:ascii="仿宋_GB2312" w:hAnsi="仿宋" w:eastAsia="仿宋_GB2312" w:cs="仿宋"/>
          <w:sz w:val="32"/>
          <w:szCs w:val="32"/>
        </w:rPr>
        <w:t>让群众过上“两不愁、三保障”的生活，达到精准脱贫。</w:t>
      </w:r>
    </w:p>
    <w:p>
      <w:pPr>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w:t>
      </w:r>
    </w:p>
    <w:p>
      <w:pPr>
        <w:spacing w:line="58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针对不同人群制定脱贫方案，摸清家底，分类指导，分级实施，建立脱贫退出机制。</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该项目实施：为了保障精准脱贫。</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该项目资金来源于财政资金，已全额用于当年精准脱贫支出。</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单位财务管理制度健全，严格执行财务管理制度，账务处理及时，会计核算规范。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spacing w:line="58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针对不同人群制定脱贫方案，摸清家底，分类指导，分级实施，建立脱贫退出机制。</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spacing w:line="58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扶贫先扶智，通过扶贫政策宣讲，因地制宜制定帮扶计划，贫困户的生产生活条件显著改善，脱贫成效精准，群众满意度高，完全脱贫。</w:t>
      </w: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p>
    <w:p>
      <w:pPr>
        <w:spacing w:line="580" w:lineRule="exact"/>
        <w:rPr>
          <w:rFonts w:ascii="仿宋_GB2312" w:hAnsi="仿宋_GB2312" w:eastAsia="仿宋_GB2312" w:cs="仿宋_GB2312"/>
          <w:sz w:val="32"/>
          <w:szCs w:val="32"/>
        </w:rPr>
      </w:pPr>
      <w:bookmarkStart w:id="59" w:name="_Toc15396618"/>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专项资金筹集工作项目</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w:t>
      </w:r>
      <w:r>
        <w:rPr>
          <w:rFonts w:ascii="方正小标宋简体" w:hAnsi="宋体" w:eastAsia="方正小标宋简体"/>
          <w:color w:val="000000"/>
          <w:kern w:val="0"/>
          <w:sz w:val="44"/>
          <w:szCs w:val="44"/>
        </w:rPr>
        <w:t>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仿宋" w:eastAsia="仿宋_GB2312" w:cs="仿宋"/>
          <w:sz w:val="32"/>
          <w:szCs w:val="32"/>
        </w:rPr>
      </w:pPr>
      <w:r>
        <w:rPr>
          <w:rFonts w:hint="eastAsia" w:ascii="仿宋_GB2312" w:hAnsi="仿宋" w:eastAsia="仿宋_GB2312" w:cs="仿宋"/>
          <w:sz w:val="32"/>
          <w:szCs w:val="32"/>
        </w:rPr>
        <w:t>项目评价实施方案情况：在全区范围内积极开展专项募捐工作，提升红会实力。</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spacing w:line="58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根据灾情或其他意外事件需要，开展专项募捐，根据捐方意愿及时拨付款物；开展专项审计并及时向社会公开。</w:t>
      </w:r>
    </w:p>
    <w:p>
      <w:pPr>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w:t>
      </w:r>
    </w:p>
    <w:p>
      <w:pPr>
        <w:adjustRightInd w:val="0"/>
        <w:snapToGrid w:val="0"/>
        <w:spacing w:line="600" w:lineRule="exact"/>
        <w:ind w:firstLine="720"/>
        <w:rPr>
          <w:rFonts w:ascii="仿宋_GB2312" w:hAnsi="仿宋" w:eastAsia="仿宋_GB2312" w:cs="仿宋"/>
          <w:sz w:val="32"/>
          <w:szCs w:val="32"/>
        </w:rPr>
      </w:pPr>
      <w:r>
        <w:rPr>
          <w:rFonts w:hint="eastAsia" w:ascii="仿宋_GB2312" w:hAnsi="仿宋" w:eastAsia="仿宋_GB2312" w:cs="仿宋"/>
          <w:sz w:val="32"/>
          <w:szCs w:val="32"/>
        </w:rPr>
        <w:t>积极开展专项募捐工作，提升红会实力。及时拨付受捐方，并按要求进行审计和向社会公开。</w:t>
      </w:r>
    </w:p>
    <w:p>
      <w:pPr>
        <w:adjustRightInd w:val="0"/>
        <w:snapToGrid w:val="0"/>
        <w:spacing w:line="600" w:lineRule="exact"/>
        <w:ind w:firstLine="720"/>
        <w:rPr>
          <w:rFonts w:ascii="仿宋_GB2312" w:hAnsi="仿宋" w:eastAsia="仿宋_GB2312" w:cs="仿宋"/>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该项目实施：为了保障募捐工作正常开展。</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该项目资金来源于财政资金，已全额用于当年募捐工作支出。</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单位财务管理制度健全，严格执行财务管理制度，账务处理及时，会计核算规范。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根据灾情或者其他突发意外事件的需要，及时开展募捐工作，发布募捐公告，制定相应的募捐方案，做到在捐赠款物的支出和发放工作中，做到了公开、透明，确保严格按照捐赠人意愿，将资金和物资及时拨付受捐方</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spacing w:line="600" w:lineRule="exact"/>
        <w:ind w:firstLine="640" w:firstLineChars="200"/>
        <w:jc w:val="left"/>
        <w:rPr>
          <w:rStyle w:val="25"/>
          <w:rFonts w:ascii="黑体" w:hAnsi="黑体" w:eastAsia="黑体"/>
          <w:b w:val="0"/>
        </w:rPr>
      </w:pPr>
      <w:r>
        <w:rPr>
          <w:rFonts w:hint="eastAsia" w:ascii="仿宋_GB2312" w:hAnsi="仿宋" w:eastAsia="仿宋_GB2312" w:cs="仿宋"/>
          <w:sz w:val="32"/>
          <w:szCs w:val="32"/>
        </w:rPr>
        <w:t>新冠疫情期间，区红十字会积极开展防疫款物的募捐，累计接收捐款累计接收捐赠资金203笔金额合2651957.16元，累计接收捐赠物资价值人民币1666246元，对本次募捐活动，利州区红十字会聘请专业的第三方审计公司进行了专项审计并及时向社会公示。</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_GB2312" w:hAnsi="仿宋" w:eastAsia="仿宋_GB2312"/>
          <w:color w:val="000000"/>
        </w:rPr>
      </w:pPr>
      <w:bookmarkStart w:id="60" w:name="_Toc15396619"/>
      <w:r>
        <w:rPr>
          <w:rFonts w:hint="eastAsia" w:ascii="仿宋_GB2312" w:hAnsi="仿宋" w:eastAsia="仿宋_GB2312"/>
          <w:b w:val="0"/>
          <w:color w:val="000000"/>
        </w:rPr>
        <w:t>一、收</w:t>
      </w:r>
      <w:r>
        <w:rPr>
          <w:rStyle w:val="26"/>
          <w:rFonts w:hint="eastAsia" w:ascii="仿宋_GB2312" w:hAnsi="仿宋" w:eastAsia="仿宋_GB2312"/>
          <w:b w:val="0"/>
          <w:bCs w:val="0"/>
        </w:rPr>
        <w:t>入支出决算总表</w:t>
      </w:r>
      <w:bookmarkEnd w:id="60"/>
    </w:p>
    <w:p>
      <w:pPr>
        <w:pStyle w:val="3"/>
        <w:rPr>
          <w:rFonts w:ascii="仿宋_GB2312" w:hAnsi="仿宋" w:eastAsia="仿宋_GB2312"/>
          <w:color w:val="000000"/>
        </w:rPr>
      </w:pPr>
      <w:bookmarkStart w:id="61" w:name="_Toc15396620"/>
      <w:r>
        <w:rPr>
          <w:rFonts w:hint="eastAsia" w:ascii="仿宋_GB2312" w:hAnsi="仿宋" w:eastAsia="仿宋_GB2312"/>
          <w:b w:val="0"/>
          <w:color w:val="000000"/>
        </w:rPr>
        <w:t>二、收</w:t>
      </w:r>
      <w:r>
        <w:rPr>
          <w:rStyle w:val="26"/>
          <w:rFonts w:hint="eastAsia" w:ascii="仿宋_GB2312" w:hAnsi="仿宋" w:eastAsia="仿宋_GB2312"/>
          <w:b w:val="0"/>
          <w:bCs w:val="0"/>
        </w:rPr>
        <w:t>入决算表</w:t>
      </w:r>
      <w:bookmarkEnd w:id="61"/>
    </w:p>
    <w:p>
      <w:pPr>
        <w:pStyle w:val="3"/>
        <w:rPr>
          <w:rFonts w:ascii="仿宋_GB2312" w:hAnsi="仿宋" w:eastAsia="仿宋_GB2312"/>
          <w:color w:val="000000"/>
        </w:rPr>
      </w:pPr>
      <w:bookmarkStart w:id="62" w:name="_Toc15396621"/>
      <w:r>
        <w:rPr>
          <w:rStyle w:val="26"/>
          <w:rFonts w:hint="eastAsia" w:ascii="仿宋_GB2312" w:hAnsi="仿宋" w:eastAsia="仿宋_GB2312"/>
          <w:b w:val="0"/>
          <w:bCs w:val="0"/>
        </w:rPr>
        <w:t>三、</w:t>
      </w:r>
      <w:r>
        <w:rPr>
          <w:rFonts w:hint="eastAsia" w:ascii="仿宋_GB2312" w:hAnsi="仿宋" w:eastAsia="仿宋_GB2312"/>
          <w:b w:val="0"/>
          <w:color w:val="000000"/>
        </w:rPr>
        <w:t>支</w:t>
      </w:r>
      <w:r>
        <w:rPr>
          <w:rStyle w:val="26"/>
          <w:rFonts w:hint="eastAsia" w:ascii="仿宋_GB2312" w:hAnsi="仿宋" w:eastAsia="仿宋_GB2312"/>
          <w:b w:val="0"/>
          <w:bCs w:val="0"/>
        </w:rPr>
        <w:t>出决算表</w:t>
      </w:r>
      <w:bookmarkEnd w:id="62"/>
    </w:p>
    <w:p>
      <w:pPr>
        <w:pStyle w:val="3"/>
        <w:rPr>
          <w:rFonts w:ascii="仿宋_GB2312" w:hAnsi="仿宋" w:eastAsia="仿宋_GB2312"/>
          <w:b w:val="0"/>
          <w:color w:val="000000"/>
        </w:rPr>
      </w:pPr>
      <w:bookmarkStart w:id="63" w:name="_Toc15396622"/>
      <w:r>
        <w:rPr>
          <w:rStyle w:val="26"/>
          <w:rFonts w:hint="eastAsia" w:ascii="仿宋_GB2312" w:hAnsi="仿宋" w:eastAsia="仿宋_GB2312"/>
          <w:b w:val="0"/>
          <w:bCs w:val="0"/>
        </w:rPr>
        <w:t>四、</w:t>
      </w:r>
      <w:r>
        <w:rPr>
          <w:rFonts w:hint="eastAsia" w:ascii="仿宋_GB2312" w:hAnsi="仿宋" w:eastAsia="仿宋_GB2312"/>
          <w:b w:val="0"/>
          <w:color w:val="000000"/>
        </w:rPr>
        <w:t>财</w:t>
      </w:r>
      <w:r>
        <w:rPr>
          <w:rStyle w:val="26"/>
          <w:rFonts w:hint="eastAsia" w:ascii="仿宋_GB2312" w:hAnsi="仿宋" w:eastAsia="仿宋_GB2312"/>
          <w:b w:val="0"/>
          <w:bCs w:val="0"/>
        </w:rPr>
        <w:t>政拨款收入支出决算总表</w:t>
      </w:r>
      <w:bookmarkEnd w:id="63"/>
    </w:p>
    <w:p>
      <w:pPr>
        <w:pStyle w:val="3"/>
        <w:rPr>
          <w:rStyle w:val="26"/>
          <w:rFonts w:ascii="仿宋_GB2312" w:hAnsi="仿宋" w:eastAsia="仿宋_GB2312"/>
          <w:b w:val="0"/>
          <w:bCs w:val="0"/>
        </w:rPr>
      </w:pPr>
      <w:bookmarkStart w:id="64" w:name="_Toc15396623"/>
      <w:r>
        <w:rPr>
          <w:rStyle w:val="26"/>
          <w:rFonts w:hint="eastAsia" w:ascii="仿宋_GB2312" w:hAnsi="仿宋" w:eastAsia="仿宋_GB2312"/>
          <w:b w:val="0"/>
          <w:bCs w:val="0"/>
        </w:rPr>
        <w:t>五、</w:t>
      </w:r>
      <w:r>
        <w:rPr>
          <w:rFonts w:hint="eastAsia" w:ascii="仿宋_GB2312" w:hAnsi="仿宋" w:eastAsia="仿宋_GB2312"/>
          <w:b w:val="0"/>
          <w:color w:val="000000"/>
        </w:rPr>
        <w:t>财</w:t>
      </w:r>
      <w:r>
        <w:rPr>
          <w:rStyle w:val="26"/>
          <w:rFonts w:hint="eastAsia" w:ascii="仿宋_GB2312" w:hAnsi="仿宋" w:eastAsia="仿宋_GB2312"/>
          <w:b w:val="0"/>
          <w:bCs w:val="0"/>
        </w:rPr>
        <w:t>政拨款支出决算明细表</w:t>
      </w:r>
      <w:bookmarkEnd w:id="64"/>
      <w:bookmarkStart w:id="65" w:name="_Toc15396624"/>
    </w:p>
    <w:p>
      <w:pPr>
        <w:pStyle w:val="3"/>
        <w:rPr>
          <w:rFonts w:ascii="仿宋_GB2312" w:hAnsi="仿宋" w:eastAsia="仿宋_GB2312"/>
          <w:color w:val="000000"/>
        </w:rPr>
      </w:pPr>
      <w:r>
        <w:rPr>
          <w:rStyle w:val="26"/>
          <w:rFonts w:hint="eastAsia" w:ascii="仿宋_GB2312" w:hAnsi="仿宋" w:eastAsia="仿宋_GB2312"/>
          <w:b w:val="0"/>
          <w:bCs w:val="0"/>
        </w:rPr>
        <w:t>六、</w:t>
      </w:r>
      <w:r>
        <w:rPr>
          <w:rFonts w:hint="eastAsia" w:ascii="仿宋_GB2312" w:hAnsi="仿宋" w:eastAsia="仿宋_GB2312"/>
          <w:b w:val="0"/>
          <w:color w:val="000000"/>
        </w:rPr>
        <w:t>一</w:t>
      </w:r>
      <w:r>
        <w:rPr>
          <w:rStyle w:val="26"/>
          <w:rFonts w:hint="eastAsia" w:ascii="仿宋_GB2312" w:hAnsi="仿宋" w:eastAsia="仿宋_GB2312"/>
          <w:b w:val="0"/>
          <w:bCs w:val="0"/>
        </w:rPr>
        <w:t>般公共预算财政拨款支出决算表</w:t>
      </w:r>
      <w:bookmarkEnd w:id="65"/>
    </w:p>
    <w:p>
      <w:pPr>
        <w:pStyle w:val="3"/>
        <w:rPr>
          <w:rFonts w:ascii="仿宋_GB2312" w:hAnsi="仿宋" w:eastAsia="仿宋_GB2312"/>
          <w:color w:val="000000"/>
        </w:rPr>
      </w:pPr>
      <w:bookmarkStart w:id="66" w:name="_Toc15396625"/>
      <w:r>
        <w:rPr>
          <w:rStyle w:val="26"/>
          <w:rFonts w:hint="eastAsia" w:ascii="仿宋_GB2312" w:hAnsi="仿宋" w:eastAsia="仿宋_GB2312"/>
          <w:b w:val="0"/>
          <w:bCs w:val="0"/>
        </w:rPr>
        <w:t>七、</w:t>
      </w:r>
      <w:r>
        <w:rPr>
          <w:rFonts w:hint="eastAsia" w:ascii="仿宋_GB2312" w:hAnsi="仿宋" w:eastAsia="仿宋_GB2312"/>
          <w:b w:val="0"/>
          <w:color w:val="000000"/>
        </w:rPr>
        <w:t>一</w:t>
      </w:r>
      <w:r>
        <w:rPr>
          <w:rStyle w:val="26"/>
          <w:rFonts w:hint="eastAsia" w:ascii="仿宋_GB2312" w:hAnsi="仿宋" w:eastAsia="仿宋_GB2312"/>
          <w:b w:val="0"/>
          <w:bCs w:val="0"/>
        </w:rPr>
        <w:t>般公共预算财政拨款支出决算明细表</w:t>
      </w:r>
      <w:bookmarkEnd w:id="66"/>
    </w:p>
    <w:p>
      <w:pPr>
        <w:pStyle w:val="3"/>
        <w:rPr>
          <w:rFonts w:ascii="仿宋_GB2312" w:hAnsi="仿宋" w:eastAsia="仿宋_GB2312"/>
          <w:color w:val="000000"/>
        </w:rPr>
      </w:pPr>
      <w:bookmarkStart w:id="67" w:name="_Toc15396626"/>
      <w:r>
        <w:rPr>
          <w:rStyle w:val="26"/>
          <w:rFonts w:hint="eastAsia" w:ascii="仿宋_GB2312" w:hAnsi="仿宋" w:eastAsia="仿宋_GB2312"/>
          <w:b w:val="0"/>
          <w:bCs w:val="0"/>
        </w:rPr>
        <w:t>八、</w:t>
      </w:r>
      <w:r>
        <w:rPr>
          <w:rFonts w:hint="eastAsia" w:ascii="仿宋_GB2312" w:hAnsi="仿宋" w:eastAsia="仿宋_GB2312"/>
          <w:b w:val="0"/>
          <w:color w:val="000000"/>
        </w:rPr>
        <w:t>一</w:t>
      </w:r>
      <w:r>
        <w:rPr>
          <w:rStyle w:val="26"/>
          <w:rFonts w:hint="eastAsia" w:ascii="仿宋_GB2312" w:hAnsi="仿宋" w:eastAsia="仿宋_GB2312"/>
          <w:b w:val="0"/>
          <w:bCs w:val="0"/>
        </w:rPr>
        <w:t>般公共预算财政拨款基本支出决算表</w:t>
      </w:r>
      <w:bookmarkEnd w:id="67"/>
    </w:p>
    <w:p>
      <w:pPr>
        <w:pStyle w:val="3"/>
        <w:rPr>
          <w:rFonts w:ascii="仿宋_GB2312" w:hAnsi="仿宋" w:eastAsia="仿宋_GB2312"/>
          <w:color w:val="000000"/>
        </w:rPr>
      </w:pPr>
      <w:bookmarkStart w:id="68" w:name="_Toc15396627"/>
      <w:r>
        <w:rPr>
          <w:rStyle w:val="26"/>
          <w:rFonts w:hint="eastAsia" w:ascii="仿宋_GB2312" w:hAnsi="仿宋" w:eastAsia="仿宋_GB2312"/>
          <w:b w:val="0"/>
          <w:bCs w:val="0"/>
        </w:rPr>
        <w:t>九、</w:t>
      </w:r>
      <w:r>
        <w:rPr>
          <w:rFonts w:hint="eastAsia" w:ascii="仿宋_GB2312" w:hAnsi="仿宋" w:eastAsia="仿宋_GB2312"/>
          <w:b w:val="0"/>
          <w:color w:val="000000"/>
        </w:rPr>
        <w:t>一</w:t>
      </w:r>
      <w:r>
        <w:rPr>
          <w:rStyle w:val="26"/>
          <w:rFonts w:hint="eastAsia" w:ascii="仿宋_GB2312" w:hAnsi="仿宋" w:eastAsia="仿宋_GB2312"/>
          <w:b w:val="0"/>
          <w:bCs w:val="0"/>
        </w:rPr>
        <w:t>般公共预算财政拨款项目支出决算表</w:t>
      </w:r>
      <w:bookmarkEnd w:id="68"/>
    </w:p>
    <w:p>
      <w:pPr>
        <w:pStyle w:val="3"/>
        <w:rPr>
          <w:rFonts w:ascii="仿宋_GB2312" w:hAnsi="仿宋" w:eastAsia="仿宋_GB2312"/>
          <w:color w:val="000000"/>
        </w:rPr>
      </w:pPr>
      <w:bookmarkStart w:id="69" w:name="_Toc15396628"/>
      <w:r>
        <w:rPr>
          <w:rStyle w:val="26"/>
          <w:rFonts w:hint="eastAsia" w:ascii="仿宋_GB2312" w:hAnsi="仿宋" w:eastAsia="仿宋_GB2312"/>
          <w:b w:val="0"/>
          <w:bCs w:val="0"/>
        </w:rPr>
        <w:t>十、</w:t>
      </w:r>
      <w:r>
        <w:rPr>
          <w:rFonts w:hint="eastAsia" w:ascii="仿宋_GB2312" w:hAnsi="仿宋" w:eastAsia="仿宋_GB2312"/>
          <w:b w:val="0"/>
          <w:color w:val="000000"/>
        </w:rPr>
        <w:t>一</w:t>
      </w:r>
      <w:r>
        <w:rPr>
          <w:rStyle w:val="26"/>
          <w:rFonts w:hint="eastAsia" w:ascii="仿宋_GB2312" w:hAnsi="仿宋" w:eastAsia="仿宋_GB2312"/>
          <w:b w:val="0"/>
          <w:bCs w:val="0"/>
        </w:rPr>
        <w:t>般公共预算财政拨款“三公”经费支出决算表</w:t>
      </w:r>
      <w:bookmarkEnd w:id="69"/>
    </w:p>
    <w:p>
      <w:pPr>
        <w:pStyle w:val="3"/>
        <w:rPr>
          <w:rFonts w:ascii="仿宋_GB2312" w:hAnsi="仿宋" w:eastAsia="仿宋_GB2312"/>
          <w:color w:val="000000"/>
        </w:rPr>
      </w:pPr>
      <w:bookmarkStart w:id="70" w:name="_Toc15396629"/>
      <w:r>
        <w:rPr>
          <w:rStyle w:val="26"/>
          <w:rFonts w:hint="eastAsia" w:ascii="仿宋_GB2312" w:hAnsi="仿宋" w:eastAsia="仿宋_GB2312"/>
          <w:b w:val="0"/>
          <w:bCs w:val="0"/>
        </w:rPr>
        <w:t>十一、</w:t>
      </w:r>
      <w:r>
        <w:rPr>
          <w:rFonts w:hint="eastAsia" w:ascii="仿宋_GB2312" w:hAnsi="仿宋" w:eastAsia="仿宋_GB2312"/>
          <w:b w:val="0"/>
          <w:color w:val="000000"/>
        </w:rPr>
        <w:t>政</w:t>
      </w:r>
      <w:r>
        <w:rPr>
          <w:rStyle w:val="26"/>
          <w:rFonts w:hint="eastAsia" w:ascii="仿宋_GB2312" w:hAnsi="仿宋" w:eastAsia="仿宋_GB2312"/>
          <w:b w:val="0"/>
          <w:bCs w:val="0"/>
        </w:rPr>
        <w:t>府性基金预算财政拨款收入支出决算表</w:t>
      </w:r>
      <w:bookmarkEnd w:id="70"/>
    </w:p>
    <w:p>
      <w:pPr>
        <w:pStyle w:val="3"/>
        <w:rPr>
          <w:rFonts w:ascii="仿宋_GB2312" w:hAnsi="仿宋" w:eastAsia="仿宋_GB2312"/>
          <w:b w:val="0"/>
          <w:color w:val="000000"/>
        </w:rPr>
      </w:pPr>
      <w:bookmarkStart w:id="71" w:name="_Toc15396630"/>
      <w:r>
        <w:rPr>
          <w:rStyle w:val="26"/>
          <w:rFonts w:hint="eastAsia" w:ascii="仿宋_GB2312" w:hAnsi="仿宋" w:eastAsia="仿宋_GB2312"/>
          <w:b w:val="0"/>
          <w:bCs w:val="0"/>
        </w:rPr>
        <w:t>十</w:t>
      </w:r>
      <w:r>
        <w:rPr>
          <w:rFonts w:hint="eastAsia"/>
          <w:bCs w:val="0"/>
          <w:color w:val="000000"/>
        </w:rPr>
        <w:t>二、</w:t>
      </w:r>
      <w:r>
        <w:rPr>
          <w:rFonts w:hint="eastAsia" w:ascii="仿宋_GB2312" w:hAnsi="仿宋" w:eastAsia="仿宋_GB2312"/>
          <w:b w:val="0"/>
          <w:color w:val="000000"/>
        </w:rPr>
        <w:t>政</w:t>
      </w:r>
      <w:r>
        <w:rPr>
          <w:rFonts w:hint="eastAsia"/>
          <w:bCs w:val="0"/>
          <w:color w:val="000000"/>
        </w:rPr>
        <w:t>府性基金预算财政拨款“三公”经费支出决算表</w:t>
      </w:r>
      <w:bookmarkEnd w:id="71"/>
    </w:p>
    <w:p>
      <w:pPr>
        <w:pStyle w:val="11"/>
        <w:adjustRightInd w:val="0"/>
        <w:snapToGrid w:val="0"/>
        <w:spacing w:line="440" w:lineRule="exact"/>
        <w:ind w:left="0" w:leftChars="0"/>
        <w:jc w:val="left"/>
        <w:rPr>
          <w:rFonts w:ascii="仿宋_GB2312" w:hAnsi="仿宋" w:eastAsia="仿宋_GB2312" w:cstheme="majorBidi"/>
          <w:bCs/>
          <w:color w:val="000000"/>
          <w:sz w:val="32"/>
          <w:szCs w:val="32"/>
        </w:rPr>
      </w:pPr>
      <w:bookmarkStart w:id="72" w:name="_Toc15396631"/>
      <w:r>
        <w:rPr>
          <w:rFonts w:hint="eastAsia"/>
          <w:b/>
          <w:color w:val="000000"/>
        </w:rPr>
        <w:t>十三、</w:t>
      </w:r>
      <w:bookmarkEnd w:id="72"/>
      <w:r>
        <w:rPr>
          <w:rFonts w:hint="eastAsia" w:ascii="仿宋_GB2312" w:hAnsi="仿宋" w:eastAsia="仿宋_GB2312" w:cstheme="majorBidi"/>
          <w:bCs/>
          <w:color w:val="000000"/>
          <w:sz w:val="32"/>
          <w:szCs w:val="32"/>
        </w:rPr>
        <w:t>国有资本经营预算财政拨款收入支出决算表</w:t>
      </w:r>
    </w:p>
    <w:p>
      <w:pPr>
        <w:pStyle w:val="11"/>
        <w:adjustRightInd w:val="0"/>
        <w:snapToGrid w:val="0"/>
        <w:spacing w:line="440" w:lineRule="exact"/>
        <w:ind w:left="0" w:leftChars="0"/>
        <w:jc w:val="left"/>
        <w:rPr>
          <w:rFonts w:ascii="仿宋_GB2312" w:hAnsi="仿宋" w:eastAsia="仿宋_GB2312" w:cstheme="majorBidi"/>
          <w:bCs/>
          <w:color w:val="000000"/>
          <w:sz w:val="32"/>
          <w:szCs w:val="32"/>
        </w:rPr>
      </w:pPr>
      <w:r>
        <w:rPr>
          <w:rFonts w:hint="eastAsia" w:ascii="仿宋_GB2312" w:hAnsi="仿宋" w:eastAsia="仿宋_GB2312" w:cstheme="majorBidi"/>
          <w:bCs/>
          <w:color w:val="000000"/>
          <w:sz w:val="32"/>
          <w:szCs w:val="32"/>
        </w:rPr>
        <w:t>十四、</w:t>
      </w:r>
      <w:r>
        <w:rPr>
          <w:rStyle w:val="26"/>
          <w:rFonts w:hint="eastAsia" w:ascii="仿宋_GB2312" w:hAnsi="仿宋" w:eastAsia="仿宋_GB2312"/>
        </w:rPr>
        <w:t>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8BB10D6"/>
    <w:multiLevelType w:val="multilevel"/>
    <w:tmpl w:val="68BB10D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004E9"/>
    <w:rsid w:val="000222C6"/>
    <w:rsid w:val="0002549F"/>
    <w:rsid w:val="00026CC9"/>
    <w:rsid w:val="000468DB"/>
    <w:rsid w:val="0006487A"/>
    <w:rsid w:val="00065F8F"/>
    <w:rsid w:val="00070A43"/>
    <w:rsid w:val="000768F2"/>
    <w:rsid w:val="0009184B"/>
    <w:rsid w:val="00094236"/>
    <w:rsid w:val="0009593C"/>
    <w:rsid w:val="00097322"/>
    <w:rsid w:val="000A6A92"/>
    <w:rsid w:val="000B047F"/>
    <w:rsid w:val="000B477C"/>
    <w:rsid w:val="000B5923"/>
    <w:rsid w:val="000B5A48"/>
    <w:rsid w:val="000B6FF3"/>
    <w:rsid w:val="000C3467"/>
    <w:rsid w:val="000C3CA6"/>
    <w:rsid w:val="000C621B"/>
    <w:rsid w:val="000D1267"/>
    <w:rsid w:val="000D1D50"/>
    <w:rsid w:val="000D5782"/>
    <w:rsid w:val="000E5063"/>
    <w:rsid w:val="000E6613"/>
    <w:rsid w:val="000E7119"/>
    <w:rsid w:val="00114E9B"/>
    <w:rsid w:val="001170B9"/>
    <w:rsid w:val="00133B27"/>
    <w:rsid w:val="001348D1"/>
    <w:rsid w:val="00142216"/>
    <w:rsid w:val="00144D6A"/>
    <w:rsid w:val="0014729F"/>
    <w:rsid w:val="00157BAB"/>
    <w:rsid w:val="001654D1"/>
    <w:rsid w:val="00173608"/>
    <w:rsid w:val="00174518"/>
    <w:rsid w:val="0018106D"/>
    <w:rsid w:val="001815AD"/>
    <w:rsid w:val="001877A7"/>
    <w:rsid w:val="00191536"/>
    <w:rsid w:val="00196687"/>
    <w:rsid w:val="00196F65"/>
    <w:rsid w:val="001C0962"/>
    <w:rsid w:val="001D3E53"/>
    <w:rsid w:val="001D7531"/>
    <w:rsid w:val="001E66E5"/>
    <w:rsid w:val="001E737D"/>
    <w:rsid w:val="001F0592"/>
    <w:rsid w:val="001F7506"/>
    <w:rsid w:val="002006CD"/>
    <w:rsid w:val="00202B36"/>
    <w:rsid w:val="00204B7A"/>
    <w:rsid w:val="00204CDE"/>
    <w:rsid w:val="0021101A"/>
    <w:rsid w:val="00220536"/>
    <w:rsid w:val="00220B96"/>
    <w:rsid w:val="00233509"/>
    <w:rsid w:val="0023519B"/>
    <w:rsid w:val="00235629"/>
    <w:rsid w:val="0024767D"/>
    <w:rsid w:val="00260C38"/>
    <w:rsid w:val="002616C0"/>
    <w:rsid w:val="00265372"/>
    <w:rsid w:val="002662AA"/>
    <w:rsid w:val="00280496"/>
    <w:rsid w:val="00294DC9"/>
    <w:rsid w:val="00295495"/>
    <w:rsid w:val="002A31DE"/>
    <w:rsid w:val="002A58D0"/>
    <w:rsid w:val="002B2613"/>
    <w:rsid w:val="002D19B0"/>
    <w:rsid w:val="002D6D05"/>
    <w:rsid w:val="002F1818"/>
    <w:rsid w:val="002F567B"/>
    <w:rsid w:val="003216A9"/>
    <w:rsid w:val="00321BF4"/>
    <w:rsid w:val="00322B53"/>
    <w:rsid w:val="00324907"/>
    <w:rsid w:val="00335A74"/>
    <w:rsid w:val="003447AB"/>
    <w:rsid w:val="003454E1"/>
    <w:rsid w:val="00355315"/>
    <w:rsid w:val="0036561B"/>
    <w:rsid w:val="0037013F"/>
    <w:rsid w:val="00380C92"/>
    <w:rsid w:val="00386074"/>
    <w:rsid w:val="003A484F"/>
    <w:rsid w:val="003A4883"/>
    <w:rsid w:val="003B0BE0"/>
    <w:rsid w:val="003B0C1B"/>
    <w:rsid w:val="003B688C"/>
    <w:rsid w:val="003C0291"/>
    <w:rsid w:val="003C293D"/>
    <w:rsid w:val="003C39AE"/>
    <w:rsid w:val="003C7B60"/>
    <w:rsid w:val="003D0C0F"/>
    <w:rsid w:val="003D1FB2"/>
    <w:rsid w:val="003D66DA"/>
    <w:rsid w:val="003E1310"/>
    <w:rsid w:val="003E6F55"/>
    <w:rsid w:val="003F6BD4"/>
    <w:rsid w:val="00406254"/>
    <w:rsid w:val="004118AA"/>
    <w:rsid w:val="00416CD4"/>
    <w:rsid w:val="004223DE"/>
    <w:rsid w:val="0042618A"/>
    <w:rsid w:val="00434489"/>
    <w:rsid w:val="00437085"/>
    <w:rsid w:val="00443880"/>
    <w:rsid w:val="004464F4"/>
    <w:rsid w:val="0045516D"/>
    <w:rsid w:val="00471401"/>
    <w:rsid w:val="00472843"/>
    <w:rsid w:val="00473F31"/>
    <w:rsid w:val="0048263A"/>
    <w:rsid w:val="00487E5D"/>
    <w:rsid w:val="00493A5B"/>
    <w:rsid w:val="004A64B7"/>
    <w:rsid w:val="004A711F"/>
    <w:rsid w:val="004B199D"/>
    <w:rsid w:val="004B4690"/>
    <w:rsid w:val="004D7FD4"/>
    <w:rsid w:val="004E0A2D"/>
    <w:rsid w:val="004E206B"/>
    <w:rsid w:val="004E6DF7"/>
    <w:rsid w:val="004F0FBD"/>
    <w:rsid w:val="004F403E"/>
    <w:rsid w:val="00505A47"/>
    <w:rsid w:val="00512FDA"/>
    <w:rsid w:val="00520DA0"/>
    <w:rsid w:val="00536EC3"/>
    <w:rsid w:val="005664BB"/>
    <w:rsid w:val="00566FFA"/>
    <w:rsid w:val="0057481D"/>
    <w:rsid w:val="00575F0B"/>
    <w:rsid w:val="00576A72"/>
    <w:rsid w:val="00580769"/>
    <w:rsid w:val="005832B1"/>
    <w:rsid w:val="0058486E"/>
    <w:rsid w:val="00585B33"/>
    <w:rsid w:val="0059014D"/>
    <w:rsid w:val="0059135C"/>
    <w:rsid w:val="00592228"/>
    <w:rsid w:val="005935AE"/>
    <w:rsid w:val="005B5C64"/>
    <w:rsid w:val="005C6BD0"/>
    <w:rsid w:val="005C6C4C"/>
    <w:rsid w:val="005D1C8B"/>
    <w:rsid w:val="005D468D"/>
    <w:rsid w:val="005D53B8"/>
    <w:rsid w:val="005D5CED"/>
    <w:rsid w:val="005E70CA"/>
    <w:rsid w:val="005F1A4C"/>
    <w:rsid w:val="00605651"/>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75B23"/>
    <w:rsid w:val="00681731"/>
    <w:rsid w:val="00681A31"/>
    <w:rsid w:val="00683E73"/>
    <w:rsid w:val="0069050B"/>
    <w:rsid w:val="006A03CB"/>
    <w:rsid w:val="006A16E6"/>
    <w:rsid w:val="006A3141"/>
    <w:rsid w:val="006A5E34"/>
    <w:rsid w:val="006A791F"/>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3E3B"/>
    <w:rsid w:val="0079426B"/>
    <w:rsid w:val="007A0546"/>
    <w:rsid w:val="007B59C0"/>
    <w:rsid w:val="007D1682"/>
    <w:rsid w:val="007D312A"/>
    <w:rsid w:val="007D3F19"/>
    <w:rsid w:val="007E23B0"/>
    <w:rsid w:val="007F1991"/>
    <w:rsid w:val="007F2C2F"/>
    <w:rsid w:val="007F55FC"/>
    <w:rsid w:val="007F5665"/>
    <w:rsid w:val="00800112"/>
    <w:rsid w:val="00813348"/>
    <w:rsid w:val="00813893"/>
    <w:rsid w:val="0082016B"/>
    <w:rsid w:val="008253BB"/>
    <w:rsid w:val="00833962"/>
    <w:rsid w:val="0083706E"/>
    <w:rsid w:val="008408F6"/>
    <w:rsid w:val="008423A5"/>
    <w:rsid w:val="00850625"/>
    <w:rsid w:val="00853718"/>
    <w:rsid w:val="00855221"/>
    <w:rsid w:val="00860645"/>
    <w:rsid w:val="0086473E"/>
    <w:rsid w:val="008702E5"/>
    <w:rsid w:val="00871F71"/>
    <w:rsid w:val="00872FD8"/>
    <w:rsid w:val="00885AF4"/>
    <w:rsid w:val="008939CD"/>
    <w:rsid w:val="008B17A8"/>
    <w:rsid w:val="008B768C"/>
    <w:rsid w:val="008C4DB1"/>
    <w:rsid w:val="008C4EAF"/>
    <w:rsid w:val="008C5176"/>
    <w:rsid w:val="008C7FD0"/>
    <w:rsid w:val="008D445D"/>
    <w:rsid w:val="008D79D9"/>
    <w:rsid w:val="008E1DE7"/>
    <w:rsid w:val="008E707C"/>
    <w:rsid w:val="00900B08"/>
    <w:rsid w:val="00902155"/>
    <w:rsid w:val="00902FA3"/>
    <w:rsid w:val="0092256C"/>
    <w:rsid w:val="00923564"/>
    <w:rsid w:val="0092392E"/>
    <w:rsid w:val="009315F9"/>
    <w:rsid w:val="00933499"/>
    <w:rsid w:val="00934B7B"/>
    <w:rsid w:val="00935C98"/>
    <w:rsid w:val="00946945"/>
    <w:rsid w:val="00951248"/>
    <w:rsid w:val="0095152F"/>
    <w:rsid w:val="00954C49"/>
    <w:rsid w:val="00955E37"/>
    <w:rsid w:val="0097099F"/>
    <w:rsid w:val="00971997"/>
    <w:rsid w:val="00971FFC"/>
    <w:rsid w:val="00972D27"/>
    <w:rsid w:val="0098660A"/>
    <w:rsid w:val="009931C3"/>
    <w:rsid w:val="009B2C43"/>
    <w:rsid w:val="009B4EAE"/>
    <w:rsid w:val="009B7573"/>
    <w:rsid w:val="009C22F4"/>
    <w:rsid w:val="009C2E98"/>
    <w:rsid w:val="009C37FB"/>
    <w:rsid w:val="009D3447"/>
    <w:rsid w:val="009D4711"/>
    <w:rsid w:val="009E2770"/>
    <w:rsid w:val="009F1185"/>
    <w:rsid w:val="009F18CD"/>
    <w:rsid w:val="009F2A13"/>
    <w:rsid w:val="009F7527"/>
    <w:rsid w:val="00A039ED"/>
    <w:rsid w:val="00A0486F"/>
    <w:rsid w:val="00A04EB0"/>
    <w:rsid w:val="00A13CC1"/>
    <w:rsid w:val="00A16847"/>
    <w:rsid w:val="00A20DC2"/>
    <w:rsid w:val="00A21218"/>
    <w:rsid w:val="00A21948"/>
    <w:rsid w:val="00A237D8"/>
    <w:rsid w:val="00A251D5"/>
    <w:rsid w:val="00A268C4"/>
    <w:rsid w:val="00A27B8B"/>
    <w:rsid w:val="00A307CD"/>
    <w:rsid w:val="00A331C8"/>
    <w:rsid w:val="00A35117"/>
    <w:rsid w:val="00A35D04"/>
    <w:rsid w:val="00A40A00"/>
    <w:rsid w:val="00A41314"/>
    <w:rsid w:val="00A4142F"/>
    <w:rsid w:val="00A422EB"/>
    <w:rsid w:val="00A43048"/>
    <w:rsid w:val="00A45BB7"/>
    <w:rsid w:val="00A56DF2"/>
    <w:rsid w:val="00A56E6E"/>
    <w:rsid w:val="00A676A1"/>
    <w:rsid w:val="00A67AB5"/>
    <w:rsid w:val="00A733B2"/>
    <w:rsid w:val="00A741C2"/>
    <w:rsid w:val="00A839D5"/>
    <w:rsid w:val="00A83C4A"/>
    <w:rsid w:val="00A91760"/>
    <w:rsid w:val="00A93B00"/>
    <w:rsid w:val="00A93C21"/>
    <w:rsid w:val="00AA2201"/>
    <w:rsid w:val="00AB64C9"/>
    <w:rsid w:val="00AC3C6A"/>
    <w:rsid w:val="00AD0F83"/>
    <w:rsid w:val="00AD4515"/>
    <w:rsid w:val="00AD5620"/>
    <w:rsid w:val="00AD656B"/>
    <w:rsid w:val="00AD7C1B"/>
    <w:rsid w:val="00AE16BA"/>
    <w:rsid w:val="00AE1EBE"/>
    <w:rsid w:val="00B00285"/>
    <w:rsid w:val="00B01634"/>
    <w:rsid w:val="00B03C9D"/>
    <w:rsid w:val="00B060AE"/>
    <w:rsid w:val="00B10517"/>
    <w:rsid w:val="00B14E76"/>
    <w:rsid w:val="00B161B8"/>
    <w:rsid w:val="00B2048C"/>
    <w:rsid w:val="00B2184B"/>
    <w:rsid w:val="00B310B9"/>
    <w:rsid w:val="00B35F3F"/>
    <w:rsid w:val="00B36CBB"/>
    <w:rsid w:val="00B425E0"/>
    <w:rsid w:val="00B440AA"/>
    <w:rsid w:val="00B44B70"/>
    <w:rsid w:val="00B53C56"/>
    <w:rsid w:val="00B57DAF"/>
    <w:rsid w:val="00B7644E"/>
    <w:rsid w:val="00B77EA6"/>
    <w:rsid w:val="00B81416"/>
    <w:rsid w:val="00B81598"/>
    <w:rsid w:val="00B841F1"/>
    <w:rsid w:val="00B944D6"/>
    <w:rsid w:val="00BB4DF0"/>
    <w:rsid w:val="00BC289F"/>
    <w:rsid w:val="00BC2D50"/>
    <w:rsid w:val="00BC5361"/>
    <w:rsid w:val="00BC5460"/>
    <w:rsid w:val="00BC6B50"/>
    <w:rsid w:val="00BD0E25"/>
    <w:rsid w:val="00BD49C4"/>
    <w:rsid w:val="00BF5BD6"/>
    <w:rsid w:val="00C03E31"/>
    <w:rsid w:val="00C30E69"/>
    <w:rsid w:val="00C32BC5"/>
    <w:rsid w:val="00C33E72"/>
    <w:rsid w:val="00C354B2"/>
    <w:rsid w:val="00C35554"/>
    <w:rsid w:val="00C3582B"/>
    <w:rsid w:val="00C42709"/>
    <w:rsid w:val="00C533CC"/>
    <w:rsid w:val="00C5751C"/>
    <w:rsid w:val="00C61BFC"/>
    <w:rsid w:val="00C62B85"/>
    <w:rsid w:val="00C65438"/>
    <w:rsid w:val="00C76279"/>
    <w:rsid w:val="00C91CBB"/>
    <w:rsid w:val="00C925DA"/>
    <w:rsid w:val="00CB4E70"/>
    <w:rsid w:val="00CC09B6"/>
    <w:rsid w:val="00CC666F"/>
    <w:rsid w:val="00CD1E3F"/>
    <w:rsid w:val="00CE44F6"/>
    <w:rsid w:val="00CE49DA"/>
    <w:rsid w:val="00CE7B61"/>
    <w:rsid w:val="00CF123C"/>
    <w:rsid w:val="00CF2A73"/>
    <w:rsid w:val="00D00095"/>
    <w:rsid w:val="00D10CE0"/>
    <w:rsid w:val="00D114F0"/>
    <w:rsid w:val="00D20620"/>
    <w:rsid w:val="00D254F7"/>
    <w:rsid w:val="00D26091"/>
    <w:rsid w:val="00D2685C"/>
    <w:rsid w:val="00D34D61"/>
    <w:rsid w:val="00D34E7C"/>
    <w:rsid w:val="00D35489"/>
    <w:rsid w:val="00D36AFE"/>
    <w:rsid w:val="00D37744"/>
    <w:rsid w:val="00D40813"/>
    <w:rsid w:val="00D51276"/>
    <w:rsid w:val="00D7035F"/>
    <w:rsid w:val="00D71BB3"/>
    <w:rsid w:val="00D80A00"/>
    <w:rsid w:val="00DA634F"/>
    <w:rsid w:val="00DA65AC"/>
    <w:rsid w:val="00DA689D"/>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47598"/>
    <w:rsid w:val="00E50624"/>
    <w:rsid w:val="00E51741"/>
    <w:rsid w:val="00E52A63"/>
    <w:rsid w:val="00E568DF"/>
    <w:rsid w:val="00E64269"/>
    <w:rsid w:val="00E66797"/>
    <w:rsid w:val="00E72C6B"/>
    <w:rsid w:val="00E80B45"/>
    <w:rsid w:val="00E82267"/>
    <w:rsid w:val="00E853CE"/>
    <w:rsid w:val="00E867B6"/>
    <w:rsid w:val="00E87F08"/>
    <w:rsid w:val="00E9004B"/>
    <w:rsid w:val="00E9627F"/>
    <w:rsid w:val="00EA010F"/>
    <w:rsid w:val="00ED1B63"/>
    <w:rsid w:val="00ED2BEB"/>
    <w:rsid w:val="00ED3C1F"/>
    <w:rsid w:val="00ED4085"/>
    <w:rsid w:val="00ED420E"/>
    <w:rsid w:val="00ED6FBE"/>
    <w:rsid w:val="00EE2F57"/>
    <w:rsid w:val="00EF4C34"/>
    <w:rsid w:val="00EF77C6"/>
    <w:rsid w:val="00F05438"/>
    <w:rsid w:val="00F1361C"/>
    <w:rsid w:val="00F156F0"/>
    <w:rsid w:val="00F160C7"/>
    <w:rsid w:val="00F227A0"/>
    <w:rsid w:val="00F2408F"/>
    <w:rsid w:val="00F240E9"/>
    <w:rsid w:val="00F36D8F"/>
    <w:rsid w:val="00F417B1"/>
    <w:rsid w:val="00F45853"/>
    <w:rsid w:val="00F602DF"/>
    <w:rsid w:val="00F70B5E"/>
    <w:rsid w:val="00F754A1"/>
    <w:rsid w:val="00F81FD9"/>
    <w:rsid w:val="00F83A14"/>
    <w:rsid w:val="00F841AA"/>
    <w:rsid w:val="00F84A94"/>
    <w:rsid w:val="00F87E96"/>
    <w:rsid w:val="00F96AEE"/>
    <w:rsid w:val="00FA23E8"/>
    <w:rsid w:val="00FA4660"/>
    <w:rsid w:val="00FB0574"/>
    <w:rsid w:val="00FB4BE3"/>
    <w:rsid w:val="00FB6726"/>
    <w:rsid w:val="00FD1DD4"/>
    <w:rsid w:val="00FD3CC1"/>
    <w:rsid w:val="00FF1E02"/>
    <w:rsid w:val="00FF30B4"/>
    <w:rsid w:val="00FF7906"/>
    <w:rsid w:val="10C055FF"/>
    <w:rsid w:val="16BB723D"/>
    <w:rsid w:val="240371BF"/>
    <w:rsid w:val="29FD04D3"/>
    <w:rsid w:val="319F7F4E"/>
    <w:rsid w:val="353E67AD"/>
    <w:rsid w:val="4ECE2238"/>
    <w:rsid w:val="72734D90"/>
    <w:rsid w:val="7FF7B62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99"/>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500" b="1" i="0" u="none" strike="noStrike" kern="1200" spc="0" baseline="0">
                <a:solidFill>
                  <a:schemeClr val="tx1">
                    <a:lumMod val="65000"/>
                    <a:lumOff val="35000"/>
                  </a:schemeClr>
                </a:solidFill>
                <a:latin typeface="+mn-lt"/>
                <a:ea typeface="+mn-ea"/>
                <a:cs typeface="+mn-cs"/>
              </a:defRPr>
            </a:pPr>
            <a:r>
              <a:rPr lang="zh-CN" altLang="en-US" sz="1500" b="1" i="0" baseline="0"/>
              <a:t>收入支出决算总体情况</a:t>
            </a:r>
            <a:endParaRPr lang="zh-CN" altLang="en-US" sz="1500" b="1" i="0" baseline="0"/>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2019年度</c:v>
                </c:pt>
              </c:strCache>
            </c:strRef>
          </c:tx>
          <c:spPr>
            <a:solidFill>
              <a:srgbClr val="C00000"/>
            </a:solidFill>
            <a:ln>
              <a:noFill/>
            </a:ln>
            <a:effectLst/>
          </c:spPr>
          <c:invertIfNegative val="false"/>
          <c:dLbls>
            <c:dLbl>
              <c:idx val="0"/>
              <c:layout/>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Sheet1!$A$2:$A$3</c:f>
              <c:strCache>
                <c:ptCount val="2"/>
                <c:pt idx="0">
                  <c:v>收入总计</c:v>
                </c:pt>
                <c:pt idx="1">
                  <c:v>支出总计</c:v>
                </c:pt>
              </c:strCache>
            </c:strRef>
          </c:cat>
          <c:val>
            <c:numRef>
              <c:f>Sheet1!$B$2:$B$3</c:f>
              <c:numCache>
                <c:formatCode>General</c:formatCode>
                <c:ptCount val="2"/>
                <c:pt idx="0">
                  <c:v>71.72</c:v>
                </c:pt>
                <c:pt idx="1">
                  <c:v>72.39</c:v>
                </c:pt>
              </c:numCache>
            </c:numRef>
          </c:val>
        </c:ser>
        <c:ser>
          <c:idx val="1"/>
          <c:order val="1"/>
          <c:tx>
            <c:strRef>
              <c:f>Sheet1!$C$1</c:f>
              <c:strCache>
                <c:ptCount val="1"/>
                <c:pt idx="0">
                  <c:v>2020年度</c:v>
                </c:pt>
              </c:strCache>
            </c:strRef>
          </c:tx>
          <c:spPr>
            <a:solidFill>
              <a:srgbClr val="FFFF00"/>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Sheet1!$A$2:$A$3</c:f>
              <c:strCache>
                <c:ptCount val="2"/>
                <c:pt idx="0">
                  <c:v>收入总计</c:v>
                </c:pt>
                <c:pt idx="1">
                  <c:v>支出总计</c:v>
                </c:pt>
              </c:strCache>
            </c:strRef>
          </c:cat>
          <c:val>
            <c:numRef>
              <c:f>Sheet1!$C$2:$C$3</c:f>
              <c:numCache>
                <c:formatCode>General</c:formatCode>
                <c:ptCount val="2"/>
                <c:pt idx="0">
                  <c:v>84.98</c:v>
                </c:pt>
                <c:pt idx="1">
                  <c:v>59.24</c:v>
                </c:pt>
              </c:numCache>
            </c:numRef>
          </c:val>
        </c:ser>
        <c:dLbls>
          <c:showLegendKey val="false"/>
          <c:showVal val="false"/>
          <c:showCatName val="false"/>
          <c:showSerName val="false"/>
          <c:showPercent val="false"/>
          <c:showBubbleSize val="false"/>
        </c:dLbls>
        <c:gapWidth val="219"/>
        <c:axId val="167849344"/>
        <c:axId val="176888832"/>
      </c:barChart>
      <c:catAx>
        <c:axId val="167849344"/>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true"/>
          <a:lstStyle/>
          <a:p>
            <a:pPr>
              <a:defRPr lang="zh-CN" sz="1400" b="0" i="0" u="none" strike="noStrike" kern="1200" baseline="0">
                <a:solidFill>
                  <a:schemeClr val="tx1">
                    <a:lumMod val="65000"/>
                    <a:lumOff val="35000"/>
                  </a:schemeClr>
                </a:solidFill>
                <a:latin typeface="+mn-lt"/>
                <a:ea typeface="+mn-ea"/>
                <a:cs typeface="+mn-cs"/>
              </a:defRPr>
            </a:pPr>
          </a:p>
        </c:txPr>
        <c:crossAx val="176888832"/>
        <c:crosses val="autoZero"/>
        <c:auto val="true"/>
        <c:lblAlgn val="ctr"/>
        <c:lblOffset val="100"/>
        <c:noMultiLvlLbl val="false"/>
      </c:catAx>
      <c:valAx>
        <c:axId val="176888832"/>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67849344"/>
        <c:crosses val="autoZero"/>
        <c:crossBetween val="between"/>
      </c:valAx>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13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accent1">
        <a:lumMod val="20000"/>
        <a:lumOff val="80000"/>
      </a:schemeClr>
    </a:solidFill>
    <a:ln w="28575" cap="flat" cmpd="sng" algn="ctr">
      <a:solidFill>
        <a:schemeClr val="tx1">
          <a:lumMod val="95000"/>
          <a:lumOff val="5000"/>
        </a:schemeClr>
      </a:solid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1" vertOverflow="ellipsis" vert="horz" wrap="square" anchor="ctr" anchorCtr="true"/>
        <a:lstStyle/>
        <a:p>
          <a:pPr>
            <a:defRPr lang="zh-CN" sz="1500" b="1"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2020年收入</c:v>
                </c:pt>
              </c:strCache>
            </c:strRef>
          </c:tx>
          <c:explosion val="0"/>
          <c:dPt>
            <c:idx val="0"/>
            <c:bubble3D val="false"/>
            <c:spPr>
              <a:solidFill>
                <a:schemeClr val="accent1"/>
              </a:solidFill>
              <a:ln w="19050">
                <a:solidFill>
                  <a:schemeClr val="lt1"/>
                </a:solidFill>
              </a:ln>
              <a:effectLst/>
            </c:spPr>
          </c:dPt>
          <c:dLbls>
            <c:delete val="true"/>
          </c:dLbls>
          <c:cat>
            <c:strRef>
              <c:f>Sheet1!$A$2</c:f>
              <c:strCache>
                <c:ptCount val="1"/>
                <c:pt idx="0">
                  <c:v>一般公共预算财政拨款收入</c:v>
                </c:pt>
              </c:strCache>
            </c:strRef>
          </c:cat>
          <c:val>
            <c:numRef>
              <c:f>Sheet1!$B$2</c:f>
              <c:numCache>
                <c:formatCode>General</c:formatCode>
                <c:ptCount val="1"/>
                <c:pt idx="0">
                  <c:v>84.98</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egendEntry>
        <c:idx val="0"/>
        <c:txPr>
          <a:bodyPr rot="0" spcFirstLastPara="1" vertOverflow="ellipsis" vert="horz" wrap="square" anchor="ctr" anchorCtr="true"/>
          <a:lstStyle/>
          <a:p>
            <a:pPr>
              <a:defRPr lang="zh-CN" sz="1300" b="1" i="0" u="none" strike="noStrike" kern="1200" baseline="0">
                <a:solidFill>
                  <a:schemeClr val="tx1">
                    <a:lumMod val="65000"/>
                    <a:lumOff val="35000"/>
                  </a:schemeClr>
                </a:solidFill>
                <a:latin typeface="+mn-lt"/>
                <a:ea typeface="+mn-ea"/>
                <a:cs typeface="+mn-cs"/>
              </a:defRPr>
            </a:pPr>
          </a:p>
        </c:txPr>
      </c:legendEntry>
      <c:layout/>
      <c:overlay val="false"/>
      <c:spPr>
        <a:noFill/>
        <a:ln>
          <a:noFill/>
        </a:ln>
        <a:effectLst/>
      </c:spPr>
      <c:txPr>
        <a:bodyPr rot="0" spcFirstLastPara="1" vertOverflow="ellipsis" vert="horz" wrap="square" anchor="ctr" anchorCtr="true"/>
        <a:lstStyle/>
        <a:p>
          <a:pPr>
            <a:defRPr lang="zh-CN" sz="13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accent5">
        <a:lumMod val="40000"/>
        <a:lumOff val="60000"/>
      </a:schemeClr>
    </a:solidFill>
    <a:ln w="12700" cap="flat" cmpd="sng" algn="ctr">
      <a:solidFill>
        <a:schemeClr val="accent5">
          <a:lumMod val="40000"/>
          <a:lumOff val="60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1"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p>
      </c:txPr>
    </c:title>
    <c:autoTitleDeleted val="false"/>
    <c:plotArea>
      <c:layout>
        <c:manualLayout>
          <c:layoutTarget val="inner"/>
          <c:xMode val="edge"/>
          <c:yMode val="edge"/>
          <c:x val="0"/>
          <c:y val="0.142997427301785"/>
          <c:w val="1"/>
          <c:h val="0.742080299368521"/>
        </c:manualLayout>
      </c:layout>
      <c:pieChart>
        <c:varyColors val="true"/>
        <c:ser>
          <c:idx val="0"/>
          <c:order val="0"/>
          <c:tx>
            <c:strRef>
              <c:f>Sheet1!$B$1</c:f>
              <c:strCache>
                <c:ptCount val="1"/>
                <c:pt idx="0">
                  <c:v>2020年支出</c:v>
                </c:pt>
              </c:strCache>
            </c:strRef>
          </c:tx>
          <c:explosion val="0"/>
          <c:dPt>
            <c:idx val="0"/>
            <c:bubble3D val="false"/>
            <c:spPr>
              <a:solidFill>
                <a:srgbClr val="9900CC"/>
              </a:solidFill>
              <a:ln>
                <a:noFill/>
              </a:ln>
              <a:effectLst>
                <a:outerShdw blurRad="254000" sx="102000" sy="102000" algn="ctr" rotWithShape="0">
                  <a:prstClr val="black">
                    <a:alpha val="20000"/>
                  </a:prstClr>
                </a:outerShdw>
              </a:effectLst>
              <a:sp3d/>
            </c:spPr>
          </c:dPt>
          <c:dPt>
            <c:idx val="1"/>
            <c:bubble3D val="false"/>
            <c:spPr>
              <a:solidFill>
                <a:srgbClr val="FF0000"/>
              </a:solidFill>
              <a:ln>
                <a:noFill/>
              </a:ln>
              <a:effectLst>
                <a:outerShdw blurRad="254000" sx="102000" sy="102000" algn="ctr" rotWithShape="0">
                  <a:prstClr val="black">
                    <a:alpha val="20000"/>
                  </a:prstClr>
                </a:outerShdw>
              </a:effectLst>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true">
                <a:spAutoFit/>
              </a:bodyPr>
              <a:lstStyle/>
              <a:p>
                <a:pPr>
                  <a:defRPr lang="zh-CN" sz="1000" b="1" i="0" u="none" strike="noStrike" kern="1200" baseline="0">
                    <a:solidFill>
                      <a:schemeClr val="lt1"/>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dk1">
                          <a:lumMod val="50000"/>
                          <a:lumOff val="50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56.22</c:v>
                </c:pt>
                <c:pt idx="1">
                  <c:v>3.02</c:v>
                </c:pt>
              </c:numCache>
            </c:numRef>
          </c:val>
        </c:ser>
        <c:dLbls>
          <c:showLegendKey val="false"/>
          <c:showVal val="false"/>
          <c:showCatName val="false"/>
          <c:showSerName val="false"/>
          <c:showPercent val="true"/>
          <c:showBubbleSize val="false"/>
          <c:showLeaderLines val="true"/>
        </c:dLbls>
        <c:firstSliceAng val="15"/>
      </c:pieChart>
      <c:spPr>
        <a:noFill/>
        <a:ln>
          <a:noFill/>
        </a:ln>
        <a:effectLst/>
      </c:spPr>
    </c:plotArea>
    <c:legend>
      <c:legendPos val="r"/>
      <c:layout>
        <c:manualLayout>
          <c:xMode val="edge"/>
          <c:yMode val="edge"/>
          <c:x val="0.818784235846741"/>
          <c:y val="0.364677683309181"/>
          <c:w val="0.181215764153259"/>
          <c:h val="0.118090399651758"/>
        </c:manualLayout>
      </c:layout>
      <c:overlay val="false"/>
      <c:spPr>
        <a:solidFill>
          <a:schemeClr val="lt1">
            <a:lumMod val="95000"/>
            <a:alpha val="39000"/>
          </a:schemeClr>
        </a:solidFill>
        <a:ln>
          <a:noFill/>
        </a:ln>
        <a:effectLst/>
      </c:spPr>
      <c:txPr>
        <a:bodyPr rot="0" spcFirstLastPara="1" vertOverflow="ellipsis" vert="horz" wrap="square" anchor="ctr" anchorCtr="true"/>
        <a:lstStyle/>
        <a:p>
          <a:pPr>
            <a:defRPr lang="zh-CN" sz="1300" b="0"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solidFill>
      <a:srgbClr val="FFFF00"/>
    </a:solidFill>
    <a:ln w="9525" cap="flat" cmpd="sng" algn="ctr">
      <a:solidFill>
        <a:schemeClr val="dk1">
          <a:lumMod val="25000"/>
          <a:lumOff val="75000"/>
        </a:schemeClr>
      </a:solid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500" b="1" i="0" u="none" strike="noStrike" kern="1200" spc="0" baseline="0">
                <a:solidFill>
                  <a:schemeClr val="tx1">
                    <a:lumMod val="65000"/>
                    <a:lumOff val="35000"/>
                  </a:schemeClr>
                </a:solidFill>
                <a:latin typeface="+mn-lt"/>
                <a:ea typeface="+mn-ea"/>
                <a:cs typeface="+mn-cs"/>
              </a:defRPr>
            </a:pPr>
            <a:r>
              <a:rPr lang="zh-CN" altLang="en-US" sz="1500" b="1" i="0" baseline="0"/>
              <a:t>财政拨款收、支决算总计</a:t>
            </a:r>
            <a:endParaRPr lang="zh-CN" altLang="en-US" sz="1500" b="1" i="0" baseline="0"/>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2019年度</c:v>
                </c:pt>
              </c:strCache>
            </c:strRef>
          </c:tx>
          <c:spPr>
            <a:solidFill>
              <a:srgbClr val="FF0000"/>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Sheet1!$A$2:$A$3</c:f>
              <c:strCache>
                <c:ptCount val="2"/>
                <c:pt idx="0">
                  <c:v>财政拨款收入</c:v>
                </c:pt>
                <c:pt idx="1">
                  <c:v>财政拨款支出</c:v>
                </c:pt>
              </c:strCache>
            </c:strRef>
          </c:cat>
          <c:val>
            <c:numRef>
              <c:f>Sheet1!$B$2:$B$3</c:f>
              <c:numCache>
                <c:formatCode>General</c:formatCode>
                <c:ptCount val="2"/>
                <c:pt idx="0">
                  <c:v>71.72</c:v>
                </c:pt>
                <c:pt idx="1">
                  <c:v>72.39</c:v>
                </c:pt>
              </c:numCache>
            </c:numRef>
          </c:val>
        </c:ser>
        <c:ser>
          <c:idx val="1"/>
          <c:order val="1"/>
          <c:tx>
            <c:strRef>
              <c:f>Sheet1!$C$1</c:f>
              <c:strCache>
                <c:ptCount val="1"/>
                <c:pt idx="0">
                  <c:v>2020年度</c:v>
                </c:pt>
              </c:strCache>
            </c:strRef>
          </c:tx>
          <c:spPr>
            <a:solidFill>
              <a:srgbClr val="FFFF00"/>
            </a:solidFill>
            <a:ln>
              <a:solidFill>
                <a:srgbClr val="00B050"/>
              </a:solid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Sheet1!$A$2:$A$3</c:f>
              <c:strCache>
                <c:ptCount val="2"/>
                <c:pt idx="0">
                  <c:v>财政拨款收入</c:v>
                </c:pt>
                <c:pt idx="1">
                  <c:v>财政拨款支出</c:v>
                </c:pt>
              </c:strCache>
            </c:strRef>
          </c:cat>
          <c:val>
            <c:numRef>
              <c:f>Sheet1!$C$2:$C$3</c:f>
              <c:numCache>
                <c:formatCode>General</c:formatCode>
                <c:ptCount val="2"/>
                <c:pt idx="0">
                  <c:v>84.98</c:v>
                </c:pt>
                <c:pt idx="1">
                  <c:v>59.24</c:v>
                </c:pt>
              </c:numCache>
            </c:numRef>
          </c:val>
        </c:ser>
        <c:dLbls>
          <c:showLegendKey val="false"/>
          <c:showVal val="true"/>
          <c:showCatName val="false"/>
          <c:showSerName val="false"/>
          <c:showPercent val="false"/>
          <c:showBubbleSize val="false"/>
        </c:dLbls>
        <c:gapWidth val="219"/>
        <c:axId val="135632000"/>
        <c:axId val="135633536"/>
      </c:barChart>
      <c:catAx>
        <c:axId val="135632000"/>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true"/>
          <a:lstStyle/>
          <a:p>
            <a:pPr>
              <a:defRPr lang="zh-CN" sz="1400" b="1" i="0" u="none" strike="noStrike" kern="1200" baseline="0">
                <a:solidFill>
                  <a:schemeClr val="tx1">
                    <a:lumMod val="65000"/>
                    <a:lumOff val="35000"/>
                  </a:schemeClr>
                </a:solidFill>
                <a:latin typeface="+mn-lt"/>
                <a:ea typeface="+mn-ea"/>
                <a:cs typeface="+mn-cs"/>
              </a:defRPr>
            </a:pPr>
          </a:p>
        </c:txPr>
        <c:crossAx val="135633536"/>
        <c:crosses val="autoZero"/>
        <c:auto val="true"/>
        <c:lblAlgn val="ctr"/>
        <c:lblOffset val="100"/>
        <c:noMultiLvlLbl val="false"/>
      </c:catAx>
      <c:valAx>
        <c:axId val="135633536"/>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35632000"/>
        <c:crosses val="autoZero"/>
        <c:crossBetween val="between"/>
      </c:valAx>
      <c:spPr>
        <a:noFill/>
        <a:ln>
          <a:solidFill>
            <a:schemeClr val="accent5">
              <a:lumMod val="40000"/>
              <a:lumOff val="60000"/>
            </a:schemeClr>
          </a:solidFill>
        </a:ln>
        <a:effectLst/>
      </c:spPr>
    </c:plotArea>
    <c:legend>
      <c:legendPos val="b"/>
      <c:layout/>
      <c:overlay val="false"/>
      <c:spPr>
        <a:noFill/>
        <a:ln>
          <a:noFill/>
        </a:ln>
        <a:effectLst/>
      </c:spPr>
      <c:txPr>
        <a:bodyPr rot="0" spcFirstLastPara="1" vertOverflow="ellipsis" vert="horz" wrap="square" anchor="ctr" anchorCtr="true"/>
        <a:lstStyle/>
        <a:p>
          <a:pPr>
            <a:defRPr lang="zh-CN" sz="1300" b="1"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rgbClr val="92D050"/>
    </a:solidFill>
    <a:ln w="12700" cap="flat" cmpd="sng" algn="ctr">
      <a:solidFill>
        <a:schemeClr val="tx1"/>
      </a:solidFill>
      <a:prstDash val="solid"/>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735110374627203"/>
          <c:y val="0.078576367857864"/>
          <c:w val="0.90481788139112"/>
          <c:h val="0.722704671512991"/>
        </c:manualLayout>
      </c:layout>
      <c:barChart>
        <c:barDir val="col"/>
        <c:grouping val="clustered"/>
        <c:varyColors val="false"/>
        <c:ser>
          <c:idx val="0"/>
          <c:order val="0"/>
          <c:tx>
            <c:strRef>
              <c:f>Sheet1!$B$1</c:f>
              <c:strCache>
                <c:ptCount val="1"/>
                <c:pt idx="0">
                  <c:v>2019年度</c:v>
                </c:pt>
              </c:strCache>
            </c:strRef>
          </c:tx>
          <c:spPr>
            <a:solidFill>
              <a:srgbClr val="7030A0"/>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Sheet1!$A$2</c:f>
              <c:strCache>
                <c:ptCount val="1"/>
                <c:pt idx="0">
                  <c:v>一般公共预算财政拨款支出</c:v>
                </c:pt>
              </c:strCache>
            </c:strRef>
          </c:cat>
          <c:val>
            <c:numRef>
              <c:f>Sheet1!$B$2</c:f>
              <c:numCache>
                <c:formatCode>General</c:formatCode>
                <c:ptCount val="1"/>
                <c:pt idx="0">
                  <c:v>72.39</c:v>
                </c:pt>
              </c:numCache>
            </c:numRef>
          </c:val>
        </c:ser>
        <c:ser>
          <c:idx val="1"/>
          <c:order val="1"/>
          <c:tx>
            <c:strRef>
              <c:f>Sheet1!$C$1</c:f>
              <c:strCache>
                <c:ptCount val="1"/>
                <c:pt idx="0">
                  <c:v>2020年度</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Sheet1!$A$2</c:f>
              <c:strCache>
                <c:ptCount val="1"/>
                <c:pt idx="0">
                  <c:v>一般公共预算财政拨款支出</c:v>
                </c:pt>
              </c:strCache>
            </c:strRef>
          </c:cat>
          <c:val>
            <c:numRef>
              <c:f>Sheet1!$C$2</c:f>
              <c:numCache>
                <c:formatCode>General</c:formatCode>
                <c:ptCount val="1"/>
                <c:pt idx="0">
                  <c:v>59.24</c:v>
                </c:pt>
              </c:numCache>
            </c:numRef>
          </c:val>
        </c:ser>
        <c:dLbls>
          <c:showLegendKey val="false"/>
          <c:showVal val="true"/>
          <c:showCatName val="false"/>
          <c:showSerName val="false"/>
          <c:showPercent val="false"/>
          <c:showBubbleSize val="false"/>
        </c:dLbls>
        <c:gapWidth val="219"/>
        <c:overlap val="-27"/>
        <c:axId val="160456704"/>
        <c:axId val="160458240"/>
      </c:barChart>
      <c:catAx>
        <c:axId val="160456704"/>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true"/>
          <a:lstStyle/>
          <a:p>
            <a:pPr>
              <a:defRPr lang="zh-CN" sz="1400" b="1" i="0" u="none" strike="noStrike" kern="1200" baseline="0">
                <a:solidFill>
                  <a:schemeClr val="tx1">
                    <a:lumMod val="65000"/>
                    <a:lumOff val="35000"/>
                  </a:schemeClr>
                </a:solidFill>
                <a:latin typeface="+mn-lt"/>
                <a:ea typeface="+mn-ea"/>
                <a:cs typeface="+mn-cs"/>
              </a:defRPr>
            </a:pPr>
          </a:p>
        </c:txPr>
        <c:crossAx val="160458240"/>
        <c:crosses val="autoZero"/>
        <c:auto val="true"/>
        <c:lblAlgn val="ctr"/>
        <c:lblOffset val="100"/>
        <c:noMultiLvlLbl val="false"/>
      </c:catAx>
      <c:valAx>
        <c:axId val="160458240"/>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60456704"/>
        <c:crosses val="autoZero"/>
        <c:crossBetween val="between"/>
      </c:valAx>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12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rgbClr val="92D050"/>
    </a:solidFill>
    <a:ln w="12700" cap="flat" cmpd="sng" algn="ctr">
      <a:solidFill>
        <a:schemeClr val="tx2">
          <a:lumMod val="75000"/>
        </a:schemeClr>
      </a:solidFill>
      <a:prstDash val="solid"/>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1" vertOverflow="ellipsis" vert="horz" wrap="square" anchor="ctr" anchorCtr="true"/>
        <a:lstStyle/>
        <a:p>
          <a:pPr>
            <a:defRPr lang="zh-CN" sz="1440" b="1" i="0" u="none" strike="noStrike" kern="1200" cap="all" spc="5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c:v>
                </c:pt>
              </c:strCache>
            </c:strRef>
          </c:tx>
          <c:explosion val="0"/>
          <c:dPt>
            <c:idx val="0"/>
            <c:bubble3D val="false"/>
            <c:spPr>
              <a:solidFill>
                <a:srgbClr val="0070C0"/>
              </a:solidFill>
              <a:ln>
                <a:noFill/>
              </a:ln>
              <a:effectLst/>
              <a:scene3d>
                <a:camera prst="orthographicFront"/>
                <a:lightRig rig="brightRoom" dir="t"/>
              </a:scene3d>
              <a:sp3d prstMaterial="flat">
                <a:bevelT w="50800" h="101600" prst="angle"/>
                <a:contourClr>
                  <a:srgbClr val="000000"/>
                </a:contourClr>
              </a:sp3d>
            </c:spPr>
          </c:dPt>
          <c:dPt>
            <c:idx val="1"/>
            <c:bubble3D val="false"/>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false"/>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false"/>
            <c:spPr>
              <a:solidFill>
                <a:schemeClr val="accent4"/>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true">
                <a:spAutoFit/>
              </a:bodyPr>
              <a:lstStyle/>
              <a:p>
                <a:pPr>
                  <a:defRPr lang="zh-CN" sz="900" b="1" i="0" u="none" strike="noStrike" kern="1200" baseline="0">
                    <a:solidFill>
                      <a:schemeClr val="lt1"/>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社会保障和就业支出</c:v>
                </c:pt>
                <c:pt idx="1">
                  <c:v>卫生健康支出</c:v>
                </c:pt>
                <c:pt idx="2">
                  <c:v>农林水支出</c:v>
                </c:pt>
                <c:pt idx="3">
                  <c:v>住房保障支出</c:v>
                </c:pt>
              </c:strCache>
            </c:strRef>
          </c:cat>
          <c:val>
            <c:numRef>
              <c:f>Sheet1!$B$2:$B$5</c:f>
              <c:numCache>
                <c:formatCode>0.00%</c:formatCode>
                <c:ptCount val="4"/>
                <c:pt idx="0">
                  <c:v>0.9007</c:v>
                </c:pt>
                <c:pt idx="1">
                  <c:v>0.0349</c:v>
                </c:pt>
                <c:pt idx="2">
                  <c:v>0.00800000000000001</c:v>
                </c:pt>
                <c:pt idx="3">
                  <c:v>0.056</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t"/>
      <c:layout/>
      <c:overlay val="false"/>
      <c:spPr>
        <a:noFill/>
        <a:ln>
          <a:noFill/>
        </a:ln>
        <a:effectLst/>
      </c:spPr>
      <c:txPr>
        <a:bodyPr rot="0" spcFirstLastPara="1" vertOverflow="ellipsis" vert="horz" wrap="square" anchor="ctr" anchorCtr="true"/>
        <a:lstStyle/>
        <a:p>
          <a:pPr>
            <a:defRPr lang="zh-CN" sz="1200" b="1"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accent6">
        <a:lumMod val="20000"/>
        <a:lumOff val="80000"/>
      </a:schemeClr>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1"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p>
      </c:txPr>
    </c:title>
    <c:autoTitleDeleted val="false"/>
    <c:plotArea>
      <c:layout/>
      <c:pieChart>
        <c:varyColors val="true"/>
        <c:ser>
          <c:idx val="0"/>
          <c:order val="0"/>
          <c:tx>
            <c:strRef>
              <c:f>Sheet1!$B$1</c:f>
              <c:strCache>
                <c:ptCount val="1"/>
                <c:pt idx="0">
                  <c:v>“三公”经费财政拨款支出</c:v>
                </c:pt>
              </c:strCache>
            </c:strRef>
          </c:tx>
          <c:explosion val="0"/>
          <c:dPt>
            <c:idx val="0"/>
            <c:bubble3D val="false"/>
            <c:spPr>
              <a:solidFill>
                <a:schemeClr val="accent1"/>
              </a:solidFill>
              <a:ln>
                <a:noFill/>
              </a:ln>
              <a:effectLst>
                <a:outerShdw blurRad="254000" sx="102000" sy="102000" algn="ctr" rotWithShape="0">
                  <a:prstClr val="black">
                    <a:alpha val="20000"/>
                  </a:prstClr>
                </a:outerShdw>
              </a:effectLst>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true">
                <a:spAutoFit/>
              </a:bodyPr>
              <a:lstStyle/>
              <a:p>
                <a:pPr>
                  <a:defRPr lang="zh-CN" sz="1000" b="1" i="0" u="none" strike="noStrike" kern="1200" baseline="0">
                    <a:solidFill>
                      <a:schemeClr val="lt1"/>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dk1">
                          <a:lumMod val="50000"/>
                          <a:lumOff val="50000"/>
                        </a:schemeClr>
                      </a:solidFill>
                      <a:prstDash val="solid"/>
                      <a:round/>
                    </a:ln>
                    <a:effectLst/>
                  </c:spPr>
                </c15:leaderLines>
              </c:ext>
            </c:extLst>
          </c:dLbls>
          <c:cat>
            <c:strRef>
              <c:f>Sheet1!$A$2</c:f>
              <c:strCache>
                <c:ptCount val="1"/>
                <c:pt idx="0">
                  <c:v>公务接待</c:v>
                </c:pt>
              </c:strCache>
            </c:strRef>
          </c:cat>
          <c:val>
            <c:numRef>
              <c:f>Sheet1!$B$2</c:f>
              <c:numCache>
                <c:formatCode>General</c:formatCode>
                <c:ptCount val="1"/>
                <c:pt idx="0">
                  <c:v>8.2</c:v>
                </c:pt>
              </c:numCache>
            </c:numRef>
          </c:val>
        </c:ser>
        <c:dLbls>
          <c:showLegendKey val="false"/>
          <c:showVal val="false"/>
          <c:showCatName val="false"/>
          <c:showSerName val="false"/>
          <c:showPercent val="true"/>
          <c:showBubbleSize val="false"/>
          <c:showLeaderLines val="true"/>
        </c:dLbls>
        <c:firstSliceAng val="15"/>
      </c:pieChart>
      <c:spPr>
        <a:noFill/>
        <a:ln>
          <a:noFill/>
        </a:ln>
        <a:effectLst/>
      </c:spPr>
    </c:plotArea>
    <c:legend>
      <c:legendPos val="r"/>
      <c:layout/>
      <c:overlay val="false"/>
      <c:spPr>
        <a:solidFill>
          <a:schemeClr val="lt1">
            <a:lumMod val="95000"/>
            <a:alpha val="39000"/>
          </a:schemeClr>
        </a:solidFill>
        <a:ln>
          <a:noFill/>
        </a:ln>
        <a:effectLst/>
      </c:spPr>
      <c:txPr>
        <a:bodyPr rot="0" spcFirstLastPara="1" vertOverflow="ellipsis" vert="horz" wrap="square" anchor="ctr" anchorCtr="true"/>
        <a:lstStyle/>
        <a:p>
          <a:pPr>
            <a:defRPr lang="zh-CN" sz="1300" b="1" i="0" u="none" strike="noStrike" kern="1200" baseline="0">
              <a:solidFill>
                <a:schemeClr val="dk1">
                  <a:lumMod val="75000"/>
                  <a:lumOff val="25000"/>
                </a:schemeClr>
              </a:solidFill>
              <a:latin typeface="+mn-lt"/>
              <a:ea typeface="+mn-ea"/>
              <a:cs typeface="+mn-cs"/>
            </a:defRPr>
          </a:pPr>
        </a:p>
      </c:txPr>
    </c:legend>
    <c:plotVisOnly val="true"/>
    <c:dispBlanksAs val="zero"/>
    <c:showDLblsOverMax val="false"/>
  </c:chart>
  <c:spPr>
    <a:solidFill>
      <a:srgbClr val="FFFF00"/>
    </a:solidFill>
    <a:ln w="9525" cap="flat" cmpd="sng" algn="ctr">
      <a:solidFill>
        <a:schemeClr val="dk1">
          <a:lumMod val="25000"/>
          <a:lumOff val="75000"/>
        </a:schemeClr>
      </a:solidFill>
      <a:prstDash val="solid"/>
      <a:round/>
    </a:ln>
    <a:effectLst/>
  </c:spPr>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39</Pages>
  <Words>2240</Words>
  <Characters>12770</Characters>
  <Lines>106</Lines>
  <Paragraphs>29</Paragraphs>
  <TotalTime>394</TotalTime>
  <ScaleCrop>false</ScaleCrop>
  <LinksUpToDate>false</LinksUpToDate>
  <CharactersWithSpaces>14981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2021-09-18T09:00:00Z</dcterms:created>
  <dc:creator>曹颖</dc:creator>
  <cp:lastModifiedBy>user</cp:lastModifiedBy>
  <cp:lastPrinted>2020-09-03T10:18:00Z</cp:lastPrinted>
  <dcterms:modified xsi:type="dcterms:W3CDTF">2022-04-11T08:51:41Z</dcterms:modified>
  <dc:title>四川省***</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