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96475"/>
      <w:bookmarkStart w:id="2" w:name="_Toc15377193"/>
      <w:bookmarkStart w:id="3" w:name="_Toc15396597"/>
      <w:bookmarkStart w:id="4" w:name="_Toc15377425"/>
      <w:bookmarkStart w:id="5" w:name="_Toc15378441"/>
      <w:r>
        <w:rPr>
          <w:rFonts w:ascii="黑体" w:hAnsi="黑体" w:eastAsia="黑体"/>
          <w:color w:val="auto"/>
          <w:sz w:val="72"/>
          <w:szCs w:val="72"/>
        </w:rPr>
        <w:t>20</w:t>
      </w:r>
      <w:r>
        <w:rPr>
          <w:rFonts w:hint="eastAsia" w:ascii="黑体" w:hAnsi="黑体" w:eastAsia="黑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auto"/>
          <w:sz w:val="72"/>
          <w:szCs w:val="72"/>
          <w:lang w:eastAsia="zh-CN"/>
        </w:rPr>
      </w:pPr>
      <w:bookmarkStart w:id="6" w:name="_Toc15396598"/>
      <w:bookmarkStart w:id="7" w:name="_Toc15377194"/>
      <w:bookmarkStart w:id="8" w:name="_Toc15377426"/>
      <w:bookmarkStart w:id="9" w:name="_Toc15396476"/>
      <w:bookmarkStart w:id="10" w:name="_Toc15378442"/>
      <w:r>
        <w:rPr>
          <w:rFonts w:hint="eastAsia" w:ascii="方正小标宋简体" w:hAnsi="宋体" w:eastAsia="方正小标宋简体"/>
          <w:color w:val="auto"/>
          <w:sz w:val="72"/>
          <w:szCs w:val="72"/>
          <w:lang w:eastAsia="zh-CN"/>
        </w:rPr>
        <w:t>广元市利州区</w:t>
      </w:r>
      <w:bookmarkEnd w:id="0"/>
      <w:bookmarkStart w:id="11" w:name="_Toc15306268"/>
      <w:r>
        <w:rPr>
          <w:rFonts w:hint="eastAsia" w:ascii="方正小标宋简体" w:hAnsi="宋体" w:eastAsia="方正小标宋简体"/>
          <w:color w:val="auto"/>
          <w:sz w:val="72"/>
          <w:szCs w:val="72"/>
          <w:lang w:eastAsia="zh-CN"/>
        </w:rPr>
        <w:t>河西街道</w:t>
      </w:r>
    </w:p>
    <w:p>
      <w:pPr>
        <w:adjustRightInd w:val="0"/>
        <w:snapToGrid w:val="0"/>
        <w:spacing w:line="360" w:lineRule="auto"/>
        <w:jc w:val="center"/>
        <w:outlineLvl w:val="0"/>
        <w:rPr>
          <w:rFonts w:ascii="方正小标宋简体" w:hAnsi="宋体" w:eastAsia="方正小标宋简体"/>
          <w:color w:val="auto"/>
          <w:sz w:val="72"/>
          <w:szCs w:val="72"/>
        </w:rPr>
      </w:pPr>
      <w:r>
        <w:rPr>
          <w:rFonts w:hint="eastAsia" w:ascii="方正小标宋简体" w:hAnsi="宋体" w:eastAsia="方正小标宋简体"/>
          <w:color w:val="auto"/>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rPr>
      </w:pPr>
      <w:r>
        <w:rPr>
          <w:rFonts w:hint="eastAsia" w:ascii="黑体" w:hAnsi="黑体" w:eastAsia="黑体"/>
          <w:color w:val="auto"/>
          <w:sz w:val="48"/>
          <w:szCs w:val="48"/>
        </w:rPr>
        <w:t>目</w:t>
      </w:r>
      <w:r>
        <w:rPr>
          <w:rFonts w:hint="eastAsia" w:ascii="黑体" w:hAnsi="黑体" w:eastAsia="黑体"/>
          <w:color w:val="auto"/>
          <w:sz w:val="48"/>
          <w:szCs w:val="48"/>
          <w:lang w:val="en-US" w:eastAsia="zh-CN"/>
        </w:rPr>
        <w:t xml:space="preserve">  </w:t>
      </w:r>
      <w:r>
        <w:rPr>
          <w:rFonts w:hint="eastAsia" w:ascii="黑体" w:hAnsi="黑体" w:eastAsia="黑体"/>
          <w:color w:val="auto"/>
          <w:sz w:val="48"/>
          <w:szCs w:val="48"/>
        </w:rPr>
        <w:t>录</w:t>
      </w:r>
    </w:p>
    <w:p>
      <w:pPr>
        <w:widowControl/>
        <w:jc w:val="center"/>
        <w:rPr>
          <w:rFonts w:ascii="黑体" w:hAnsi="黑体" w:eastAsia="黑体" w:cstheme="minorBidi"/>
          <w:color w:val="auto"/>
          <w:sz w:val="28"/>
          <w:szCs w:val="28"/>
        </w:rPr>
      </w:pPr>
    </w:p>
    <w:p>
      <w:pPr>
        <w:pStyle w:val="12"/>
        <w:rPr>
          <w:color w:val="auto"/>
        </w:rPr>
      </w:pPr>
      <w:r>
        <w:rPr>
          <w:rFonts w:hint="eastAsia"/>
          <w:color w:val="auto"/>
        </w:rPr>
        <w:t>公开时间：202</w:t>
      </w:r>
      <w:r>
        <w:rPr>
          <w:rFonts w:hint="eastAsia"/>
          <w:color w:val="auto"/>
          <w:lang w:val="en-US" w:eastAsia="zh-CN"/>
        </w:rPr>
        <w:t>1</w:t>
      </w:r>
      <w:r>
        <w:rPr>
          <w:rFonts w:hint="eastAsia"/>
          <w:color w:val="auto"/>
        </w:rPr>
        <w:t>年9月</w:t>
      </w:r>
      <w:r>
        <w:rPr>
          <w:rFonts w:hint="eastAsia"/>
          <w:color w:val="auto"/>
          <w:lang w:val="en-US" w:eastAsia="zh-CN"/>
        </w:rPr>
        <w:t>15</w:t>
      </w:r>
      <w:r>
        <w:rPr>
          <w:rFonts w:hint="eastAsia"/>
          <w:color w:val="auto"/>
        </w:rPr>
        <w:t>日</w:t>
      </w:r>
    </w:p>
    <w:p>
      <w:pPr>
        <w:rPr>
          <w:color w:val="auto"/>
        </w:rPr>
      </w:pPr>
    </w:p>
    <w:p>
      <w:pPr>
        <w:pStyle w:val="12"/>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rPr>
        <w:t>部门概况</w:t>
      </w:r>
    </w:p>
    <w:p>
      <w:pPr>
        <w:pStyle w:val="13"/>
        <w:adjustRightInd w:val="0"/>
        <w:snapToGrid w:val="0"/>
        <w:spacing w:line="440" w:lineRule="exact"/>
        <w:jc w:val="left"/>
        <w:rPr>
          <w:rFonts w:ascii="仿宋" w:hAnsi="仿宋" w:eastAsia="仿宋"/>
          <w:color w:val="auto"/>
          <w:sz w:val="24"/>
        </w:rPr>
      </w:pPr>
      <w:r>
        <w:rPr>
          <w:rFonts w:hint="eastAsia"/>
          <w:color w:val="auto"/>
          <w:sz w:val="24"/>
        </w:rPr>
        <w:t>一、基本职能及主要工作</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二、机构设置</w:t>
      </w:r>
      <w:bookmarkStart w:id="72" w:name="_GoBack"/>
      <w:bookmarkEnd w:id="72"/>
    </w:p>
    <w:p>
      <w:pPr>
        <w:pStyle w:val="12"/>
        <w:adjustRightInd w:val="0"/>
        <w:snapToGrid w:val="0"/>
        <w:spacing w:before="0" w:line="440" w:lineRule="exact"/>
        <w:jc w:val="left"/>
        <w:rPr>
          <w:color w:val="auto"/>
          <w:sz w:val="24"/>
          <w:szCs w:val="24"/>
        </w:rPr>
      </w:pPr>
      <w:r>
        <w:rPr>
          <w:rFonts w:hint="eastAsia"/>
          <w:color w:val="auto"/>
          <w:sz w:val="24"/>
        </w:rPr>
        <w:t>第二部分度部门决算情况说明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3"/>
        <w:adjustRightInd w:val="0"/>
        <w:snapToGrid w:val="0"/>
        <w:spacing w:line="440" w:lineRule="exact"/>
        <w:ind w:leftChars="0"/>
        <w:jc w:val="left"/>
        <w:rPr>
          <w:rFonts w:ascii="仿宋" w:hAnsi="仿宋" w:eastAsia="仿宋"/>
          <w:color w:val="auto"/>
          <w:sz w:val="24"/>
        </w:rPr>
      </w:pPr>
      <w:r>
        <w:rPr>
          <w:rFonts w:hint="eastAsia" w:ascii="仿宋" w:hAnsi="仿宋" w:eastAsia="仿宋"/>
          <w:color w:val="auto"/>
          <w:sz w:val="24"/>
        </w:rPr>
        <w:t>九、</w:t>
      </w:r>
      <w:r>
        <w:rPr>
          <w:color w:val="auto"/>
          <w:sz w:val="24"/>
        </w:rPr>
        <w:t>国</w:t>
      </w:r>
      <w:r>
        <w:rPr>
          <w:rFonts w:hint="eastAsia"/>
          <w:color w:val="auto"/>
          <w:sz w:val="24"/>
        </w:rPr>
        <w:t>有资本经营预算支出决算情况说明</w:t>
      </w:r>
    </w:p>
    <w:p>
      <w:pPr>
        <w:adjustRightInd w:val="0"/>
        <w:snapToGrid w:val="0"/>
        <w:spacing w:line="440" w:lineRule="exact"/>
        <w:ind w:firstLine="480" w:firstLineChars="200"/>
        <w:jc w:val="left"/>
        <w:rPr>
          <w:rFonts w:ascii="仿宋" w:hAnsi="仿宋" w:eastAsia="仿宋" w:cstheme="minorBidi"/>
          <w:color w:val="auto"/>
          <w:sz w:val="24"/>
        </w:rPr>
      </w:pPr>
      <w:r>
        <w:rPr>
          <w:rStyle w:val="17"/>
          <w:rFonts w:hint="eastAsia" w:ascii="仿宋" w:hAnsi="仿宋" w:eastAsia="仿宋"/>
          <w:color w:val="auto"/>
          <w:sz w:val="24"/>
          <w:u w:val="none"/>
        </w:rPr>
        <w:t>十、</w:t>
      </w:r>
      <w:r>
        <w:rPr>
          <w:rFonts w:hint="eastAsia"/>
          <w:color w:val="auto"/>
          <w:sz w:val="24"/>
        </w:rPr>
        <w:t>其他重要事项的情况说明</w:t>
      </w:r>
      <w:r>
        <w:rPr>
          <w:rFonts w:ascii="仿宋" w:hAnsi="仿宋" w:eastAsia="仿宋"/>
          <w:color w:val="auto"/>
          <w:sz w:val="24"/>
        </w:rPr>
        <w:tab/>
      </w:r>
    </w:p>
    <w:p>
      <w:pPr>
        <w:pStyle w:val="12"/>
        <w:adjustRightInd w:val="0"/>
        <w:snapToGrid w:val="0"/>
        <w:spacing w:before="0" w:line="440" w:lineRule="exact"/>
        <w:jc w:val="left"/>
        <w:rPr>
          <w:rFonts w:cstheme="minorBidi"/>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2"/>
        <w:adjustRightInd w:val="0"/>
        <w:snapToGrid w:val="0"/>
        <w:spacing w:before="0" w:line="440" w:lineRule="exact"/>
        <w:jc w:val="left"/>
        <w:rPr>
          <w:rFonts w:cstheme="minorBidi"/>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附件</w:t>
      </w:r>
      <w:r>
        <w:rPr>
          <w:color w:val="auto"/>
          <w:sz w:val="24"/>
        </w:rPr>
        <w:t>1</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附件</w:t>
      </w:r>
      <w:r>
        <w:rPr>
          <w:color w:val="auto"/>
          <w:sz w:val="24"/>
        </w:rPr>
        <w:t>2</w:t>
      </w:r>
    </w:p>
    <w:p>
      <w:pPr>
        <w:pStyle w:val="12"/>
        <w:adjustRightInd w:val="0"/>
        <w:snapToGrid w:val="0"/>
        <w:spacing w:before="0" w:line="440" w:lineRule="exact"/>
        <w:jc w:val="left"/>
        <w:rPr>
          <w:rFonts w:cstheme="minorBidi"/>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一、</w:t>
      </w:r>
      <w:r>
        <w:rPr>
          <w:rFonts w:hint="eastAsia"/>
          <w:color w:val="auto"/>
          <w:sz w:val="24"/>
        </w:rPr>
        <w:t>收入支出决算总表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二、</w:t>
      </w:r>
      <w:r>
        <w:rPr>
          <w:rFonts w:hint="eastAsia"/>
          <w:color w:val="auto"/>
          <w:sz w:val="24"/>
        </w:rPr>
        <w:t>收入</w:t>
      </w:r>
      <w:r>
        <w:rPr>
          <w:rFonts w:hint="eastAsia" w:ascii="仿宋" w:hAnsi="仿宋" w:eastAsia="仿宋"/>
          <w:color w:val="auto"/>
          <w:sz w:val="24"/>
        </w:rPr>
        <w:t>决算</w:t>
      </w:r>
      <w:r>
        <w:rPr>
          <w:rFonts w:hint="eastAsia"/>
          <w:color w:val="auto"/>
          <w:sz w:val="24"/>
        </w:rPr>
        <w:t>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三、</w:t>
      </w:r>
      <w:r>
        <w:rPr>
          <w:rFonts w:hint="eastAsia"/>
          <w:color w:val="auto"/>
          <w:sz w:val="24"/>
        </w:rPr>
        <w:t>支出</w:t>
      </w:r>
      <w:r>
        <w:rPr>
          <w:rFonts w:hint="eastAsia" w:ascii="仿宋" w:hAnsi="仿宋" w:eastAsia="仿宋"/>
          <w:color w:val="auto"/>
          <w:sz w:val="24"/>
        </w:rPr>
        <w:t>决算</w:t>
      </w:r>
      <w:r>
        <w:rPr>
          <w:rFonts w:hint="eastAsia"/>
          <w:color w:val="auto"/>
          <w:sz w:val="24"/>
        </w:rPr>
        <w:t>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四、</w:t>
      </w:r>
      <w:r>
        <w:rPr>
          <w:rFonts w:hint="eastAsia"/>
          <w:color w:val="auto"/>
          <w:sz w:val="24"/>
        </w:rPr>
        <w:t>财政拨款收入支出决算总表</w:t>
      </w:r>
    </w:p>
    <w:p>
      <w:pPr>
        <w:pStyle w:val="13"/>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五、财政拨款支出决算明细表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六、</w:t>
      </w:r>
      <w:r>
        <w:rPr>
          <w:rFonts w:hint="eastAsia"/>
          <w:color w:val="auto"/>
          <w:sz w:val="24"/>
        </w:rPr>
        <w:t>一般公共预算财政拨款支出决算表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七、</w:t>
      </w:r>
      <w:r>
        <w:rPr>
          <w:rFonts w:hint="eastAsia"/>
          <w:color w:val="auto"/>
          <w:sz w:val="24"/>
        </w:rPr>
        <w:t>一般公共预算财政拨款支出决算明细表</w:t>
      </w:r>
    </w:p>
    <w:p>
      <w:pPr>
        <w:pStyle w:val="13"/>
        <w:adjustRightInd w:val="0"/>
        <w:snapToGrid w:val="0"/>
        <w:spacing w:line="440" w:lineRule="exact"/>
        <w:jc w:val="left"/>
        <w:rPr>
          <w:rFonts w:hint="eastAsia" w:ascii="仿宋" w:hAnsi="仿宋" w:eastAsia="仿宋"/>
          <w:color w:val="auto"/>
          <w:sz w:val="24"/>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八、</w:t>
      </w:r>
      <w:r>
        <w:rPr>
          <w:rFonts w:hint="eastAsia"/>
          <w:color w:val="auto"/>
          <w:sz w:val="24"/>
        </w:rPr>
        <w:t>一般公共预算财政拨款基本支出决算表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九、</w:t>
      </w:r>
      <w:r>
        <w:rPr>
          <w:rFonts w:hint="eastAsia"/>
          <w:color w:val="auto"/>
          <w:sz w:val="24"/>
        </w:rPr>
        <w:t>一般公共预算财政拨款项目支出决算表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w:t>
      </w:r>
      <w:r>
        <w:rPr>
          <w:rFonts w:hint="eastAsia"/>
          <w:color w:val="auto"/>
          <w:sz w:val="24"/>
        </w:rPr>
        <w:t>一般公共预算财政拨款“三公”经费支出决算表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十一、</w:t>
      </w:r>
      <w:r>
        <w:rPr>
          <w:rFonts w:hint="eastAsia"/>
          <w:color w:val="auto"/>
          <w:sz w:val="24"/>
        </w:rPr>
        <w:t>政府性基金预算财政拨款收入支出决算表</w:t>
      </w:r>
    </w:p>
    <w:p>
      <w:pPr>
        <w:pStyle w:val="13"/>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十二、</w:t>
      </w:r>
      <w:r>
        <w:rPr>
          <w:rFonts w:hint="eastAsia"/>
          <w:color w:val="auto"/>
          <w:sz w:val="24"/>
        </w:rPr>
        <w:t>政府性基金预算财政拨款“三公”经费支出决算表</w:t>
      </w:r>
    </w:p>
    <w:p>
      <w:pPr>
        <w:pStyle w:val="13"/>
        <w:adjustRightInd w:val="0"/>
        <w:snapToGrid w:val="0"/>
        <w:spacing w:line="440" w:lineRule="exact"/>
        <w:jc w:val="left"/>
        <w:rPr>
          <w:rFonts w:hint="eastAsia" w:ascii="宋体" w:hAnsi="宋体" w:eastAsia="宋体" w:cs="宋体"/>
          <w:color w:val="auto"/>
          <w:sz w:val="24"/>
        </w:rPr>
      </w:pPr>
      <w:r>
        <w:rPr>
          <w:rFonts w:hint="eastAsia" w:ascii="仿宋" w:hAnsi="仿宋" w:eastAsia="仿宋"/>
          <w:color w:val="auto"/>
          <w:sz w:val="24"/>
        </w:rPr>
        <w:t>十三、</w:t>
      </w:r>
      <w:r>
        <w:rPr>
          <w:rFonts w:hint="eastAsia" w:ascii="宋体" w:hAnsi="宋体" w:eastAsia="宋体" w:cs="宋体"/>
          <w:color w:val="auto"/>
          <w:sz w:val="24"/>
        </w:rPr>
        <w:t>国有资本经营预算财政拨款收入支出决算表</w:t>
      </w:r>
    </w:p>
    <w:p>
      <w:pPr>
        <w:pStyle w:val="13"/>
        <w:adjustRightInd w:val="0"/>
        <w:snapToGrid w:val="0"/>
        <w:spacing w:line="440" w:lineRule="exact"/>
        <w:jc w:val="left"/>
        <w:rPr>
          <w:rFonts w:hint="eastAsia" w:ascii="宋体" w:hAnsi="宋体" w:eastAsia="宋体" w:cs="宋体"/>
          <w:color w:val="auto"/>
          <w:sz w:val="24"/>
        </w:rPr>
      </w:pPr>
      <w:r>
        <w:rPr>
          <w:rFonts w:hint="eastAsia" w:ascii="仿宋" w:hAnsi="仿宋" w:eastAsia="仿宋" w:cs="仿宋"/>
          <w:color w:val="auto"/>
          <w:sz w:val="24"/>
        </w:rPr>
        <w:t>十四</w:t>
      </w:r>
      <w:r>
        <w:rPr>
          <w:rFonts w:hint="eastAsia" w:ascii="宋体" w:hAnsi="宋体" w:eastAsia="宋体" w:cs="宋体"/>
          <w:color w:val="auto"/>
          <w:sz w:val="24"/>
        </w:rPr>
        <w:t>、国有资本经营预算财政拨款支出决算表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rPr>
      </w:pPr>
      <w:r>
        <w:rPr>
          <w:rFonts w:ascii="仿宋" w:hAnsi="仿宋" w:eastAsia="仿宋"/>
          <w:color w:val="auto"/>
          <w:sz w:val="24"/>
        </w:rPr>
        <w:t>(注：</w:t>
      </w:r>
      <w:r>
        <w:rPr>
          <w:rFonts w:hint="eastAsia" w:ascii="仿宋" w:hAnsi="仿宋" w:eastAsia="仿宋"/>
          <w:color w:val="auto"/>
          <w:sz w:val="24"/>
        </w:rPr>
        <w:t>请部门根据实际注明页码</w:t>
      </w:r>
      <w:r>
        <w:rPr>
          <w:rFonts w:ascii="仿宋" w:hAnsi="仿宋" w:eastAsia="仿宋"/>
          <w:color w:val="auto"/>
          <w:sz w:val="24"/>
        </w:rPr>
        <w:t>)</w:t>
      </w:r>
    </w:p>
    <w:p>
      <w:pPr>
        <w:pStyle w:val="4"/>
        <w:jc w:val="center"/>
        <w:rPr>
          <w:rFonts w:hint="eastAsia" w:ascii="黑体" w:hAnsi="黑体" w:eastAsia="黑体"/>
          <w:b w:val="0"/>
          <w:color w:val="auto"/>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bookmarkStart w:id="12" w:name="_Toc15396599"/>
      <w:bookmarkStart w:id="13" w:name="_Toc15377196"/>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第一部分 部门概况</w:t>
      </w:r>
      <w:bookmarkEnd w:id="12"/>
      <w:bookmarkEnd w:id="13"/>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ascii="黑体" w:eastAsia="黑体"/>
          <w:color w:val="auto"/>
          <w:sz w:val="32"/>
          <w:szCs w:val="32"/>
        </w:rPr>
      </w:pPr>
    </w:p>
    <w:p>
      <w:pPr>
        <w:pStyle w:val="5"/>
        <w:pageBreakBefore w:val="0"/>
        <w:kinsoku/>
        <w:wordWrap/>
        <w:topLinePunct w:val="0"/>
        <w:bidi w:val="0"/>
        <w:spacing w:before="0" w:after="0" w:line="576" w:lineRule="exact"/>
        <w:ind w:firstLine="640" w:firstLineChars="200"/>
        <w:textAlignment w:val="auto"/>
        <w:rPr>
          <w:rStyle w:val="28"/>
          <w:rFonts w:ascii="仿宋" w:hAnsi="仿宋" w:eastAsia="仿宋"/>
          <w:b w:val="0"/>
          <w:bCs w:val="0"/>
          <w:color w:val="auto"/>
        </w:rPr>
      </w:pPr>
      <w:bookmarkStart w:id="14" w:name="_Toc15377197"/>
      <w:bookmarkStart w:id="15" w:name="_Toc15396600"/>
      <w:r>
        <w:rPr>
          <w:rFonts w:hint="eastAsia" w:ascii="黑体" w:hAnsi="黑体" w:eastAsia="黑体"/>
          <w:b w:val="0"/>
          <w:color w:val="auto"/>
        </w:rPr>
        <w:t>一、基</w:t>
      </w:r>
      <w:r>
        <w:rPr>
          <w:rStyle w:val="28"/>
          <w:rFonts w:hint="eastAsia" w:ascii="黑体" w:hAnsi="黑体" w:eastAsia="黑体"/>
          <w:b w:val="0"/>
          <w:bCs w:val="0"/>
          <w:color w:val="auto"/>
        </w:rPr>
        <w:t>本职能及主要工作</w:t>
      </w:r>
      <w:bookmarkEnd w:id="14"/>
      <w:bookmarkEnd w:id="15"/>
    </w:p>
    <w:p>
      <w:pPr>
        <w:pStyle w:val="7"/>
        <w:pageBreakBefore w:val="0"/>
        <w:kinsoku/>
        <w:wordWrap/>
        <w:topLinePunct w:val="0"/>
        <w:bidi w:val="0"/>
        <w:adjustRightInd w:val="0"/>
        <w:snapToGrid w:val="0"/>
        <w:spacing w:beforeLines="0" w:line="576" w:lineRule="exact"/>
        <w:ind w:firstLine="672" w:firstLineChars="210"/>
        <w:textAlignment w:val="auto"/>
        <w:outlineLvl w:val="2"/>
        <w:rPr>
          <w:rFonts w:hint="eastAsia" w:ascii="方正楷体简体" w:hAnsi="方正楷体简体" w:eastAsia="方正楷体简体" w:cs="方正楷体简体"/>
          <w:bCs/>
          <w:color w:val="auto"/>
          <w:sz w:val="32"/>
          <w:szCs w:val="32"/>
        </w:rPr>
      </w:pPr>
      <w:bookmarkStart w:id="16" w:name="_Toc15378445"/>
      <w:bookmarkStart w:id="17" w:name="_Toc15377198"/>
      <w:r>
        <w:rPr>
          <w:rFonts w:hint="eastAsia" w:ascii="方正楷体简体" w:hAnsi="方正楷体简体" w:eastAsia="方正楷体简体" w:cs="方正楷体简体"/>
          <w:bCs/>
          <w:color w:val="auto"/>
          <w:sz w:val="32"/>
          <w:szCs w:val="32"/>
        </w:rPr>
        <w:t>（一）主要职能</w:t>
      </w:r>
      <w:bookmarkEnd w:id="16"/>
      <w:bookmarkEnd w:id="17"/>
      <w:bookmarkStart w:id="18" w:name="_Toc15377199"/>
      <w:bookmarkStart w:id="19" w:name="_Toc15378446"/>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街道党工委是区委派出机关，根据区委的授权，在辖区内发挥总揽全局、协调各方的领导核心作用，对经济建设、政治建设、文化建设、社会建设、生态文明建设全面领导。街道办事处是区政府的派出机关，在街道党工委的领导下，依法在辖区内履行相应的政府服务和管理职能。街道党工委、街道办事处主要职责为：</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1.</w:t>
      </w:r>
      <w:r>
        <w:rPr>
          <w:rFonts w:ascii="方正仿宋简体" w:eastAsia="方正仿宋简体"/>
          <w:color w:val="auto"/>
          <w:sz w:val="32"/>
          <w:szCs w:val="32"/>
        </w:rPr>
        <w:t>加强党的建设。强化党的政治建设、思想建设、组织建设、作风建设、纪律建设，落实基层党建工作责任制，深入推进反腐败斗争，加强基层意识形态工作</w:t>
      </w:r>
      <w:r>
        <w:rPr>
          <w:rFonts w:hint="eastAsia" w:ascii="方正仿宋简体" w:eastAsia="方正仿宋简体"/>
          <w:color w:val="auto"/>
          <w:sz w:val="32"/>
          <w:szCs w:val="32"/>
        </w:rPr>
        <w:t>；</w:t>
      </w:r>
      <w:r>
        <w:rPr>
          <w:rFonts w:ascii="方正仿宋简体" w:eastAsia="方正仿宋简体"/>
          <w:color w:val="auto"/>
          <w:sz w:val="32"/>
          <w:szCs w:val="32"/>
        </w:rPr>
        <w:t>推进街道社区党建、单位党建、行业党建互联互动。</w:t>
      </w:r>
      <w:r>
        <w:rPr>
          <w:rFonts w:hint="eastAsia" w:ascii="方正仿宋简体" w:eastAsia="方正仿宋简体"/>
          <w:color w:val="auto"/>
          <w:sz w:val="32"/>
          <w:szCs w:val="32"/>
        </w:rPr>
        <w:t>加强对街道人大工作机构、人武部、群团组织等的领导。</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2.</w:t>
      </w:r>
      <w:r>
        <w:rPr>
          <w:rFonts w:hint="eastAsia" w:ascii="方正仿宋简体" w:eastAsia="方正仿宋简体"/>
          <w:color w:val="auto"/>
          <w:sz w:val="32"/>
          <w:szCs w:val="32"/>
        </w:rPr>
        <w:t>统筹区域发展。统筹落实辖区发展的重大决策，参与辖区建设规划和公共服务设施布局，推动辖区健康、有序、可持续发展</w:t>
      </w:r>
      <w:r>
        <w:rPr>
          <w:rFonts w:hint="eastAsia" w:ascii="方正仿宋简体" w:eastAsia="方正仿宋简体"/>
          <w:color w:val="auto"/>
          <w:sz w:val="32"/>
          <w:szCs w:val="32"/>
          <w:lang w:val="en-US" w:eastAsia="zh-CN"/>
        </w:rPr>
        <w:t>；</w:t>
      </w:r>
      <w:r>
        <w:rPr>
          <w:rFonts w:hint="eastAsia" w:ascii="方正仿宋简体" w:eastAsia="方正仿宋简体"/>
          <w:color w:val="auto"/>
          <w:sz w:val="32"/>
          <w:szCs w:val="32"/>
        </w:rPr>
        <w:t>要加强农业农村工作。</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3.</w:t>
      </w:r>
      <w:r>
        <w:rPr>
          <w:rFonts w:hint="eastAsia" w:ascii="方正仿宋简体" w:eastAsia="方正仿宋简体"/>
          <w:color w:val="auto"/>
          <w:sz w:val="32"/>
          <w:szCs w:val="32"/>
        </w:rPr>
        <w:t>组织公共服务。组织实施与居民生活密切相关的各项公共服务，落实民生保障政策，加强社区服务配套设施和综合服务平台建设，完善社区综合服务功能。</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4.</w:t>
      </w:r>
      <w:r>
        <w:rPr>
          <w:rFonts w:hint="eastAsia" w:ascii="方正仿宋简体" w:eastAsia="方正仿宋简体"/>
          <w:color w:val="auto"/>
          <w:sz w:val="32"/>
          <w:szCs w:val="32"/>
        </w:rPr>
        <w:t>优化营商环境。优化投资、经营环境，推进重点项目建设和发展；联系和服务驻辖区单位、企业及市场主体，保护各种经济组织的合法权益。</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5.</w:t>
      </w:r>
      <w:r>
        <w:rPr>
          <w:rFonts w:hint="eastAsia" w:ascii="方正仿宋简体" w:eastAsia="方正仿宋简体"/>
          <w:color w:val="auto"/>
          <w:sz w:val="32"/>
          <w:szCs w:val="32"/>
        </w:rPr>
        <w:t>实施综合治理。组织领导、推进实施、综合协调辖区内城市管理、人口管理等综合性工作；组织开展辖区内环境综合治理，协助相关部门做好绿化美化、市政公共设施维护管理等工作。</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6.</w:t>
      </w:r>
      <w:r>
        <w:rPr>
          <w:rFonts w:hint="eastAsia" w:ascii="方正仿宋简体" w:eastAsia="方正仿宋简体"/>
          <w:color w:val="auto"/>
          <w:sz w:val="32"/>
          <w:szCs w:val="32"/>
        </w:rPr>
        <w:t>动员社会参与。动员指导辖区内各类单位、社会组织和社区居民等社会力量参与社会治理，引导辖区单位履行社会责任，整合辖区内各种社会力量资源为街道社区发展服务。</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7.</w:t>
      </w:r>
      <w:r>
        <w:rPr>
          <w:rFonts w:hint="eastAsia" w:ascii="方正仿宋简体" w:eastAsia="方正仿宋简体"/>
          <w:color w:val="auto"/>
          <w:sz w:val="32"/>
          <w:szCs w:val="32"/>
        </w:rPr>
        <w:t>领导基层自治。完善党组织主导的基层民主选举、民主决策、民主管理、民主监督的规则、程序、办法；建立党建引领下的社区居民委员会、业主委员会、业主监督委员会、物业服务企业协调运行机制。</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8.</w:t>
      </w:r>
      <w:r>
        <w:rPr>
          <w:rFonts w:hint="eastAsia" w:ascii="方正仿宋简体" w:eastAsia="方正仿宋简体"/>
          <w:color w:val="auto"/>
          <w:sz w:val="32"/>
          <w:szCs w:val="32"/>
        </w:rPr>
        <w:t>维护安全稳定。负责辖区平安建设、社会治安综合治理、公共安全及安全生产监管等相关工作，处理群众来信来访，化解矛盾纠纷。</w:t>
      </w:r>
    </w:p>
    <w:p>
      <w:pPr>
        <w:pageBreakBefore w:val="0"/>
        <w:kinsoku/>
        <w:wordWrap/>
        <w:overflowPunct w:val="0"/>
        <w:topLinePunct w:val="0"/>
        <w:autoSpaceDE w:val="0"/>
        <w:autoSpaceDN w:val="0"/>
        <w:bidi w:val="0"/>
        <w:spacing w:line="576" w:lineRule="exact"/>
        <w:ind w:firstLine="640" w:firstLineChars="200"/>
        <w:textAlignment w:val="auto"/>
        <w:rPr>
          <w:rFonts w:hint="eastAsia" w:ascii="仿宋" w:hAnsi="仿宋" w:eastAsia="仿宋"/>
          <w:bCs/>
          <w:color w:val="auto"/>
          <w:sz w:val="32"/>
          <w:szCs w:val="32"/>
        </w:rPr>
      </w:pPr>
      <w:r>
        <w:rPr>
          <w:rFonts w:hint="eastAsia" w:ascii="方正仿宋简体" w:eastAsia="方正仿宋简体"/>
          <w:color w:val="auto"/>
          <w:sz w:val="32"/>
          <w:szCs w:val="32"/>
          <w:lang w:val="en-US" w:eastAsia="zh-CN"/>
        </w:rPr>
        <w:t>9.</w:t>
      </w:r>
      <w:r>
        <w:rPr>
          <w:rFonts w:hint="eastAsia" w:ascii="方正仿宋简体" w:eastAsia="方正仿宋简体"/>
          <w:color w:val="auto"/>
          <w:sz w:val="32"/>
          <w:szCs w:val="32"/>
        </w:rPr>
        <w:t>完成区委、区政府交办的其他事项。</w:t>
      </w:r>
    </w:p>
    <w:p>
      <w:pPr>
        <w:pStyle w:val="7"/>
        <w:pageBreakBefore w:val="0"/>
        <w:kinsoku/>
        <w:wordWrap/>
        <w:topLinePunct w:val="0"/>
        <w:bidi w:val="0"/>
        <w:adjustRightInd w:val="0"/>
        <w:snapToGrid w:val="0"/>
        <w:spacing w:beforeLines="0" w:line="576" w:lineRule="exact"/>
        <w:ind w:firstLine="672" w:firstLineChars="210"/>
        <w:textAlignment w:val="auto"/>
        <w:outlineLvl w:val="2"/>
        <w:rPr>
          <w:rFonts w:hint="eastAsia" w:ascii="方正楷体简体" w:hAnsi="方正楷体简体" w:eastAsia="方正楷体简体" w:cs="方正楷体简体"/>
          <w:bCs/>
          <w:color w:val="auto"/>
          <w:sz w:val="32"/>
          <w:szCs w:val="32"/>
        </w:rPr>
      </w:pPr>
      <w:r>
        <w:rPr>
          <w:rFonts w:hint="eastAsia" w:ascii="方正楷体简体" w:hAnsi="方正楷体简体" w:eastAsia="方正楷体简体" w:cs="方正楷体简体"/>
          <w:bCs/>
          <w:color w:val="auto"/>
          <w:sz w:val="32"/>
          <w:szCs w:val="32"/>
        </w:rPr>
        <w:t>（二）20</w:t>
      </w:r>
      <w:r>
        <w:rPr>
          <w:rFonts w:hint="eastAsia" w:ascii="方正楷体简体" w:hAnsi="方正楷体简体" w:eastAsia="方正楷体简体" w:cs="方正楷体简体"/>
          <w:bCs/>
          <w:color w:val="auto"/>
          <w:sz w:val="32"/>
          <w:szCs w:val="32"/>
          <w:lang w:val="en-US" w:eastAsia="zh-CN"/>
        </w:rPr>
        <w:t>20</w:t>
      </w:r>
      <w:r>
        <w:rPr>
          <w:rFonts w:hint="eastAsia" w:ascii="方正楷体简体" w:hAnsi="方正楷体简体" w:eastAsia="方正楷体简体" w:cs="方正楷体简体"/>
          <w:bCs/>
          <w:color w:val="auto"/>
          <w:sz w:val="32"/>
          <w:szCs w:val="32"/>
        </w:rPr>
        <w:t>年重点工作完成情况。</w:t>
      </w:r>
      <w:bookmarkEnd w:id="18"/>
      <w:bookmarkEnd w:id="19"/>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s="方正仿宋简体"/>
          <w:color w:val="auto"/>
          <w:sz w:val="32"/>
          <w:szCs w:val="32"/>
        </w:rPr>
      </w:pPr>
      <w:bookmarkStart w:id="20" w:name="_Toc15377200"/>
      <w:bookmarkStart w:id="21" w:name="_Toc15396601"/>
      <w:r>
        <w:rPr>
          <w:rFonts w:hint="eastAsia" w:ascii="方正楷体简体" w:hAnsi="方正楷体简体" w:eastAsia="方正楷体简体" w:cs="方正仿宋简体"/>
          <w:color w:val="auto"/>
          <w:sz w:val="32"/>
          <w:szCs w:val="32"/>
          <w:lang w:val="en-US" w:eastAsia="zh-CN"/>
        </w:rPr>
        <w:t>1.</w:t>
      </w:r>
      <w:r>
        <w:rPr>
          <w:rFonts w:hint="eastAsia" w:ascii="方正楷体简体" w:hAnsi="方正楷体简体" w:eastAsia="方正楷体简体" w:cs="方正仿宋简体"/>
          <w:color w:val="auto"/>
          <w:sz w:val="32"/>
          <w:szCs w:val="32"/>
        </w:rPr>
        <w:t>完成区划调整，确定工作思路</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s="方正仿宋简体"/>
          <w:color w:val="auto"/>
          <w:sz w:val="32"/>
          <w:szCs w:val="32"/>
        </w:rPr>
      </w:pPr>
      <w:r>
        <w:rPr>
          <w:rFonts w:hint="eastAsia" w:ascii="方正仿宋简体" w:eastAsia="方正仿宋简体"/>
          <w:color w:val="auto"/>
          <w:sz w:val="32"/>
          <w:szCs w:val="32"/>
        </w:rPr>
        <w:t>全面完成乡级区划调整改革，</w:t>
      </w:r>
      <w:r>
        <w:rPr>
          <w:rFonts w:hint="eastAsia" w:ascii="方正仿宋简体" w:hAnsi="方正仿宋简体" w:eastAsia="方正仿宋简体" w:cs="方正仿宋简体"/>
          <w:color w:val="auto"/>
          <w:sz w:val="32"/>
          <w:szCs w:val="32"/>
        </w:rPr>
        <w:t>撤销原回龙河街道办事处、杨家岩街道办事处建制，连同经开区盘龙镇东升村原6、7、8组，整体并入河西街道办事处。</w:t>
      </w:r>
      <w:r>
        <w:rPr>
          <w:rFonts w:ascii="方正仿宋简体" w:eastAsia="方正仿宋简体"/>
          <w:color w:val="auto"/>
          <w:sz w:val="32"/>
          <w:szCs w:val="32"/>
        </w:rPr>
        <w:t>有序快速完成领导干部调整分工、原</w:t>
      </w:r>
      <w:r>
        <w:rPr>
          <w:rFonts w:hint="eastAsia" w:ascii="方正仿宋简体" w:eastAsia="方正仿宋简体"/>
          <w:color w:val="auto"/>
          <w:sz w:val="32"/>
          <w:szCs w:val="32"/>
        </w:rPr>
        <w:t>“</w:t>
      </w:r>
      <w:r>
        <w:rPr>
          <w:rFonts w:ascii="方正仿宋简体" w:eastAsia="方正仿宋简体"/>
          <w:color w:val="auto"/>
          <w:sz w:val="32"/>
          <w:szCs w:val="32"/>
        </w:rPr>
        <w:t>三办</w:t>
      </w:r>
      <w:r>
        <w:rPr>
          <w:rFonts w:hint="eastAsia" w:ascii="方正仿宋简体" w:eastAsia="方正仿宋简体"/>
          <w:color w:val="auto"/>
          <w:sz w:val="32"/>
          <w:szCs w:val="32"/>
        </w:rPr>
        <w:t>”</w:t>
      </w:r>
      <w:r>
        <w:rPr>
          <w:rFonts w:ascii="方正仿宋简体" w:eastAsia="方正仿宋简体"/>
          <w:color w:val="auto"/>
          <w:sz w:val="32"/>
          <w:szCs w:val="32"/>
        </w:rPr>
        <w:t>人员转隶分流、街办中层干部调整任命、街办工作人员调整轮岗、机关办公室调整归口、财务并账及固定资产移交管理等工作</w:t>
      </w:r>
      <w:r>
        <w:rPr>
          <w:rFonts w:hint="eastAsia" w:ascii="方正仿宋简体" w:eastAsia="方正仿宋简体"/>
          <w:color w:val="auto"/>
          <w:sz w:val="32"/>
          <w:szCs w:val="32"/>
        </w:rPr>
        <w:t>；</w:t>
      </w:r>
      <w:r>
        <w:rPr>
          <w:rFonts w:hint="eastAsia" w:ascii="方正仿宋简体" w:hAnsi="方正仿宋简体" w:eastAsia="方正仿宋简体"/>
          <w:color w:val="auto"/>
          <w:sz w:val="32"/>
          <w:szCs w:val="32"/>
        </w:rPr>
        <w:t>突出“重点项目推进、工业经济运行、城乡环境治理、基本民生保障”主要任务，确定了</w:t>
      </w:r>
      <w:r>
        <w:rPr>
          <w:rFonts w:hint="eastAsia" w:ascii="方正仿宋简体" w:eastAsia="方正仿宋简体"/>
          <w:color w:val="auto"/>
          <w:sz w:val="32"/>
          <w:szCs w:val="32"/>
        </w:rPr>
        <w:t>“当好一线施工员、建设美好新河西，提高城乡</w:t>
      </w:r>
      <w:r>
        <w:rPr>
          <w:rFonts w:hint="eastAsia" w:ascii="方正仿宋简体" w:eastAsia="方正仿宋简体"/>
          <w:color w:val="auto"/>
          <w:sz w:val="32"/>
          <w:szCs w:val="32"/>
          <w:lang w:eastAsia="zh-CN"/>
        </w:rPr>
        <w:t>结合部</w:t>
      </w:r>
      <w:r>
        <w:rPr>
          <w:rFonts w:hint="eastAsia" w:ascii="方正仿宋简体" w:eastAsia="方正仿宋简体"/>
          <w:color w:val="auto"/>
          <w:sz w:val="32"/>
          <w:szCs w:val="32"/>
        </w:rPr>
        <w:t>基层治理精细化规范化水平”的总体目标和</w:t>
      </w:r>
      <w:r>
        <w:rPr>
          <w:rFonts w:hint="eastAsia" w:ascii="方正仿宋简体" w:hAnsi="方正仿宋简体" w:eastAsia="方正仿宋简体"/>
          <w:color w:val="auto"/>
          <w:sz w:val="32"/>
          <w:szCs w:val="32"/>
        </w:rPr>
        <w:t>“日常工作抓规范、特色工作抓突破、遗留问题抓销号”基本工作思路。</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s="方正仿宋简体"/>
          <w:color w:val="auto"/>
          <w:sz w:val="32"/>
          <w:szCs w:val="32"/>
        </w:rPr>
      </w:pPr>
      <w:r>
        <w:rPr>
          <w:rFonts w:hint="eastAsia" w:ascii="方正楷体简体" w:hAnsi="方正楷体简体" w:eastAsia="方正楷体简体" w:cs="方正仿宋简体"/>
          <w:color w:val="auto"/>
          <w:sz w:val="32"/>
          <w:szCs w:val="32"/>
          <w:lang w:val="en-US" w:eastAsia="zh-CN"/>
        </w:rPr>
        <w:t>2.</w:t>
      </w:r>
      <w:r>
        <w:rPr>
          <w:rFonts w:hint="eastAsia" w:ascii="方正楷体简体" w:hAnsi="方正楷体简体" w:eastAsia="方正楷体简体" w:cs="方正仿宋简体"/>
          <w:color w:val="auto"/>
          <w:sz w:val="32"/>
          <w:szCs w:val="32"/>
        </w:rPr>
        <w:t>抓经济促发展，经济指标平稳运行</w:t>
      </w:r>
    </w:p>
    <w:p>
      <w:pPr>
        <w:pageBreakBefore w:val="0"/>
        <w:kinsoku/>
        <w:wordWrap/>
        <w:topLinePunct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地区生产总值完成增速3.1%。全社会固定资产投资完成12.2865亿元，完成全年目标任务14亿元的87.76%。规上工业产值完成72.85亿元，完成全年目标任务99.154亿元的73.47%。限额以上社消零完成15.51亿元，累计同期比增长4.2%。招商引资到位市外资金完成1.2亿元，完成全年目标任务1亿元的120%。城镇、农村居民人均可支配收入分别完成增速7.5%、9.8%，比全年目标任务7.1%、9.8%分别增长0.4、0.3个百分点。</w:t>
      </w:r>
    </w:p>
    <w:p>
      <w:pPr>
        <w:pageBreakBefore w:val="0"/>
        <w:kinsoku/>
        <w:wordWrap/>
        <w:topLinePunct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楷体简体" w:hAnsi="方正楷体简体" w:eastAsia="方正楷体简体"/>
          <w:color w:val="auto"/>
          <w:sz w:val="32"/>
          <w:szCs w:val="32"/>
          <w:lang w:val="en-US" w:eastAsia="zh-CN"/>
        </w:rPr>
        <w:t>3.</w:t>
      </w:r>
      <w:r>
        <w:rPr>
          <w:rFonts w:hint="eastAsia" w:ascii="方正楷体简体" w:hAnsi="方正楷体简体" w:eastAsia="方正楷体简体"/>
          <w:color w:val="auto"/>
          <w:sz w:val="32"/>
          <w:szCs w:val="32"/>
        </w:rPr>
        <w:t>抓疫情常防控，经济社会正常运转</w:t>
      </w:r>
    </w:p>
    <w:p>
      <w:pPr>
        <w:pageBreakBefore w:val="0"/>
        <w:kinsoku/>
        <w:wordWrap/>
        <w:topLinePunct w:val="0"/>
        <w:bidi w:val="0"/>
        <w:spacing w:line="576" w:lineRule="exact"/>
        <w:ind w:firstLine="640" w:firstLineChars="200"/>
        <w:textAlignment w:val="auto"/>
        <w:rPr>
          <w:rFonts w:hint="eastAsia" w:ascii="方正仿宋简体" w:eastAsia="方正仿宋简体"/>
          <w:color w:val="auto"/>
          <w:sz w:val="32"/>
          <w:szCs w:val="32"/>
        </w:rPr>
      </w:pPr>
      <w:r>
        <w:rPr>
          <w:rFonts w:ascii="方正仿宋简体" w:eastAsia="方正仿宋简体"/>
          <w:color w:val="auto"/>
          <w:sz w:val="32"/>
          <w:szCs w:val="32"/>
        </w:rPr>
        <w:t>坚持</w:t>
      </w:r>
      <w:r>
        <w:rPr>
          <w:rFonts w:hint="eastAsia" w:ascii="方正仿宋简体" w:eastAsia="方正仿宋简体"/>
          <w:color w:val="auto"/>
          <w:sz w:val="32"/>
          <w:szCs w:val="32"/>
        </w:rPr>
        <w:t>“</w:t>
      </w:r>
      <w:r>
        <w:rPr>
          <w:rFonts w:ascii="方正仿宋简体" w:eastAsia="方正仿宋简体"/>
          <w:color w:val="auto"/>
          <w:sz w:val="32"/>
          <w:szCs w:val="32"/>
        </w:rPr>
        <w:t>防输入、防传播、防隐藏</w:t>
      </w:r>
      <w:r>
        <w:rPr>
          <w:rFonts w:hint="eastAsia" w:ascii="方正仿宋简体" w:eastAsia="方正仿宋简体"/>
          <w:color w:val="auto"/>
          <w:sz w:val="32"/>
          <w:szCs w:val="32"/>
        </w:rPr>
        <w:t>”</w:t>
      </w:r>
      <w:r>
        <w:rPr>
          <w:rFonts w:ascii="方正仿宋简体" w:eastAsia="方正仿宋简体"/>
          <w:color w:val="auto"/>
          <w:sz w:val="32"/>
          <w:szCs w:val="32"/>
        </w:rPr>
        <w:t>工作思路，统筹抓好全域疫情防控和复工复产，建立值守卡点36个、巡逻劝散队20余支、宣传队伍82支370人、消杀队伍56支、志愿服务队51支370人、</w:t>
      </w:r>
      <w:r>
        <w:rPr>
          <w:rFonts w:hint="eastAsia" w:ascii="方正仿宋简体" w:eastAsia="方正仿宋简体"/>
          <w:color w:val="auto"/>
          <w:sz w:val="32"/>
          <w:szCs w:val="32"/>
        </w:rPr>
        <w:t>“</w:t>
      </w:r>
      <w:r>
        <w:rPr>
          <w:rFonts w:ascii="方正仿宋简体" w:eastAsia="方正仿宋简体"/>
          <w:color w:val="auto"/>
          <w:sz w:val="32"/>
          <w:szCs w:val="32"/>
        </w:rPr>
        <w:t>楼栋长</w:t>
      </w:r>
      <w:r>
        <w:rPr>
          <w:rFonts w:hint="eastAsia" w:ascii="方正仿宋简体" w:eastAsia="方正仿宋简体"/>
          <w:color w:val="auto"/>
          <w:sz w:val="32"/>
          <w:szCs w:val="32"/>
        </w:rPr>
        <w:t>”“</w:t>
      </w:r>
      <w:r>
        <w:rPr>
          <w:rFonts w:ascii="方正仿宋简体" w:eastAsia="方正仿宋简体"/>
          <w:color w:val="auto"/>
          <w:sz w:val="32"/>
          <w:szCs w:val="32"/>
        </w:rPr>
        <w:t>联户长</w:t>
      </w:r>
      <w:r>
        <w:rPr>
          <w:rFonts w:hint="eastAsia" w:ascii="方正仿宋简体" w:eastAsia="方正仿宋简体"/>
          <w:color w:val="auto"/>
          <w:sz w:val="32"/>
          <w:szCs w:val="32"/>
        </w:rPr>
        <w:t>”</w:t>
      </w:r>
      <w:r>
        <w:rPr>
          <w:rFonts w:ascii="方正仿宋简体" w:eastAsia="方正仿宋简体"/>
          <w:color w:val="auto"/>
          <w:sz w:val="32"/>
          <w:szCs w:val="32"/>
        </w:rPr>
        <w:t>417名，密织防控工作网格。累计参与排查工作人员4548人次，卡口值守人员9378人次，检查登记来（返）河西25154车次、42919人次。</w:t>
      </w:r>
      <w:r>
        <w:rPr>
          <w:rFonts w:hint="eastAsia" w:ascii="方正仿宋简体" w:eastAsia="方正仿宋简体"/>
          <w:color w:val="auto"/>
          <w:sz w:val="32"/>
          <w:szCs w:val="32"/>
        </w:rPr>
        <w:t>做好口罩、消毒物品等防疫物资发放。</w:t>
      </w:r>
      <w:r>
        <w:rPr>
          <w:rFonts w:hint="eastAsia" w:ascii="方正仿宋简体" w:hAnsi="方正仿宋简体" w:eastAsia="方正仿宋简体" w:cs="方正仿宋简体"/>
          <w:color w:val="auto"/>
          <w:sz w:val="32"/>
          <w:szCs w:val="32"/>
        </w:rPr>
        <w:t>创新开展“朋友圈行动”推送图文讲好河西故事，有关做法被《学习强国》等市以上主流媒体报道80余条。</w:t>
      </w:r>
      <w:r>
        <w:rPr>
          <w:rFonts w:hint="eastAsia" w:ascii="方正仿宋简体" w:eastAsia="方正仿宋简体"/>
          <w:color w:val="auto"/>
          <w:sz w:val="32"/>
          <w:szCs w:val="32"/>
        </w:rPr>
        <w:t>抓好</w:t>
      </w:r>
      <w:r>
        <w:rPr>
          <w:rFonts w:ascii="方正仿宋简体" w:eastAsia="方正仿宋简体"/>
          <w:color w:val="auto"/>
          <w:sz w:val="32"/>
          <w:szCs w:val="32"/>
        </w:rPr>
        <w:t>在外人员排查，及时掌握回境、回广动</w:t>
      </w:r>
      <w:r>
        <w:rPr>
          <w:rFonts w:hint="eastAsia" w:ascii="方正仿宋简体" w:eastAsia="方正仿宋简体"/>
          <w:color w:val="auto"/>
          <w:sz w:val="32"/>
          <w:szCs w:val="32"/>
        </w:rPr>
        <w:t>态，</w:t>
      </w:r>
      <w:r>
        <w:rPr>
          <w:rFonts w:ascii="方正仿宋简体" w:eastAsia="方正仿宋简体"/>
          <w:color w:val="auto"/>
          <w:sz w:val="32"/>
          <w:szCs w:val="32"/>
        </w:rPr>
        <w:t>加强居家隔离人员管理，细化管控方案</w:t>
      </w:r>
      <w:r>
        <w:rPr>
          <w:rFonts w:hint="eastAsia" w:ascii="方正仿宋简体" w:eastAsia="方正仿宋简体"/>
          <w:color w:val="auto"/>
          <w:sz w:val="32"/>
          <w:szCs w:val="32"/>
        </w:rPr>
        <w:t>。</w:t>
      </w:r>
      <w:r>
        <w:rPr>
          <w:rFonts w:ascii="方正仿宋简体" w:eastAsia="方正仿宋简体"/>
          <w:color w:val="auto"/>
          <w:sz w:val="32"/>
          <w:szCs w:val="32"/>
        </w:rPr>
        <w:t>截至11月30日，全办累计登记市外来（返）广人员2889人，累计集中隔离23人次，居家隔离2061人次。</w:t>
      </w:r>
      <w:r>
        <w:rPr>
          <w:rFonts w:ascii="方正仿宋简体" w:eastAsia="方正仿宋简体"/>
          <w:color w:val="auto"/>
          <w:sz w:val="32"/>
          <w:szCs w:val="32"/>
        </w:rPr>
        <w:t>无一例确诊和疑似病例，无脱管、脱控、脱联发生。</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4.</w:t>
      </w:r>
      <w:r>
        <w:rPr>
          <w:rFonts w:hint="eastAsia" w:ascii="方正楷体简体" w:hAnsi="方正楷体简体" w:eastAsia="方正楷体简体"/>
          <w:color w:val="auto"/>
          <w:sz w:val="32"/>
          <w:szCs w:val="32"/>
        </w:rPr>
        <w:t>抓扶贫迎大考，脱贫成果全面巩固</w:t>
      </w:r>
    </w:p>
    <w:p>
      <w:pPr>
        <w:pageBreakBefore w:val="0"/>
        <w:kinsoku/>
        <w:wordWrap/>
        <w:topLinePunct w:val="0"/>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一是调整脱贫攻坚领导小组成员，选派第一书记7人，工作队员14人，完成73户贫困户帮扶责任人的调配；二是投入82.05万元完善基础设施，</w:t>
      </w:r>
      <w:r>
        <w:rPr>
          <w:rFonts w:hint="eastAsia" w:ascii="方正仿宋简体" w:hAnsi="方正仿宋简体" w:eastAsia="方正仿宋简体" w:cs="方正仿宋简体"/>
          <w:color w:val="auto"/>
          <w:sz w:val="32"/>
          <w:szCs w:val="32"/>
        </w:rPr>
        <w:t>实施脱贫项目15个；</w:t>
      </w:r>
      <w:r>
        <w:rPr>
          <w:rFonts w:hint="eastAsia" w:ascii="方正仿宋简体" w:hAnsi="方正仿宋简体" w:eastAsia="方正仿宋简体" w:cs="方正仿宋简体"/>
          <w:color w:val="auto"/>
          <w:sz w:val="32"/>
          <w:szCs w:val="32"/>
        </w:rPr>
        <w:t>三是通过优化村社产业发展布局带动23户77名贫困户发展蔬菜、菌类种植，家禽、生猪养殖直接收益</w:t>
      </w:r>
      <w:r>
        <w:rPr>
          <w:rFonts w:hint="eastAsia" w:ascii="方正仿宋简体" w:hAnsi="方正仿宋简体" w:eastAsia="方正仿宋简体" w:cs="方正仿宋简体"/>
          <w:color w:val="auto"/>
          <w:sz w:val="32"/>
          <w:szCs w:val="32"/>
        </w:rPr>
        <w:t>21万元；四是严格落实帮扶力量统筹管理责任，对驻村工作队在岗情况不定期明察暗访10次，解决贫困群众实际问题5个；五是坚持举一反三，开展问题整改排查7次，自查问题10个，现已全部整改销号；六是发展到户产业23户，评定低保户43户，提供公益性岗位15个，提供就业信息3批次，积极发动企业捐助资金。</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5.</w:t>
      </w:r>
      <w:r>
        <w:rPr>
          <w:rFonts w:hint="eastAsia" w:ascii="方正楷体简体" w:hAnsi="方正楷体简体" w:eastAsia="方正楷体简体"/>
          <w:color w:val="auto"/>
          <w:sz w:val="32"/>
          <w:szCs w:val="32"/>
        </w:rPr>
        <w:t>抓农业促振兴，乡村振兴取得实效。</w:t>
      </w:r>
    </w:p>
    <w:p>
      <w:pPr>
        <w:pageBreakBefore w:val="0"/>
        <w:kinsoku/>
        <w:wordWrap/>
        <w:topLinePunct w:val="0"/>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是争取扶持农业新型经营主体项目4个，投资80余万元完善基础设施。发展蔬菜种植1300亩，水果2000亩，新建果蔬大棚5500平方米；二是实施农村户厕改造和厕污共治，完成户厕改造185户，兑付改造补助资金27.72万元，全面完成2个厕污共治项目。创建市级乡村振兴示范村1个，区级1个；三是完成466.72亩撂荒土地复垦，粮食种植面积204.9亩。四是申报争取集体经济发展项目2个，投资50余万元，完成跑山鸡、生态鱼养殖集体经济发展项目，</w:t>
      </w:r>
      <w:r>
        <w:rPr>
          <w:rFonts w:hint="eastAsia" w:ascii="方正仿宋简体" w:hAnsi="方正仿宋简体" w:eastAsia="方正仿宋简体" w:cs="方正仿宋简体"/>
          <w:color w:val="auto"/>
          <w:sz w:val="32"/>
          <w:szCs w:val="32"/>
        </w:rPr>
        <w:t>实现集体经济收入116.42万元。</w:t>
      </w:r>
      <w:r>
        <w:rPr>
          <w:rFonts w:hint="eastAsia" w:ascii="方正仿宋简体" w:hAnsi="方正仿宋简体" w:eastAsia="方正仿宋简体" w:cs="方正仿宋简体"/>
          <w:color w:val="auto"/>
          <w:sz w:val="32"/>
          <w:szCs w:val="32"/>
        </w:rPr>
        <w:t>五是对村社区进行清产核资和债务管理，并进行财务公示，对换届村社区干部进行离任经济责任审计。</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6.</w:t>
      </w:r>
      <w:r>
        <w:rPr>
          <w:rFonts w:hint="eastAsia" w:ascii="方正楷体简体" w:hAnsi="方正楷体简体" w:eastAsia="方正楷体简体"/>
          <w:color w:val="auto"/>
          <w:sz w:val="32"/>
          <w:szCs w:val="32"/>
        </w:rPr>
        <w:t>抓进度促建设，重点项目稳步推进</w:t>
      </w:r>
    </w:p>
    <w:p>
      <w:pPr>
        <w:pageBreakBefore w:val="0"/>
        <w:kinsoku/>
        <w:wordWrap/>
        <w:topLinePunct w:val="0"/>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olor w:val="auto"/>
          <w:sz w:val="32"/>
          <w:szCs w:val="32"/>
        </w:rPr>
        <w:t>全面梳理历年来工业园区基础配套及安置点建设项目，审计认定项目、资金情况，并及时汇报。疫情防控转为常态化状态后，迅速按程序报批完成增量并启动西二环群心安置点场平工程建设，</w:t>
      </w:r>
      <w:r>
        <w:rPr>
          <w:rFonts w:hint="eastAsia" w:ascii="方正仿宋简体" w:hAnsi="方正仿宋简体" w:eastAsia="方正仿宋简体"/>
          <w:color w:val="auto"/>
          <w:sz w:val="32"/>
          <w:szCs w:val="32"/>
          <w:lang w:eastAsia="zh-CN"/>
        </w:rPr>
        <w:t>及时</w:t>
      </w:r>
      <w:r>
        <w:rPr>
          <w:rFonts w:hint="eastAsia" w:ascii="方正仿宋简体" w:hAnsi="方正仿宋简体" w:eastAsia="方正仿宋简体"/>
          <w:color w:val="auto"/>
          <w:sz w:val="32"/>
          <w:szCs w:val="32"/>
        </w:rPr>
        <w:t>完成39户宅基地划分，现居民建房已全面封顶。利州西路延伸段项目加快推进，依法强力推进个别“困难户”征拆倒房、非法阻工协调处置、安置等工作，目前利州西路已全线贯通。同时，扎实抓好八一棚改小区、</w:t>
      </w:r>
      <w:r>
        <w:rPr>
          <w:rFonts w:hint="eastAsia" w:ascii="方正仿宋简体" w:hAnsi="方正仿宋简体" w:eastAsia="方正仿宋简体" w:cs="方正仿宋简体"/>
          <w:color w:val="auto"/>
          <w:sz w:val="32"/>
          <w:szCs w:val="32"/>
        </w:rPr>
        <w:t>利州西路</w:t>
      </w:r>
      <w:r>
        <w:rPr>
          <w:rFonts w:hint="eastAsia" w:ascii="方正仿宋简体" w:hAnsi="方正仿宋简体" w:eastAsia="方正仿宋简体" w:cs="方正仿宋简体"/>
          <w:color w:val="auto"/>
          <w:sz w:val="32"/>
          <w:szCs w:val="32"/>
          <w:lang w:eastAsia="zh-CN"/>
        </w:rPr>
        <w:t>棚户区改造</w:t>
      </w:r>
      <w:r>
        <w:rPr>
          <w:rFonts w:hint="eastAsia" w:ascii="方正仿宋简体" w:hAnsi="方正仿宋简体" w:eastAsia="方正仿宋简体" w:cs="方正仿宋简体"/>
          <w:color w:val="auto"/>
          <w:sz w:val="32"/>
          <w:szCs w:val="32"/>
        </w:rPr>
        <w:t>二期尤其是4家企业和30余幢房屋、109至天曌道路、103老旧小区改造、厕污共治、矿企治理和嘉冶等重点项目推进实施和协</w:t>
      </w:r>
      <w:r>
        <w:rPr>
          <w:rFonts w:ascii="方正仿宋简体" w:hAnsi="方正仿宋简体" w:eastAsia="方正仿宋简体" w:cs="方正仿宋简体"/>
          <w:color w:val="auto"/>
          <w:sz w:val="32"/>
          <w:szCs w:val="32"/>
        </w:rPr>
        <w:t>调</w:t>
      </w:r>
      <w:r>
        <w:rPr>
          <w:rFonts w:hint="eastAsia" w:ascii="方正仿宋简体" w:hAnsi="方正仿宋简体" w:eastAsia="方正仿宋简体" w:cs="方正仿宋简体"/>
          <w:color w:val="auto"/>
          <w:sz w:val="32"/>
          <w:szCs w:val="32"/>
        </w:rPr>
        <w:t>服务工作。</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7.</w:t>
      </w:r>
      <w:r>
        <w:rPr>
          <w:rFonts w:hint="eastAsia" w:ascii="方正楷体简体" w:hAnsi="方正楷体简体" w:eastAsia="方正楷体简体"/>
          <w:color w:val="auto"/>
          <w:sz w:val="32"/>
          <w:szCs w:val="32"/>
        </w:rPr>
        <w:t>抓服务促改善，民生事业扎实推进</w:t>
      </w:r>
    </w:p>
    <w:p>
      <w:pPr>
        <w:pageBreakBefore w:val="0"/>
        <w:kinsoku/>
        <w:wordWrap/>
        <w:topLinePunct w:val="0"/>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ascii="方正仿宋简体" w:hAnsi="方正仿宋简体" w:eastAsia="方正仿宋简体" w:cs="方正仿宋简体"/>
          <w:color w:val="auto"/>
          <w:sz w:val="32"/>
          <w:szCs w:val="32"/>
        </w:rPr>
        <w:t>一是城乡低保共938户2305人，年发放资金456.45万元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其中</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城市719户1540人</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年发放383.88万元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农村219户765人</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年发放72.57万元。加大比对核实力度，取消不符对象16户32人，减少户口变动5户5人，新增7户11人，提标7户12人，恢复3户7人，追缴已故人员低保7人2645元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二是解决临时生活救助资金34人26000元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其中</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优抚对象4人4100元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“8·7”暴雨受灾群众80户发放米、面、油、被子等物资折合资金2.5万元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三是五保9人，每月每人生活补贴500元、护理费每月每人150元由区民政局直发</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四是辖区孤儿7人</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其中新增事实无人抚养儿童5人。区未保中心8月慰问辖区困境儿童20人，中秋节慰问困境儿童9人。五是发放高龄老人补贴529人</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其中</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90岁以上老人55人</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幸福养老院和村社区老年日间照料中心功能得到有效发挥</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六是城乡医疗救助60人30万元</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其中建档立卡贫困户救助3户6人次。七是绿色惠民殡葬补贴申请60人，困难群众殡葬救助5人。</w:t>
      </w:r>
      <w:r>
        <w:rPr>
          <w:rFonts w:hint="eastAsia" w:ascii="方正仿宋简体" w:hAnsi="方正仿宋简体" w:eastAsia="方正仿宋简体" w:cs="方正仿宋简体"/>
          <w:color w:val="auto"/>
          <w:sz w:val="32"/>
          <w:szCs w:val="32"/>
        </w:rPr>
        <w:t>八是</w:t>
      </w:r>
      <w:r>
        <w:rPr>
          <w:rFonts w:hint="eastAsia" w:ascii="方正仿宋简体" w:hAnsi="方正仿宋简体" w:eastAsia="方正仿宋简体"/>
          <w:color w:val="auto"/>
          <w:sz w:val="32"/>
          <w:szCs w:val="32"/>
        </w:rPr>
        <w:t>实施“三供一业”改造、一户一表改造、水毁道路修复、小区环境提升等民生项目，切实解决辖区群众用电难、饮水难、行路难等操心事烦心事。</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8.</w:t>
      </w:r>
      <w:r>
        <w:rPr>
          <w:rFonts w:hint="eastAsia" w:ascii="方正楷体简体" w:hAnsi="方正楷体简体" w:eastAsia="方正楷体简体"/>
          <w:color w:val="auto"/>
          <w:sz w:val="32"/>
          <w:szCs w:val="32"/>
        </w:rPr>
        <w:t>抓平安促和谐，社会大局态势平稳。</w:t>
      </w:r>
    </w:p>
    <w:p>
      <w:pPr>
        <w:pageBreakBefore w:val="0"/>
        <w:kinsoku/>
        <w:wordWrap/>
        <w:topLinePunct w:val="0"/>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ascii="方正仿宋简体" w:hAnsi="方正仿宋简体" w:eastAsia="方正仿宋简体" w:cs="方正仿宋简体"/>
          <w:color w:val="auto"/>
          <w:sz w:val="32"/>
          <w:szCs w:val="32"/>
        </w:rPr>
        <w:t>一是</w:t>
      </w:r>
      <w:r>
        <w:rPr>
          <w:rFonts w:hint="eastAsia" w:ascii="方正仿宋简体" w:hAnsi="方正仿宋简体" w:eastAsia="方正仿宋简体" w:cs="方正仿宋简体"/>
          <w:color w:val="auto"/>
          <w:sz w:val="32"/>
          <w:szCs w:val="32"/>
          <w:lang w:eastAsia="zh-CN"/>
        </w:rPr>
        <w:t>维稳工作</w:t>
      </w:r>
      <w:r>
        <w:rPr>
          <w:rFonts w:hint="eastAsia" w:ascii="方正仿宋简体" w:hAnsi="方正仿宋简体" w:eastAsia="方正仿宋简体" w:cs="方正仿宋简体"/>
          <w:color w:val="auto"/>
          <w:sz w:val="32"/>
          <w:szCs w:val="32"/>
        </w:rPr>
        <w:t>实现</w:t>
      </w:r>
      <w:r>
        <w:rPr>
          <w:rFonts w:ascii="方正仿宋简体" w:hAnsi="方正仿宋简体" w:eastAsia="方正仿宋简体" w:cs="方正仿宋简体"/>
          <w:color w:val="auto"/>
          <w:sz w:val="32"/>
          <w:szCs w:val="32"/>
        </w:rPr>
        <w:t>全国两会</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国庆期间的信访维稳</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三零</w:t>
      </w:r>
      <w:r>
        <w:rPr>
          <w:rFonts w:hint="eastAsia" w:ascii="方正仿宋简体" w:hAnsi="方正仿宋简体" w:eastAsia="方正仿宋简体" w:cs="方正仿宋简体"/>
          <w:color w:val="auto"/>
          <w:sz w:val="32"/>
          <w:szCs w:val="32"/>
          <w:lang w:eastAsia="zh-CN"/>
        </w:rPr>
        <w:t>”</w:t>
      </w:r>
      <w:r>
        <w:rPr>
          <w:rFonts w:ascii="方正仿宋简体" w:hAnsi="方正仿宋简体" w:eastAsia="方正仿宋简体" w:cs="方正仿宋简体"/>
          <w:color w:val="auto"/>
          <w:sz w:val="32"/>
          <w:szCs w:val="32"/>
        </w:rPr>
        <w:t>目标。二是</w:t>
      </w:r>
      <w:r>
        <w:rPr>
          <w:rFonts w:hint="eastAsia" w:ascii="方正仿宋简体" w:hAnsi="方正仿宋简体" w:eastAsia="方正仿宋简体" w:cs="方正仿宋简体"/>
          <w:color w:val="auto"/>
          <w:sz w:val="32"/>
          <w:szCs w:val="32"/>
          <w:lang w:eastAsia="zh-CN"/>
        </w:rPr>
        <w:t>强化矛盾化解。</w:t>
      </w:r>
      <w:r>
        <w:rPr>
          <w:rFonts w:ascii="方正仿宋简体" w:hAnsi="方正仿宋简体" w:eastAsia="方正仿宋简体" w:cs="方正仿宋简体"/>
          <w:color w:val="auto"/>
          <w:sz w:val="32"/>
          <w:szCs w:val="32"/>
        </w:rPr>
        <w:t>摸排化解各类矛盾纠纷32件，接待疏导信访人员500余人次。三是</w:t>
      </w:r>
      <w:r>
        <w:rPr>
          <w:rFonts w:hint="eastAsia" w:ascii="方正仿宋简体" w:hAnsi="方正仿宋简体" w:eastAsia="方正仿宋简体" w:cs="方正仿宋简体"/>
          <w:color w:val="auto"/>
          <w:sz w:val="32"/>
          <w:szCs w:val="32"/>
        </w:rPr>
        <w:t>多形式宣传</w:t>
      </w:r>
      <w:r>
        <w:rPr>
          <w:rFonts w:ascii="方正仿宋简体" w:hAnsi="方正仿宋简体" w:eastAsia="方正仿宋简体" w:cs="方正仿宋简体"/>
          <w:color w:val="auto"/>
          <w:sz w:val="32"/>
          <w:szCs w:val="32"/>
        </w:rPr>
        <w:t>，累计开展宣传活动10场次，发放宣传资料</w:t>
      </w:r>
      <w:r>
        <w:rPr>
          <w:rFonts w:hint="eastAsia" w:ascii="方正仿宋简体" w:hAnsi="方正仿宋简体" w:eastAsia="方正仿宋简体" w:cs="方正仿宋简体"/>
          <w:color w:val="auto"/>
          <w:sz w:val="32"/>
          <w:szCs w:val="32"/>
        </w:rPr>
        <w:t>10</w:t>
      </w:r>
      <w:r>
        <w:rPr>
          <w:rFonts w:ascii="方正仿宋简体" w:hAnsi="方正仿宋简体" w:eastAsia="方正仿宋简体" w:cs="方正仿宋简体"/>
          <w:color w:val="auto"/>
          <w:sz w:val="32"/>
          <w:szCs w:val="32"/>
        </w:rPr>
        <w:t>000余份。四是</w:t>
      </w:r>
      <w:r>
        <w:rPr>
          <w:rFonts w:hint="eastAsia" w:ascii="方正仿宋简体" w:hAnsi="方正仿宋简体" w:eastAsia="方正仿宋简体" w:cs="方正仿宋简体"/>
          <w:color w:val="auto"/>
          <w:sz w:val="32"/>
          <w:szCs w:val="32"/>
          <w:lang w:eastAsia="zh-CN"/>
        </w:rPr>
        <w:t>禁毒工作扎实有效。共</w:t>
      </w:r>
      <w:r>
        <w:rPr>
          <w:rFonts w:ascii="方正仿宋简体" w:hAnsi="方正仿宋简体" w:eastAsia="方正仿宋简体" w:cs="方正仿宋简体"/>
          <w:color w:val="auto"/>
          <w:sz w:val="32"/>
          <w:szCs w:val="32"/>
        </w:rPr>
        <w:t>排查12余次</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未发现种毒制毒窝点，无新增吸毒人员。五是共签订叁级以上肇事肇祸精神病患者9名</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落实</w:t>
      </w:r>
      <w:r>
        <w:rPr>
          <w:rFonts w:hint="eastAsia" w:ascii="方正仿宋简体" w:hAnsi="方正仿宋简体" w:eastAsia="方正仿宋简体" w:cs="方正仿宋简体"/>
          <w:color w:val="auto"/>
          <w:sz w:val="32"/>
          <w:szCs w:val="32"/>
          <w:lang w:eastAsia="zh-CN"/>
        </w:rPr>
        <w:t>管护</w:t>
      </w:r>
      <w:r>
        <w:rPr>
          <w:rFonts w:ascii="方正仿宋简体" w:hAnsi="方正仿宋简体" w:eastAsia="方正仿宋简体" w:cs="方正仿宋简体"/>
          <w:color w:val="auto"/>
          <w:sz w:val="32"/>
          <w:szCs w:val="32"/>
        </w:rPr>
        <w:t>补助18000余元。六是完成信访工作12345政务热线252件，省市区委书记信箱、市长区长信箱9件，群众走访件31件。七是落实铁路护路队员4名，建立铁路平安微信群，做到每日巡查上报</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全</w:t>
      </w:r>
      <w:r>
        <w:rPr>
          <w:rFonts w:hint="eastAsia" w:ascii="方正仿宋简体" w:hAnsi="方正仿宋简体" w:eastAsia="方正仿宋简体" w:cs="方正仿宋简体"/>
          <w:color w:val="auto"/>
          <w:sz w:val="32"/>
          <w:szCs w:val="32"/>
        </w:rPr>
        <w:t>年</w:t>
      </w:r>
      <w:r>
        <w:rPr>
          <w:rFonts w:ascii="方正仿宋简体" w:hAnsi="方正仿宋简体" w:eastAsia="方正仿宋简体" w:cs="方正仿宋简体"/>
          <w:color w:val="auto"/>
          <w:sz w:val="32"/>
          <w:szCs w:val="32"/>
        </w:rPr>
        <w:t>无责任事故发生。八是开展依法治理宣传12场次，成功创建杨家浩村市级“六无平安”村</w:t>
      </w:r>
      <w:r>
        <w:rPr>
          <w:rFonts w:hint="eastAsia" w:ascii="方正仿宋简体" w:hAnsi="方正仿宋简体" w:eastAsia="方正仿宋简体" w:cs="方正仿宋简体"/>
          <w:color w:val="auto"/>
          <w:sz w:val="32"/>
          <w:szCs w:val="32"/>
        </w:rPr>
        <w:t>，</w:t>
      </w:r>
      <w:r>
        <w:rPr>
          <w:rFonts w:ascii="方正仿宋简体" w:hAnsi="方正仿宋简体" w:eastAsia="方正仿宋简体" w:cs="方正仿宋简体"/>
          <w:color w:val="auto"/>
          <w:sz w:val="32"/>
          <w:szCs w:val="32"/>
        </w:rPr>
        <w:t>东风坪社区代表利州区接受市级“法律七进”总结验收</w:t>
      </w:r>
      <w:r>
        <w:rPr>
          <w:rFonts w:hint="eastAsia" w:ascii="方正仿宋简体" w:hAnsi="方正仿宋简体" w:eastAsia="方正仿宋简体" w:cs="方正仿宋简体"/>
          <w:color w:val="auto"/>
          <w:sz w:val="32"/>
          <w:szCs w:val="32"/>
        </w:rPr>
        <w:t>，并申报全国法治民主示范社区。</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9.</w:t>
      </w:r>
      <w:r>
        <w:rPr>
          <w:rFonts w:hint="eastAsia" w:ascii="方正楷体简体" w:hAnsi="方正楷体简体" w:eastAsia="方正楷体简体"/>
          <w:color w:val="auto"/>
          <w:sz w:val="32"/>
          <w:szCs w:val="32"/>
        </w:rPr>
        <w:t>抓管理促整治，城乡环境持续改善</w:t>
      </w:r>
    </w:p>
    <w:p>
      <w:pPr>
        <w:pageBreakBefore w:val="0"/>
        <w:kinsoku/>
        <w:wordWrap/>
        <w:topLinePunct w:val="0"/>
        <w:bidi w:val="0"/>
        <w:spacing w:line="576"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一是</w:t>
      </w:r>
      <w:r>
        <w:rPr>
          <w:rFonts w:hint="eastAsia" w:ascii="方正仿宋简体" w:hAnsi="方正仿宋简体" w:eastAsia="方正仿宋简体" w:cs="方正仿宋简体"/>
          <w:color w:val="auto"/>
          <w:sz w:val="32"/>
          <w:szCs w:val="32"/>
          <w:lang w:eastAsia="zh-CN"/>
        </w:rPr>
        <w:t>城乡综合治理成果明显。</w:t>
      </w:r>
      <w:r>
        <w:rPr>
          <w:rFonts w:hint="eastAsia" w:ascii="方正仿宋简体" w:hAnsi="方正仿宋简体" w:eastAsia="方正仿宋简体" w:cs="方正仿宋简体"/>
          <w:color w:val="auto"/>
          <w:sz w:val="32"/>
          <w:szCs w:val="32"/>
        </w:rPr>
        <w:t>清理河沟5000余米，清理乱倒建渣16处，治理乱停乱放160余起，清理牛皮癣50余处，完成铁路沿线环境安全治理8处。整治占道经营320余起，拆除一户多宅土坯房30余户，维修加固30余户，持续做好“三年清蓝”行动，整治清理500余户66842平方米，清理非法占用耕地30余户，巡查整治拆除违法建设80余处，拆除面积1800余平方二是</w:t>
      </w:r>
      <w:r>
        <w:rPr>
          <w:rFonts w:ascii="方正仿宋简体" w:hAnsi="方正仿宋简体" w:eastAsia="方正仿宋简体" w:cs="方正仿宋简体"/>
          <w:color w:val="auto"/>
          <w:sz w:val="32"/>
          <w:szCs w:val="32"/>
        </w:rPr>
        <w:t>对中央环保督察组交办的7个问题、省委环保</w:t>
      </w:r>
      <w:r>
        <w:rPr>
          <w:rFonts w:hint="eastAsia" w:ascii="方正仿宋简体" w:hAnsi="方正仿宋简体" w:eastAsia="方正仿宋简体" w:cs="方正仿宋简体"/>
          <w:color w:val="auto"/>
          <w:sz w:val="32"/>
          <w:szCs w:val="32"/>
          <w:lang w:eastAsia="zh-CN"/>
        </w:rPr>
        <w:t>督察组</w:t>
      </w:r>
      <w:r>
        <w:rPr>
          <w:rFonts w:ascii="方正仿宋简体" w:hAnsi="方正仿宋简体" w:eastAsia="方正仿宋简体" w:cs="方正仿宋简体"/>
          <w:color w:val="auto"/>
          <w:sz w:val="32"/>
          <w:szCs w:val="32"/>
        </w:rPr>
        <w:t>交办的6个企业问题和检查19处问题及时处置，全部整改销号，建立了</w:t>
      </w:r>
      <w:r>
        <w:rPr>
          <w:rFonts w:hint="eastAsia" w:ascii="方正仿宋简体" w:hAnsi="方正仿宋简体" w:eastAsia="方正仿宋简体" w:cs="方正仿宋简体"/>
          <w:color w:val="auto"/>
          <w:sz w:val="32"/>
          <w:szCs w:val="32"/>
        </w:rPr>
        <w:t>长效</w:t>
      </w:r>
      <w:r>
        <w:rPr>
          <w:rFonts w:ascii="方正仿宋简体" w:hAnsi="方正仿宋简体" w:eastAsia="方正仿宋简体" w:cs="方正仿宋简体"/>
          <w:color w:val="auto"/>
          <w:sz w:val="32"/>
          <w:szCs w:val="32"/>
        </w:rPr>
        <w:t>监管机制。</w:t>
      </w:r>
    </w:p>
    <w:p>
      <w:pPr>
        <w:pageBreakBefore w:val="0"/>
        <w:kinsoku/>
        <w:wordWrap/>
        <w:topLinePunct w:val="0"/>
        <w:bidi w:val="0"/>
        <w:spacing w:line="576" w:lineRule="exact"/>
        <w:ind w:firstLine="640" w:firstLineChars="200"/>
        <w:textAlignment w:val="auto"/>
        <w:rPr>
          <w:rFonts w:hint="eastAsia" w:ascii="方正楷体简体" w:hAnsi="方正楷体简体" w:eastAsia="方正楷体简体"/>
          <w:color w:val="auto"/>
          <w:sz w:val="32"/>
          <w:szCs w:val="32"/>
        </w:rPr>
      </w:pPr>
      <w:r>
        <w:rPr>
          <w:rFonts w:hint="eastAsia" w:ascii="方正楷体简体" w:hAnsi="方正楷体简体" w:eastAsia="方正楷体简体"/>
          <w:color w:val="auto"/>
          <w:sz w:val="32"/>
          <w:szCs w:val="32"/>
          <w:lang w:val="en-US" w:eastAsia="zh-CN"/>
        </w:rPr>
        <w:t>10.</w:t>
      </w:r>
      <w:r>
        <w:rPr>
          <w:rFonts w:hint="eastAsia" w:ascii="方正楷体简体" w:hAnsi="方正楷体简体" w:eastAsia="方正楷体简体"/>
          <w:color w:val="auto"/>
          <w:sz w:val="32"/>
          <w:szCs w:val="32"/>
        </w:rPr>
        <w:t>抓引领筑引擎，管党治党全面落实</w:t>
      </w:r>
    </w:p>
    <w:p>
      <w:pPr>
        <w:pageBreakBefore w:val="0"/>
        <w:kinsoku/>
        <w:wordWrap/>
        <w:topLinePunct w:val="0"/>
        <w:bidi w:val="0"/>
        <w:spacing w:line="576" w:lineRule="exact"/>
        <w:ind w:firstLine="640" w:firstLineChars="200"/>
        <w:textAlignment w:val="auto"/>
        <w:rPr>
          <w:rFonts w:hint="eastAsia" w:ascii="仿宋_GB2312" w:eastAsia="仿宋_GB2312"/>
          <w:color w:val="auto"/>
          <w:sz w:val="32"/>
          <w:szCs w:val="32"/>
        </w:rPr>
      </w:pPr>
      <w:r>
        <w:rPr>
          <w:rFonts w:hint="eastAsia" w:ascii="方正仿宋简体" w:eastAsia="方正仿宋简体"/>
          <w:color w:val="auto"/>
          <w:sz w:val="32"/>
          <w:szCs w:val="32"/>
        </w:rPr>
        <w:t>一是制定党工委理论学习中心组学习计划，完善系列规章制度，开展集中学习10次，查找问题11个，制定整改措施8条；二是开展班子运行分析研判，查找问题3个，全部整改销号。选举</w:t>
      </w:r>
      <w:r>
        <w:rPr>
          <w:rFonts w:hint="eastAsia" w:ascii="方正仿宋简体" w:eastAsia="方正仿宋简体"/>
          <w:color w:val="auto"/>
          <w:sz w:val="32"/>
          <w:szCs w:val="32"/>
          <w:lang w:eastAsia="zh-CN"/>
        </w:rPr>
        <w:t>新</w:t>
      </w:r>
      <w:r>
        <w:rPr>
          <w:rFonts w:hint="eastAsia" w:ascii="方正仿宋简体" w:eastAsia="方正仿宋简体"/>
          <w:color w:val="auto"/>
          <w:sz w:val="32"/>
          <w:szCs w:val="32"/>
        </w:rPr>
        <w:t>任命2名年轻党组织副书记，储备村级后备力量14名，新发展党员2名，预备党员转正2名，发展8名优秀农民工党员；三是制定重点工作任务，细化责任分工，打造市级示范社区2个，市级示范居民小区2个，基层示范点1个，完成村社区党群服务中心亲民化改造4个；四是认真履行党管意识形态责任制，</w:t>
      </w:r>
      <w:r>
        <w:rPr>
          <w:rFonts w:hint="eastAsia" w:ascii="方正仿宋简体" w:hAnsi="方正仿宋简体" w:eastAsia="方正仿宋简体" w:cs="方正仿宋简体"/>
          <w:color w:val="auto"/>
          <w:sz w:val="32"/>
          <w:szCs w:val="32"/>
        </w:rPr>
        <w:t>党工委理论中心组学习11次，专题学习5次，党工委书记带头讲党课4次，各级党组织书记及联系领导讲党课9次，召开意识形态专题会议4次，专项巡查2次。落实新时代文明实践站建设2个，组织开展各类志愿服务50余次，举办各类座谈会、宣讲会50余次</w:t>
      </w:r>
      <w:r>
        <w:rPr>
          <w:rFonts w:hint="eastAsia" w:ascii="方正仿宋简体" w:eastAsia="方正仿宋简体"/>
          <w:color w:val="auto"/>
          <w:sz w:val="32"/>
          <w:szCs w:val="32"/>
        </w:rPr>
        <w:t>；五是</w:t>
      </w:r>
      <w:r>
        <w:rPr>
          <w:rFonts w:hint="eastAsia" w:ascii="方正仿宋简体" w:hAnsi="方正仿宋简体" w:eastAsia="方正仿宋简体" w:cs="方正仿宋简体"/>
          <w:color w:val="auto"/>
          <w:sz w:val="32"/>
          <w:szCs w:val="32"/>
        </w:rPr>
        <w:t>抓好巡察、审计、环保反馈问题整改“回头看”工作，从严监督执纪问责，强化落实“三个七条”要求，持续改进工作作风，</w:t>
      </w:r>
      <w:r>
        <w:rPr>
          <w:rFonts w:hint="eastAsia" w:ascii="方正仿宋简体" w:eastAsia="方正仿宋简体"/>
          <w:color w:val="auto"/>
          <w:sz w:val="32"/>
          <w:szCs w:val="32"/>
        </w:rPr>
        <w:t>召开党风廉政建设专题工作会5次，警示大会6次，发送《今日问责》45期，全年自办案件10件，处理10人，协助区纪委办理案件2件，处理2人，通报批评村社区党组织1个；六</w:t>
      </w:r>
      <w:r>
        <w:rPr>
          <w:rFonts w:ascii="方正仿宋简体" w:eastAsia="方正仿宋简体"/>
          <w:color w:val="auto"/>
          <w:sz w:val="32"/>
          <w:szCs w:val="32"/>
        </w:rPr>
        <w:t>是全面完成村级建制调整改革。将原盘龙镇东升村6、7、8组并入学工村，原江南社区4组并入群心社区6组。将原有的47个村民小组调整优化为32个村民小组</w:t>
      </w:r>
      <w:r>
        <w:rPr>
          <w:rFonts w:hint="eastAsia" w:ascii="方正仿宋简体" w:eastAsia="方正仿宋简体"/>
          <w:color w:val="auto"/>
          <w:sz w:val="32"/>
          <w:szCs w:val="32"/>
        </w:rPr>
        <w:t>。七是</w:t>
      </w:r>
      <w:r>
        <w:rPr>
          <w:rFonts w:hint="eastAsia" w:ascii="方正仿宋简体" w:hAnsi="方正仿宋简体" w:eastAsia="方正仿宋简体" w:cs="方正仿宋简体"/>
          <w:color w:val="auto"/>
          <w:sz w:val="32"/>
          <w:szCs w:val="32"/>
        </w:rPr>
        <w:t>抓好统战工作，贯彻党的民族和宗教工作方针政策，对辖区6个宗教场所和其他点位加强巡查检查，严防非法聚集和意识形态渗透；八是切实做好村社区“两委”换届、离任经责审计、法律法规宣传等准备工作。</w:t>
      </w:r>
    </w:p>
    <w:p>
      <w:pPr>
        <w:pStyle w:val="5"/>
        <w:pageBreakBefore w:val="0"/>
        <w:numPr>
          <w:ilvl w:val="0"/>
          <w:numId w:val="0"/>
        </w:numPr>
        <w:kinsoku/>
        <w:wordWrap/>
        <w:topLinePunct w:val="0"/>
        <w:bidi w:val="0"/>
        <w:spacing w:before="0" w:after="0" w:line="576" w:lineRule="exact"/>
        <w:ind w:firstLine="640" w:firstLineChars="200"/>
        <w:textAlignment w:val="auto"/>
        <w:rPr>
          <w:rStyle w:val="28"/>
          <w:rFonts w:hint="eastAsia" w:ascii="黑体" w:hAnsi="黑体" w:eastAsia="黑体"/>
          <w:b w:val="0"/>
          <w:bCs w:val="0"/>
          <w:color w:val="auto"/>
        </w:rPr>
      </w:pPr>
      <w:r>
        <w:rPr>
          <w:rFonts w:hint="eastAsia" w:ascii="黑体" w:hAnsi="黑体" w:eastAsia="黑体"/>
          <w:b w:val="0"/>
          <w:color w:val="auto"/>
          <w:lang w:eastAsia="zh-CN"/>
        </w:rPr>
        <w:t>二、</w:t>
      </w:r>
      <w:r>
        <w:rPr>
          <w:rFonts w:hint="eastAsia" w:ascii="黑体" w:hAnsi="黑体" w:eastAsia="黑体"/>
          <w:b w:val="0"/>
          <w:color w:val="auto"/>
        </w:rPr>
        <w:t>机</w:t>
      </w:r>
      <w:r>
        <w:rPr>
          <w:rStyle w:val="28"/>
          <w:rFonts w:hint="eastAsia" w:ascii="黑体" w:hAnsi="黑体" w:eastAsia="黑体"/>
          <w:b w:val="0"/>
          <w:bCs w:val="0"/>
          <w:color w:val="auto"/>
        </w:rPr>
        <w:t>构设置</w:t>
      </w:r>
      <w:bookmarkEnd w:id="20"/>
      <w:bookmarkEnd w:id="21"/>
    </w:p>
    <w:p>
      <w:pPr>
        <w:pStyle w:val="5"/>
        <w:pageBreakBefore w:val="0"/>
        <w:numPr>
          <w:ilvl w:val="0"/>
          <w:numId w:val="0"/>
        </w:numPr>
        <w:kinsoku/>
        <w:wordWrap/>
        <w:topLinePunct w:val="0"/>
        <w:bidi w:val="0"/>
        <w:spacing w:before="0" w:after="0" w:line="576" w:lineRule="exact"/>
        <w:ind w:firstLine="643"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根据上述职责，设置下列6个内设机构。</w:t>
      </w:r>
    </w:p>
    <w:p>
      <w:pPr>
        <w:pStyle w:val="7"/>
        <w:pageBreakBefore w:val="0"/>
        <w:kinsoku/>
        <w:wordWrap/>
        <w:topLinePunct w:val="0"/>
        <w:bidi w:val="0"/>
        <w:adjustRightInd w:val="0"/>
        <w:snapToGrid w:val="0"/>
        <w:spacing w:beforeLines="0" w:line="576" w:lineRule="exact"/>
        <w:ind w:firstLine="672" w:firstLineChars="210"/>
        <w:textAlignment w:val="auto"/>
        <w:outlineLvl w:val="2"/>
        <w:rPr>
          <w:rFonts w:hint="eastAsia" w:ascii="方正楷体简体" w:hAnsi="方正楷体简体" w:eastAsia="方正楷体简体" w:cs="方正楷体简体"/>
          <w:bCs/>
          <w:color w:val="auto"/>
          <w:sz w:val="32"/>
          <w:szCs w:val="32"/>
        </w:rPr>
      </w:pPr>
      <w:r>
        <w:rPr>
          <w:rFonts w:hint="eastAsia" w:ascii="方正楷体简体" w:hAnsi="方正楷体简体" w:eastAsia="方正楷体简体" w:cs="方正楷体简体"/>
          <w:bCs/>
          <w:color w:val="auto"/>
          <w:sz w:val="32"/>
          <w:szCs w:val="32"/>
        </w:rPr>
        <w:t>（一）党政综合办公室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shd w:val="clear" w:color="auto" w:fill="FFFFFF"/>
        </w:rPr>
      </w:pPr>
      <w:r>
        <w:rPr>
          <w:rFonts w:hint="eastAsia" w:ascii="方正仿宋简体" w:eastAsia="方正仿宋简体"/>
          <w:color w:val="auto"/>
          <w:sz w:val="32"/>
          <w:szCs w:val="32"/>
          <w:shd w:val="clear" w:color="auto" w:fill="FFFFFF"/>
        </w:rPr>
        <w:t>负责街道重要事项的组织和综合协调工作；负责重要会议的组织工作；负责重要文件、文稿的起草、审核和调查研究工作的组织落实；负责对外接待联络和领导调研的服务保障工作；负责机关文电、机要、信息、信息公开、党务公开、保密、督查、绩效管理、依法行政、档案等工作。</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楷体简体" w:eastAsia="方正楷体简体"/>
          <w:color w:val="auto"/>
          <w:sz w:val="32"/>
          <w:szCs w:val="32"/>
        </w:rPr>
      </w:pPr>
      <w:r>
        <w:rPr>
          <w:rFonts w:hint="eastAsia" w:ascii="方正楷体简体" w:eastAsia="方正楷体简体"/>
          <w:color w:val="auto"/>
          <w:sz w:val="32"/>
          <w:szCs w:val="32"/>
        </w:rPr>
        <w:t>（二）党建办公室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shd w:val="clear" w:color="auto" w:fill="FFFFFF"/>
        </w:rPr>
      </w:pPr>
      <w:r>
        <w:rPr>
          <w:rFonts w:hint="eastAsia" w:ascii="方正仿宋简体" w:eastAsia="方正仿宋简体"/>
          <w:color w:val="auto"/>
          <w:sz w:val="32"/>
          <w:szCs w:val="32"/>
          <w:shd w:val="clear" w:color="auto" w:fill="FFFFFF"/>
        </w:rPr>
        <w:t>落实基层党建责任制，负责基层党的组织建设工作；负责</w:t>
      </w:r>
      <w:r>
        <w:rPr>
          <w:rFonts w:ascii="方正仿宋简体" w:eastAsia="方正仿宋简体"/>
          <w:color w:val="auto"/>
          <w:sz w:val="32"/>
          <w:szCs w:val="32"/>
        </w:rPr>
        <w:t>推进街道社区党建、单位党建、行业党建互联互动</w:t>
      </w:r>
      <w:r>
        <w:rPr>
          <w:rFonts w:hint="eastAsia" w:ascii="方正仿宋简体" w:eastAsia="方正仿宋简体"/>
          <w:color w:val="auto"/>
          <w:sz w:val="32"/>
          <w:szCs w:val="32"/>
        </w:rPr>
        <w:t>；</w:t>
      </w:r>
      <w:r>
        <w:rPr>
          <w:rFonts w:hint="eastAsia" w:ascii="方正仿宋简体" w:eastAsia="方正仿宋简体"/>
          <w:color w:val="auto"/>
          <w:sz w:val="32"/>
          <w:szCs w:val="32"/>
          <w:shd w:val="clear" w:color="auto" w:fill="FFFFFF"/>
        </w:rPr>
        <w:t>负责宣传思想和意识形态工作；负责纪检监察、统战、精神文明建设、人大、群团等工作；负责组织人事、机构编制等工作。</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楷体简体" w:eastAsia="方正楷体简体"/>
          <w:color w:val="auto"/>
          <w:sz w:val="32"/>
          <w:szCs w:val="32"/>
        </w:rPr>
      </w:pPr>
      <w:r>
        <w:rPr>
          <w:rFonts w:hint="eastAsia" w:ascii="方正楷体简体" w:eastAsia="方正楷体简体"/>
          <w:color w:val="auto"/>
          <w:sz w:val="32"/>
          <w:szCs w:val="32"/>
        </w:rPr>
        <w:t>（三）综合治理办公室（安全生产监督管理办公室）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负责做好社会治安综合治理工作，维护辖区内社会秩序稳定；负责辖区内依法治理、法治宣传教育、人民调解等工作；处理人民群众来信来访；负责辖区平安建设、禁毒、防邪、防灾减灾救灾等工作；负责综治公共平台日常管理协调工作；做好农村道路交通安全相关工作。</w:t>
      </w:r>
    </w:p>
    <w:p>
      <w:pPr>
        <w:pageBreakBefore w:val="0"/>
        <w:kinsoku/>
        <w:wordWrap/>
        <w:topLinePunct w:val="0"/>
        <w:bidi w:val="0"/>
        <w:spacing w:line="576" w:lineRule="exact"/>
        <w:ind w:firstLine="592" w:firstLineChars="185"/>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负责本辖区安全生产的布置、协调、检查，督促安全隐患整改，安全信息的统计上报等工作；承担《四川省乡镇（街道）安全生产监管规范化建设指导意见》（川办发〔</w:t>
      </w:r>
      <w:r>
        <w:rPr>
          <w:rFonts w:ascii="方正仿宋简体" w:eastAsia="方正仿宋简体"/>
          <w:color w:val="auto"/>
          <w:sz w:val="32"/>
          <w:szCs w:val="32"/>
        </w:rPr>
        <w:t>2008</w:t>
      </w:r>
      <w:r>
        <w:rPr>
          <w:rFonts w:hint="eastAsia" w:ascii="方正仿宋简体" w:eastAsia="方正仿宋简体"/>
          <w:color w:val="auto"/>
          <w:sz w:val="32"/>
          <w:szCs w:val="32"/>
        </w:rPr>
        <w:t>〕</w:t>
      </w:r>
      <w:r>
        <w:rPr>
          <w:rFonts w:ascii="方正仿宋简体" w:eastAsia="方正仿宋简体"/>
          <w:color w:val="auto"/>
          <w:sz w:val="32"/>
          <w:szCs w:val="32"/>
        </w:rPr>
        <w:t>7</w:t>
      </w:r>
      <w:r>
        <w:rPr>
          <w:rFonts w:hint="eastAsia" w:ascii="方正仿宋简体" w:eastAsia="方正仿宋简体"/>
          <w:color w:val="auto"/>
          <w:sz w:val="32"/>
          <w:szCs w:val="32"/>
        </w:rPr>
        <w:t>号）规定的职责。</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楷体简体" w:eastAsia="方正楷体简体"/>
          <w:color w:val="auto"/>
          <w:sz w:val="32"/>
          <w:szCs w:val="32"/>
        </w:rPr>
      </w:pPr>
      <w:r>
        <w:rPr>
          <w:rFonts w:hint="eastAsia" w:ascii="方正楷体简体" w:eastAsia="方正楷体简体"/>
          <w:color w:val="auto"/>
          <w:sz w:val="32"/>
          <w:szCs w:val="32"/>
        </w:rPr>
        <w:t>（四）公共服务办公室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u w:val="single"/>
        </w:rPr>
      </w:pPr>
      <w:r>
        <w:rPr>
          <w:rFonts w:hint="eastAsia" w:ascii="方正仿宋简体" w:eastAsia="方正仿宋简体"/>
          <w:color w:val="auto"/>
          <w:sz w:val="32"/>
          <w:szCs w:val="32"/>
        </w:rPr>
        <w:t>负责统筹推进社区管理工作，指导、推进社区自治和社区服务工作；负责拟定本辖区社区建设发展计划并组织实施；负责培育、孵化、发展、监管社会组织；负责辖区内人力资源管理、社会保障、民政、社会救助、残联、退役军人服务、教育、科技、文化、旅游、体育、卫生健康、医疗保障等工作；指导辖区政务服务工作，负责一体化政务服务平台建设和管理等职责。</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楷体简体" w:eastAsia="方正楷体简体"/>
          <w:color w:val="auto"/>
          <w:sz w:val="32"/>
          <w:szCs w:val="32"/>
        </w:rPr>
      </w:pPr>
      <w:r>
        <w:rPr>
          <w:rFonts w:hint="eastAsia" w:ascii="方正楷体简体" w:eastAsia="方正楷体简体"/>
          <w:color w:val="auto"/>
          <w:sz w:val="32"/>
          <w:szCs w:val="32"/>
        </w:rPr>
        <w:t>（五）发展保障办公室（财政所、农业农村工作办公室）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bCs/>
          <w:color w:val="auto"/>
          <w:kern w:val="0"/>
          <w:sz w:val="32"/>
          <w:szCs w:val="32"/>
        </w:rPr>
      </w:pPr>
      <w:r>
        <w:rPr>
          <w:rFonts w:hint="eastAsia" w:ascii="方正仿宋简体" w:eastAsia="方正仿宋简体"/>
          <w:color w:val="auto"/>
          <w:sz w:val="32"/>
          <w:szCs w:val="32"/>
        </w:rPr>
        <w:t>负责制定和执行辖区内经济和社会发展计划；</w:t>
      </w:r>
      <w:r>
        <w:rPr>
          <w:rFonts w:hint="eastAsia" w:ascii="方正仿宋简体" w:eastAsia="方正仿宋简体"/>
          <w:bCs/>
          <w:color w:val="auto"/>
          <w:kern w:val="0"/>
          <w:sz w:val="32"/>
          <w:szCs w:val="32"/>
        </w:rPr>
        <w:t>协助做好辖区内重点的经济建设和公共设施项目相关工作；协助相关部门做好征地拆迁安置工作，促进重点项目建设；</w:t>
      </w:r>
      <w:r>
        <w:rPr>
          <w:rFonts w:hint="eastAsia" w:ascii="方正仿宋简体" w:eastAsia="方正仿宋简体"/>
          <w:color w:val="auto"/>
          <w:sz w:val="32"/>
          <w:szCs w:val="32"/>
        </w:rPr>
        <w:t>优化辖区投资环境，保护各种经济组织的合法权益；协调相关部门为企业提供公共服务平台和政策、法律服务；</w:t>
      </w:r>
      <w:r>
        <w:rPr>
          <w:rFonts w:hint="eastAsia" w:ascii="方正仿宋简体" w:eastAsia="方正仿宋简体"/>
          <w:bCs/>
          <w:color w:val="auto"/>
          <w:kern w:val="0"/>
          <w:sz w:val="32"/>
          <w:szCs w:val="32"/>
        </w:rPr>
        <w:t>组织实施辖区相关专业统计调查及各种普查和专项调查工作；协助有关部门推动街区建设。</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贯彻执行各项财经法律、法规和制度；负责编报本级年度财政收支预（决）算并组织预算执行；负责各项强农惠民资金的审核发放和项目建设资金监督管理；指导本级行政事业单位财务管理；负责本级国有资产、债权债务；接受委托代管社区（村）财务、债权债务和集体资产；负责本级财政信息公开。</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color w:val="auto"/>
          <w:sz w:val="32"/>
          <w:szCs w:val="32"/>
        </w:rPr>
      </w:pPr>
      <w:r>
        <w:rPr>
          <w:rFonts w:hint="eastAsia" w:ascii="方正仿宋简体" w:eastAsia="方正仿宋简体"/>
          <w:color w:val="auto"/>
          <w:sz w:val="32"/>
          <w:szCs w:val="32"/>
        </w:rPr>
        <w:t>负责实施农村和农业发展规划、农村集体产权制度改革、扶贫开发、水利建设和服务等工作；做好农村和农业生产工作，健全农业社会化服务体系，做好农业技术指导工作；负责推动乡村振兴。</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楷体简体" w:eastAsia="方正楷体简体"/>
          <w:color w:val="auto"/>
          <w:sz w:val="32"/>
          <w:szCs w:val="32"/>
        </w:rPr>
      </w:pPr>
      <w:r>
        <w:rPr>
          <w:rFonts w:hint="eastAsia" w:ascii="方正楷体简体" w:eastAsia="方正楷体简体"/>
          <w:color w:val="auto"/>
          <w:sz w:val="32"/>
          <w:szCs w:val="32"/>
        </w:rPr>
        <w:t>（六）综合执法协调办公室（物业管理办公室）</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rPr>
      </w:pPr>
      <w:r>
        <w:rPr>
          <w:rFonts w:hint="eastAsia" w:ascii="方正仿宋简体" w:eastAsia="方正仿宋简体"/>
          <w:bCs/>
          <w:color w:val="auto"/>
          <w:kern w:val="0"/>
          <w:sz w:val="32"/>
          <w:szCs w:val="32"/>
        </w:rPr>
        <w:t>负责统筹、协调职能部门执法力量，做好城市管理、市</w:t>
      </w:r>
      <w:r>
        <w:rPr>
          <w:rFonts w:hint="eastAsia" w:ascii="方正仿宋简体" w:hAnsi="方正仿宋简体" w:eastAsia="方正仿宋简体" w:cs="方正仿宋简体"/>
          <w:bCs/>
          <w:color w:val="auto"/>
          <w:kern w:val="0"/>
          <w:sz w:val="32"/>
          <w:szCs w:val="32"/>
        </w:rPr>
        <w:t>场监管、安全生产、环境保护等执法工作；统筹研究和协调解决基层执法监管中的重点难点问题；</w:t>
      </w:r>
      <w:r>
        <w:rPr>
          <w:rFonts w:hint="eastAsia" w:ascii="方正仿宋简体" w:hAnsi="方正仿宋简体" w:eastAsia="方正仿宋简体" w:cs="方正仿宋简体"/>
          <w:color w:val="auto"/>
          <w:kern w:val="0"/>
          <w:sz w:val="32"/>
          <w:szCs w:val="32"/>
        </w:rPr>
        <w:t>负责环境卫生、环境综合整治和环境保护工作。</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组织、指导、协调辖区业主大会的设立和业主委员会换</w:t>
      </w:r>
      <w:r>
        <w:rPr>
          <w:rFonts w:hint="eastAsia" w:ascii="方正仿宋简体" w:eastAsia="方正仿宋简体"/>
          <w:bCs/>
          <w:color w:val="auto"/>
          <w:kern w:val="0"/>
          <w:sz w:val="32"/>
          <w:szCs w:val="32"/>
        </w:rPr>
        <w:t>届等工作；督促业主大会和业主委员会依法履行职责</w:t>
      </w:r>
      <w:r>
        <w:rPr>
          <w:rFonts w:hint="eastAsia" w:ascii="方正仿宋简体" w:eastAsia="方正仿宋简体"/>
          <w:bCs/>
          <w:color w:val="auto"/>
          <w:kern w:val="0"/>
          <w:sz w:val="32"/>
          <w:szCs w:val="32"/>
          <w:lang w:eastAsia="zh-CN"/>
        </w:rPr>
        <w:t>；</w:t>
      </w:r>
      <w:r>
        <w:rPr>
          <w:rFonts w:hint="eastAsia" w:ascii="方正仿宋简体" w:eastAsia="方正仿宋简体"/>
          <w:bCs/>
          <w:color w:val="auto"/>
          <w:kern w:val="0"/>
          <w:sz w:val="32"/>
          <w:szCs w:val="32"/>
        </w:rPr>
        <w:t>协调社区建设与物业管理的关系；建立物业投诉处理机制，调解处理物业管理纠纷；协调解决物业服务企业退出和交接过程中出现的问题；组织召开物业管理联席会议，协商解决物业管理中的问题。</w:t>
      </w:r>
    </w:p>
    <w:p>
      <w:pPr>
        <w:pageBreakBefore w:val="0"/>
        <w:kinsoku/>
        <w:wordWrap/>
        <w:overflowPunct w:val="0"/>
        <w:topLinePunct w:val="0"/>
        <w:autoSpaceDE w:val="0"/>
        <w:autoSpaceDN w:val="0"/>
        <w:bidi w:val="0"/>
        <w:spacing w:line="576" w:lineRule="exact"/>
        <w:ind w:firstLine="640" w:firstLineChars="200"/>
        <w:textAlignment w:val="auto"/>
        <w:rPr>
          <w:rFonts w:hint="eastAsia" w:ascii="方正仿宋简体" w:eastAsia="方正仿宋简体"/>
          <w:bCs/>
          <w:color w:val="auto"/>
          <w:kern w:val="0"/>
          <w:sz w:val="32"/>
          <w:szCs w:val="32"/>
          <w:lang w:eastAsia="zh-CN"/>
        </w:rPr>
      </w:pPr>
      <w:r>
        <w:rPr>
          <w:rFonts w:hint="eastAsia" w:ascii="方正仿宋简体" w:eastAsia="方正仿宋简体"/>
          <w:bCs/>
          <w:color w:val="auto"/>
          <w:kern w:val="0"/>
          <w:sz w:val="32"/>
          <w:szCs w:val="32"/>
        </w:rPr>
        <w:t>内设机构规格为股级，各设主任1名。</w:t>
      </w:r>
      <w:r>
        <w:rPr>
          <w:rFonts w:hint="eastAsia" w:ascii="方正仿宋简体" w:eastAsia="方正仿宋简体"/>
          <w:bCs/>
          <w:color w:val="auto"/>
          <w:kern w:val="0"/>
          <w:sz w:val="32"/>
          <w:szCs w:val="32"/>
          <w:lang w:eastAsia="zh-CN"/>
        </w:rPr>
        <w:t>下设三个中心。即</w:t>
      </w:r>
      <w:r>
        <w:rPr>
          <w:rFonts w:hint="eastAsia" w:ascii="仿宋" w:hAnsi="仿宋" w:eastAsia="仿宋" w:cs="仿宋"/>
          <w:color w:val="auto"/>
          <w:sz w:val="32"/>
          <w:szCs w:val="32"/>
          <w:lang w:val="en-US" w:eastAsia="zh-CN"/>
        </w:rPr>
        <w:t>党群服务中心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社区事务中心、农业服务中心，</w:t>
      </w:r>
      <w:r>
        <w:rPr>
          <w:rFonts w:hint="eastAsia" w:ascii="仿宋" w:hAnsi="仿宋" w:eastAsia="仿宋" w:cs="仿宋"/>
          <w:color w:val="auto"/>
          <w:sz w:val="32"/>
          <w:szCs w:val="32"/>
        </w:rPr>
        <w:t>设立司法所</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个区级部门延伸机构。</w:t>
      </w:r>
    </w:p>
    <w:p>
      <w:pPr>
        <w:pStyle w:val="7"/>
        <w:pageBreakBefore w:val="0"/>
        <w:kinsoku/>
        <w:wordWrap/>
        <w:topLinePunct w:val="0"/>
        <w:bidi w:val="0"/>
        <w:adjustRightInd w:val="0"/>
        <w:snapToGrid w:val="0"/>
        <w:spacing w:beforeLines="0" w:line="576"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河西街道无</w:t>
      </w:r>
      <w:r>
        <w:rPr>
          <w:rFonts w:hint="eastAsia" w:ascii="仿宋" w:hAnsi="仿宋" w:eastAsia="仿宋"/>
          <w:color w:val="auto"/>
          <w:sz w:val="32"/>
          <w:szCs w:val="32"/>
        </w:rPr>
        <w:t>二级预算单位</w:t>
      </w:r>
      <w:r>
        <w:rPr>
          <w:rFonts w:hint="eastAsia" w:ascii="仿宋" w:hAnsi="仿宋" w:eastAsia="仿宋"/>
          <w:color w:val="auto"/>
          <w:sz w:val="32"/>
          <w:szCs w:val="32"/>
          <w:lang w:eastAsia="zh-CN"/>
        </w:rPr>
        <w:t>。</w:t>
      </w:r>
    </w:p>
    <w:p>
      <w:pPr>
        <w:pageBreakBefore w:val="0"/>
        <w:widowControl/>
        <w:kinsoku/>
        <w:wordWrap/>
        <w:topLinePunct w:val="0"/>
        <w:bidi w:val="0"/>
        <w:spacing w:line="576" w:lineRule="exact"/>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pPr>
        <w:pStyle w:val="4"/>
        <w:ind w:right="440"/>
        <w:jc w:val="right"/>
        <w:rPr>
          <w:rStyle w:val="27"/>
          <w:rFonts w:hint="eastAsia" w:ascii="方正小标宋简体" w:hAnsi="方正小标宋简体" w:eastAsia="方正小标宋简体" w:cs="方正小标宋简体"/>
          <w:b w:val="0"/>
          <w:bCs w:val="0"/>
          <w:color w:val="auto"/>
        </w:rPr>
      </w:pPr>
      <w:bookmarkStart w:id="22" w:name="_Toc15377204"/>
      <w:bookmarkStart w:id="23" w:name="_Toc15396602"/>
      <w:r>
        <w:rPr>
          <w:rFonts w:hint="eastAsia" w:ascii="方正小标宋简体" w:hAnsi="方正小标宋简体" w:eastAsia="方正小标宋简体" w:cs="方正小标宋简体"/>
          <w:b w:val="0"/>
          <w:color w:val="auto"/>
        </w:rPr>
        <w:t>第二部分</w:t>
      </w:r>
      <w:r>
        <w:rPr>
          <w:rFonts w:hint="eastAsia" w:ascii="方正小标宋简体" w:hAnsi="方正小标宋简体" w:eastAsia="方正小标宋简体" w:cs="方正小标宋简体"/>
          <w:color w:val="auto"/>
        </w:rPr>
        <w:t xml:space="preserve"> </w:t>
      </w:r>
      <w:r>
        <w:rPr>
          <w:rStyle w:val="27"/>
          <w:rFonts w:hint="eastAsia" w:ascii="方正小标宋简体" w:hAnsi="方正小标宋简体" w:eastAsia="方正小标宋简体" w:cs="方正小标宋简体"/>
          <w:b w:val="0"/>
          <w:bCs w:val="0"/>
          <w:color w:val="auto"/>
        </w:rPr>
        <w:t>20</w:t>
      </w:r>
      <w:r>
        <w:rPr>
          <w:rStyle w:val="27"/>
          <w:rFonts w:hint="eastAsia" w:ascii="方正小标宋简体" w:hAnsi="方正小标宋简体" w:eastAsia="方正小标宋简体" w:cs="方正小标宋简体"/>
          <w:b w:val="0"/>
          <w:bCs w:val="0"/>
          <w:color w:val="auto"/>
          <w:lang w:val="en-US" w:eastAsia="zh-CN"/>
        </w:rPr>
        <w:t>20</w:t>
      </w:r>
      <w:r>
        <w:rPr>
          <w:rStyle w:val="27"/>
          <w:rFonts w:hint="eastAsia" w:ascii="方正小标宋简体" w:hAnsi="方正小标宋简体" w:eastAsia="方正小标宋简体" w:cs="方正小标宋简体"/>
          <w:b w:val="0"/>
          <w:bCs w:val="0"/>
          <w:color w:val="auto"/>
        </w:rPr>
        <w:t>年度部门决算情况说明</w:t>
      </w:r>
      <w:bookmarkEnd w:id="22"/>
      <w:bookmarkEnd w:id="23"/>
    </w:p>
    <w:p>
      <w:pPr>
        <w:rPr>
          <w:color w:val="auto"/>
        </w:rPr>
      </w:pPr>
    </w:p>
    <w:p>
      <w:pPr>
        <w:pStyle w:val="26"/>
        <w:numPr>
          <w:ilvl w:val="0"/>
          <w:numId w:val="1"/>
        </w:numPr>
        <w:spacing w:line="600" w:lineRule="exact"/>
        <w:ind w:firstLineChars="0"/>
        <w:outlineLvl w:val="1"/>
        <w:rPr>
          <w:rStyle w:val="28"/>
          <w:rFonts w:ascii="黑体" w:hAnsi="黑体" w:eastAsia="黑体"/>
          <w:b w:val="0"/>
          <w:color w:val="auto"/>
        </w:rPr>
      </w:pPr>
      <w:bookmarkStart w:id="24" w:name="_Toc15396603"/>
      <w:bookmarkStart w:id="25" w:name="_Toc15377205"/>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24"/>
      <w:bookmarkEnd w:id="25"/>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2019年收入</w:t>
      </w:r>
      <w:r>
        <w:rPr>
          <w:rFonts w:hint="eastAsia" w:ascii="方正仿宋简体" w:hAnsi="方正仿宋简体" w:eastAsia="方正仿宋简体" w:cs="方正仿宋简体"/>
          <w:color w:val="auto"/>
          <w:sz w:val="32"/>
          <w:szCs w:val="32"/>
          <w:lang w:val="en-US" w:eastAsia="zh-CN"/>
        </w:rPr>
        <w:t>975.09</w:t>
      </w:r>
      <w:r>
        <w:rPr>
          <w:rFonts w:hint="eastAsia" w:ascii="方正仿宋简体" w:hAnsi="方正仿宋简体" w:eastAsia="方正仿宋简体" w:cs="方正仿宋简体"/>
          <w:color w:val="auto"/>
          <w:sz w:val="32"/>
          <w:szCs w:val="32"/>
        </w:rPr>
        <w:t>万元，2020年收入</w:t>
      </w:r>
      <w:r>
        <w:rPr>
          <w:rFonts w:hint="eastAsia" w:ascii="方正仿宋简体" w:hAnsi="方正仿宋简体" w:eastAsia="方正仿宋简体" w:cs="方正仿宋简体"/>
          <w:color w:val="auto"/>
          <w:sz w:val="32"/>
          <w:szCs w:val="32"/>
          <w:lang w:val="en-US" w:eastAsia="zh-CN"/>
        </w:rPr>
        <w:t>1932.04</w:t>
      </w:r>
      <w:r>
        <w:rPr>
          <w:rFonts w:hint="eastAsia" w:ascii="方正仿宋简体" w:hAnsi="方正仿宋简体" w:eastAsia="方正仿宋简体" w:cs="方正仿宋简体"/>
          <w:color w:val="auto"/>
          <w:sz w:val="32"/>
          <w:szCs w:val="32"/>
        </w:rPr>
        <w:t>万元，与去年相比增加了</w:t>
      </w:r>
      <w:r>
        <w:rPr>
          <w:rFonts w:hint="eastAsia" w:ascii="方正仿宋简体" w:hAnsi="方正仿宋简体" w:eastAsia="方正仿宋简体" w:cs="方正仿宋简体"/>
          <w:color w:val="auto"/>
          <w:sz w:val="32"/>
          <w:szCs w:val="32"/>
          <w:lang w:val="en-US" w:eastAsia="zh-CN"/>
        </w:rPr>
        <w:t>98.14</w:t>
      </w:r>
      <w:r>
        <w:rPr>
          <w:rFonts w:hint="eastAsia" w:ascii="方正仿宋简体" w:hAnsi="方正仿宋简体" w:eastAsia="方正仿宋简体" w:cs="方正仿宋简体"/>
          <w:color w:val="auto"/>
          <w:sz w:val="32"/>
          <w:szCs w:val="32"/>
        </w:rPr>
        <w:t>%，2019年预算支出</w:t>
      </w:r>
      <w:r>
        <w:rPr>
          <w:rFonts w:hint="eastAsia" w:ascii="方正仿宋简体" w:hAnsi="方正仿宋简体" w:eastAsia="方正仿宋简体" w:cs="方正仿宋简体"/>
          <w:color w:val="auto"/>
          <w:sz w:val="32"/>
          <w:szCs w:val="32"/>
          <w:lang w:val="en-US" w:eastAsia="zh-CN"/>
        </w:rPr>
        <w:t>975.09</w:t>
      </w:r>
      <w:r>
        <w:rPr>
          <w:rFonts w:hint="eastAsia" w:ascii="方正仿宋简体" w:hAnsi="方正仿宋简体" w:eastAsia="方正仿宋简体" w:cs="方正仿宋简体"/>
          <w:color w:val="auto"/>
          <w:sz w:val="32"/>
          <w:szCs w:val="32"/>
        </w:rPr>
        <w:t>万元，2020年预算支出情况</w:t>
      </w:r>
      <w:r>
        <w:rPr>
          <w:rFonts w:hint="eastAsia" w:ascii="方正仿宋简体" w:hAnsi="方正仿宋简体" w:eastAsia="方正仿宋简体" w:cs="方正仿宋简体"/>
          <w:color w:val="auto"/>
          <w:sz w:val="32"/>
          <w:szCs w:val="32"/>
          <w:lang w:val="en-US" w:eastAsia="zh-CN"/>
        </w:rPr>
        <w:t>2072.54</w:t>
      </w:r>
      <w:r>
        <w:rPr>
          <w:rFonts w:hint="eastAsia" w:ascii="方正仿宋简体" w:hAnsi="方正仿宋简体" w:eastAsia="方正仿宋简体" w:cs="方正仿宋简体"/>
          <w:color w:val="auto"/>
          <w:sz w:val="32"/>
          <w:szCs w:val="32"/>
        </w:rPr>
        <w:t>万元，与去年相比增加了</w:t>
      </w:r>
      <w:r>
        <w:rPr>
          <w:rFonts w:hint="eastAsia" w:ascii="方正仿宋简体" w:hAnsi="方正仿宋简体" w:eastAsia="方正仿宋简体" w:cs="方正仿宋简体"/>
          <w:color w:val="auto"/>
          <w:sz w:val="32"/>
          <w:szCs w:val="32"/>
          <w:lang w:val="en-US" w:eastAsia="zh-CN"/>
        </w:rPr>
        <w:t>112.55</w:t>
      </w:r>
      <w:r>
        <w:rPr>
          <w:rFonts w:hint="eastAsia" w:ascii="方正仿宋简体" w:hAnsi="方正仿宋简体" w:eastAsia="方正仿宋简体" w:cs="方正仿宋简体"/>
          <w:color w:val="auto"/>
          <w:sz w:val="32"/>
          <w:szCs w:val="32"/>
        </w:rPr>
        <w:t>%，增加的原因：2020年河西、杨家岩、回龙河三单位行政区划改革，三单位合并为一个。</w:t>
      </w:r>
    </w:p>
    <w:p>
      <w:pPr>
        <w:pStyle w:val="2"/>
        <w:rPr>
          <w:rFonts w:hint="eastAsia"/>
          <w:color w:val="auto"/>
        </w:rPr>
      </w:pPr>
      <w:r>
        <w:rPr>
          <w:color w:val="auto"/>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11430</wp:posOffset>
            </wp:positionV>
            <wp:extent cx="4886325" cy="2733675"/>
            <wp:effectExtent l="0" t="0" r="0" b="952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4886325" cy="2733675"/>
                    </a:xfrm>
                    <a:prstGeom prst="rect">
                      <a:avLst/>
                    </a:prstGeom>
                    <a:noFill/>
                    <a:ln>
                      <a:noFill/>
                    </a:ln>
                  </pic:spPr>
                </pic:pic>
              </a:graphicData>
            </a:graphic>
          </wp:anchor>
        </w:drawing>
      </w:r>
    </w:p>
    <w:p>
      <w:pPr>
        <w:pStyle w:val="2"/>
        <w:rPr>
          <w:rFonts w:hint="eastAsia"/>
          <w:color w:val="auto"/>
        </w:rPr>
      </w:pPr>
    </w:p>
    <w:p>
      <w:pPr>
        <w:pStyle w:val="2"/>
        <w:rPr>
          <w:rFonts w:hint="eastAsia"/>
          <w:color w:val="auto"/>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spacing w:line="600" w:lineRule="exact"/>
        <w:ind w:firstLine="640" w:firstLineChars="200"/>
        <w:rPr>
          <w:rFonts w:hint="eastAsia"/>
          <w:color w:val="auto"/>
        </w:rPr>
      </w:pPr>
      <w:r>
        <w:rPr>
          <w:rFonts w:hint="eastAsia" w:ascii="仿宋" w:hAnsi="仿宋" w:eastAsia="仿宋"/>
          <w:color w:val="auto"/>
          <w:sz w:val="32"/>
          <w:szCs w:val="32"/>
        </w:rPr>
        <w:t>（图</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：收</w:t>
      </w:r>
      <w:r>
        <w:rPr>
          <w:rFonts w:hint="eastAsia" w:ascii="仿宋" w:hAnsi="仿宋" w:eastAsia="仿宋"/>
          <w:color w:val="auto"/>
          <w:sz w:val="32"/>
          <w:szCs w:val="32"/>
          <w:lang w:eastAsia="zh-CN"/>
        </w:rPr>
        <w:t>、支决算总计变动情况图</w:t>
      </w:r>
      <w:r>
        <w:rPr>
          <w:rFonts w:hint="eastAsia" w:ascii="仿宋" w:hAnsi="仿宋" w:eastAsia="仿宋"/>
          <w:color w:val="auto"/>
          <w:sz w:val="32"/>
          <w:szCs w:val="32"/>
        </w:rPr>
        <w:t>）（</w:t>
      </w:r>
      <w:r>
        <w:rPr>
          <w:rFonts w:hint="eastAsia" w:ascii="仿宋" w:hAnsi="仿宋" w:eastAsia="仿宋"/>
          <w:color w:val="auto"/>
          <w:sz w:val="32"/>
          <w:szCs w:val="32"/>
          <w:lang w:eastAsia="zh-CN"/>
        </w:rPr>
        <w:t>柱状图</w:t>
      </w:r>
      <w:r>
        <w:rPr>
          <w:rFonts w:hint="eastAsia" w:ascii="仿宋" w:hAnsi="仿宋" w:eastAsia="仿宋"/>
          <w:color w:val="auto"/>
          <w:sz w:val="32"/>
          <w:szCs w:val="32"/>
        </w:rPr>
        <w:t>）</w:t>
      </w:r>
    </w:p>
    <w:p>
      <w:pPr>
        <w:pStyle w:val="26"/>
        <w:numPr>
          <w:ilvl w:val="0"/>
          <w:numId w:val="1"/>
        </w:numPr>
        <w:spacing w:line="600" w:lineRule="exact"/>
        <w:ind w:firstLineChars="0"/>
        <w:outlineLvl w:val="1"/>
        <w:rPr>
          <w:rStyle w:val="28"/>
          <w:rFonts w:ascii="黑体" w:hAnsi="黑体" w:eastAsia="黑体"/>
          <w:b w:val="0"/>
          <w:color w:val="auto"/>
        </w:rPr>
      </w:pPr>
      <w:bookmarkStart w:id="26" w:name="_Toc15377206"/>
      <w:bookmarkStart w:id="27" w:name="_Toc15396604"/>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6"/>
      <w:bookmarkEnd w:id="27"/>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河西街道2020年一般公共预算财政拨款</w:t>
      </w:r>
      <w:r>
        <w:rPr>
          <w:rFonts w:hint="eastAsia" w:ascii="方正仿宋简体" w:hAnsi="方正仿宋简体" w:eastAsia="方正仿宋简体" w:cs="方正仿宋简体"/>
          <w:color w:val="auto"/>
          <w:sz w:val="32"/>
          <w:szCs w:val="32"/>
          <w:lang w:eastAsia="zh-CN"/>
        </w:rPr>
        <w:t>收入</w:t>
      </w:r>
      <w:r>
        <w:rPr>
          <w:rFonts w:hint="eastAsia" w:ascii="方正仿宋简体" w:hAnsi="方正仿宋简体" w:eastAsia="方正仿宋简体" w:cs="方正仿宋简体"/>
          <w:color w:val="auto"/>
          <w:sz w:val="32"/>
          <w:szCs w:val="32"/>
          <w:lang w:val="en-US" w:eastAsia="zh-CN"/>
        </w:rPr>
        <w:t>1932.04</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其中：一般公共预算财政拨款收入</w:t>
      </w:r>
      <w:r>
        <w:rPr>
          <w:rFonts w:hint="eastAsia" w:ascii="方正仿宋简体" w:hAnsi="方正仿宋简体" w:eastAsia="方正仿宋简体" w:cs="方正仿宋简体"/>
          <w:color w:val="auto"/>
          <w:sz w:val="32"/>
          <w:szCs w:val="32"/>
          <w:lang w:val="en-US" w:eastAsia="zh-CN"/>
        </w:rPr>
        <w:t>1832.04万元，占94.82%，政府性基金预算财政拨款收入100万元，占5.18%。</w:t>
      </w:r>
    </w:p>
    <w:p>
      <w:pPr>
        <w:pStyle w:val="2"/>
        <w:rPr>
          <w:rFonts w:hint="eastAsia" w:ascii="仿宋_GB2312" w:hAnsi="宋体" w:eastAsia="仿宋_GB2312" w:cs="宋体"/>
          <w:color w:val="auto"/>
          <w:kern w:val="0"/>
          <w:sz w:val="32"/>
          <w:szCs w:val="32"/>
          <w:lang w:val="en-US" w:eastAsia="zh-CN"/>
        </w:rPr>
      </w:pPr>
    </w:p>
    <w:p>
      <w:pPr>
        <w:pStyle w:val="2"/>
        <w:rPr>
          <w:rFonts w:hint="eastAsia" w:ascii="仿宋_GB2312" w:hAnsi="宋体" w:eastAsia="仿宋_GB2312" w:cs="宋体"/>
          <w:color w:val="auto"/>
          <w:kern w:val="0"/>
          <w:sz w:val="32"/>
          <w:szCs w:val="32"/>
          <w:lang w:val="en-US" w:eastAsia="zh-CN"/>
        </w:rPr>
      </w:pPr>
      <w:r>
        <w:rPr>
          <w:color w:val="auto"/>
        </w:rPr>
        <w:drawing>
          <wp:inline distT="0" distB="0" distL="114300" distR="114300">
            <wp:extent cx="4886325" cy="2781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886325" cy="2781300"/>
                    </a:xfrm>
                    <a:prstGeom prst="rect">
                      <a:avLst/>
                    </a:prstGeom>
                    <a:noFill/>
                    <a:ln>
                      <a:noFill/>
                    </a:ln>
                  </pic:spPr>
                </pic:pic>
              </a:graphicData>
            </a:graphic>
          </wp:inline>
        </w:drawing>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color w:val="auto"/>
        </w:rPr>
      </w:pPr>
      <w:bookmarkStart w:id="28" w:name="_Toc15396605"/>
      <w:bookmarkStart w:id="29" w:name="_Toc15377207"/>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2020年本年支出合计2072.5439万元，其中：一般公共预算基本支出1616.1028万元，占77.98%；一般公共预算项目支出356.4411万元，占17.2%，政府基金预算支出100万元，占4.82%。</w:t>
      </w:r>
    </w:p>
    <w:p>
      <w:pPr>
        <w:pStyle w:val="2"/>
        <w:rPr>
          <w:rFonts w:hint="eastAsia" w:ascii="仿宋" w:hAnsi="仿宋" w:eastAsia="仿宋"/>
          <w:color w:val="auto"/>
          <w:sz w:val="32"/>
          <w:szCs w:val="32"/>
        </w:rPr>
      </w:pPr>
      <w:r>
        <w:rPr>
          <w:color w:val="auto"/>
        </w:rPr>
        <w:drawing>
          <wp:anchor distT="0" distB="0" distL="114300" distR="114300" simplePos="0" relativeHeight="251660288" behindDoc="1" locked="0" layoutInCell="1" allowOverlap="1">
            <wp:simplePos x="0" y="0"/>
            <wp:positionH relativeFrom="column">
              <wp:posOffset>76200</wp:posOffset>
            </wp:positionH>
            <wp:positionV relativeFrom="paragraph">
              <wp:posOffset>77470</wp:posOffset>
            </wp:positionV>
            <wp:extent cx="4886325" cy="2914650"/>
            <wp:effectExtent l="0" t="0" r="0" b="0"/>
            <wp:wrapTight wrapText="bothSides">
              <wp:wrapPolygon>
                <wp:start x="84" y="282"/>
                <wp:lineTo x="0" y="21318"/>
                <wp:lineTo x="21474" y="21318"/>
                <wp:lineTo x="21474" y="282"/>
                <wp:lineTo x="84" y="282"/>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4886325" cy="2914650"/>
                    </a:xfrm>
                    <a:prstGeom prst="rect">
                      <a:avLst/>
                    </a:prstGeom>
                    <a:noFill/>
                    <a:ln>
                      <a:noFill/>
                    </a:ln>
                  </pic:spPr>
                </pic:pic>
              </a:graphicData>
            </a:graphic>
          </wp:anchor>
        </w:drawing>
      </w: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（图3：支出决算结构图）（饼状图）</w:t>
      </w:r>
    </w:p>
    <w:p>
      <w:pPr>
        <w:spacing w:line="600" w:lineRule="exact"/>
        <w:ind w:firstLine="640" w:firstLineChars="200"/>
        <w:outlineLvl w:val="1"/>
        <w:rPr>
          <w:rStyle w:val="28"/>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2020年本年收入合计</w:t>
      </w:r>
      <w:r>
        <w:rPr>
          <w:rFonts w:hint="eastAsia" w:ascii="方正仿宋简体" w:hAnsi="方正仿宋简体" w:eastAsia="方正仿宋简体" w:cs="方正仿宋简体"/>
          <w:color w:val="auto"/>
          <w:sz w:val="32"/>
          <w:szCs w:val="32"/>
          <w:lang w:val="en-US" w:eastAsia="zh-CN"/>
        </w:rPr>
        <w:t>1932.04</w:t>
      </w:r>
      <w:r>
        <w:rPr>
          <w:rFonts w:hint="eastAsia" w:ascii="方正仿宋简体" w:hAnsi="方正仿宋简体" w:eastAsia="方正仿宋简体" w:cs="方正仿宋简体"/>
          <w:color w:val="auto"/>
          <w:sz w:val="32"/>
          <w:szCs w:val="32"/>
        </w:rPr>
        <w:t>万元，其中：一般公共预算财政拨款收入1832.0449万元，占</w:t>
      </w:r>
      <w:r>
        <w:rPr>
          <w:rFonts w:hint="eastAsia" w:ascii="方正仿宋简体" w:hAnsi="方正仿宋简体" w:eastAsia="方正仿宋简体" w:cs="方正仿宋简体"/>
          <w:color w:val="auto"/>
          <w:sz w:val="32"/>
          <w:szCs w:val="32"/>
          <w:lang w:val="en-US" w:eastAsia="zh-CN"/>
        </w:rPr>
        <w:t>94.82</w:t>
      </w:r>
      <w:r>
        <w:rPr>
          <w:rFonts w:hint="eastAsia" w:ascii="方正仿宋简体" w:hAnsi="方正仿宋简体" w:eastAsia="方正仿宋简体" w:cs="方正仿宋简体"/>
          <w:color w:val="auto"/>
          <w:sz w:val="32"/>
          <w:szCs w:val="32"/>
        </w:rPr>
        <w:t>%，政府基金预算拨款收入100万元，占</w:t>
      </w:r>
      <w:r>
        <w:rPr>
          <w:rFonts w:hint="eastAsia" w:ascii="方正仿宋简体" w:hAnsi="方正仿宋简体" w:eastAsia="方正仿宋简体" w:cs="方正仿宋简体"/>
          <w:color w:val="auto"/>
          <w:sz w:val="32"/>
          <w:szCs w:val="32"/>
          <w:lang w:val="en-US" w:eastAsia="zh-CN"/>
        </w:rPr>
        <w:t>5.18</w:t>
      </w:r>
      <w:r>
        <w:rPr>
          <w:rFonts w:hint="eastAsia" w:ascii="方正仿宋简体" w:hAnsi="方正仿宋简体" w:eastAsia="方正仿宋简体" w:cs="方正仿宋简体"/>
          <w:color w:val="auto"/>
          <w:sz w:val="32"/>
          <w:szCs w:val="32"/>
        </w:rPr>
        <w:t>%。2019年本年决算收入975.0905万元，其中财政拨款975.0905万元。与2019年相比</w:t>
      </w:r>
      <w:r>
        <w:rPr>
          <w:rFonts w:hint="eastAsia" w:ascii="方正仿宋简体" w:hAnsi="方正仿宋简体" w:eastAsia="方正仿宋简体" w:cs="方正仿宋简体"/>
          <w:color w:val="auto"/>
          <w:sz w:val="32"/>
          <w:szCs w:val="32"/>
          <w:lang w:eastAsia="zh-CN"/>
        </w:rPr>
        <w:t>决算收入</w:t>
      </w:r>
      <w:r>
        <w:rPr>
          <w:rFonts w:hint="eastAsia" w:ascii="方正仿宋简体" w:hAnsi="方正仿宋简体" w:eastAsia="方正仿宋简体" w:cs="方正仿宋简体"/>
          <w:color w:val="auto"/>
          <w:sz w:val="32"/>
          <w:szCs w:val="32"/>
        </w:rPr>
        <w:t>增加了990.3899万元，增加了105.18%。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2020年本年支出合计2072.5439万元，其中：一般公共预算基本支出1616.1028万元，占77.98%；一般公共预算项目支出356.4411万元，占17.2%，政府基金预算支出100万元，占4.82%。2019年本年支出975.09万元，其中：基本支出871.59万元，项目支出103.50万元。</w:t>
      </w:r>
      <w:r>
        <w:rPr>
          <w:rFonts w:hint="eastAsia" w:ascii="方正仿宋简体" w:hAnsi="方正仿宋简体" w:eastAsia="方正仿宋简体" w:cs="方正仿宋简体"/>
          <w:color w:val="auto"/>
          <w:sz w:val="32"/>
          <w:szCs w:val="32"/>
          <w:lang w:eastAsia="zh-CN"/>
        </w:rPr>
        <w:t>与</w:t>
      </w:r>
      <w:r>
        <w:rPr>
          <w:rFonts w:hint="eastAsia" w:ascii="方正仿宋简体" w:hAnsi="方正仿宋简体" w:eastAsia="方正仿宋简体" w:cs="方正仿宋简体"/>
          <w:color w:val="auto"/>
          <w:sz w:val="32"/>
          <w:szCs w:val="32"/>
          <w:lang w:val="en-US" w:eastAsia="zh-CN"/>
        </w:rPr>
        <w:t>2019年相比支出增加了1097.4539万元，增长了112.55%，增加的主要原因：一是</w:t>
      </w:r>
      <w:r>
        <w:rPr>
          <w:rFonts w:hint="eastAsia" w:ascii="方正仿宋简体" w:hAnsi="方正仿宋简体" w:eastAsia="方正仿宋简体" w:cs="方正仿宋简体"/>
          <w:color w:val="auto"/>
          <w:sz w:val="32"/>
          <w:szCs w:val="32"/>
        </w:rPr>
        <w:t>2020年河西、杨家岩、回龙河三单位行政区划改革，三单位合并为一个。</w:t>
      </w:r>
      <w:r>
        <w:rPr>
          <w:rFonts w:hint="eastAsia" w:ascii="方正仿宋简体" w:hAnsi="方正仿宋简体" w:eastAsia="方正仿宋简体" w:cs="方正仿宋简体"/>
          <w:color w:val="auto"/>
          <w:sz w:val="32"/>
          <w:szCs w:val="32"/>
          <w:lang w:eastAsia="zh-CN"/>
        </w:rPr>
        <w:t>二是去年财政应返还额度大。</w:t>
      </w:r>
    </w:p>
    <w:p>
      <w:pPr>
        <w:widowControl/>
        <w:shd w:val="clear" w:color="auto" w:fill="FFFFFF"/>
        <w:spacing w:line="576" w:lineRule="exact"/>
        <w:ind w:firstLine="480"/>
        <w:jc w:val="left"/>
        <w:rPr>
          <w:rFonts w:hint="eastAsia" w:ascii="仿宋_GB2312" w:hAnsi="宋体" w:eastAsia="仿宋_GB2312" w:cs="宋体"/>
          <w:color w:val="auto"/>
          <w:kern w:val="0"/>
          <w:sz w:val="32"/>
          <w:szCs w:val="32"/>
        </w:rPr>
      </w:pPr>
      <w:r>
        <w:rPr>
          <w:color w:val="auto"/>
        </w:rPr>
        <w:drawing>
          <wp:anchor distT="0" distB="0" distL="114300" distR="114300" simplePos="0" relativeHeight="251661312" behindDoc="1" locked="0" layoutInCell="1" allowOverlap="1">
            <wp:simplePos x="0" y="0"/>
            <wp:positionH relativeFrom="column">
              <wp:posOffset>85725</wp:posOffset>
            </wp:positionH>
            <wp:positionV relativeFrom="paragraph">
              <wp:posOffset>209550</wp:posOffset>
            </wp:positionV>
            <wp:extent cx="4990465" cy="3019425"/>
            <wp:effectExtent l="0" t="0" r="0" b="0"/>
            <wp:wrapTight wrapText="bothSides">
              <wp:wrapPolygon>
                <wp:start x="165" y="409"/>
                <wp:lineTo x="165" y="21396"/>
                <wp:lineTo x="21273" y="21396"/>
                <wp:lineTo x="21273" y="409"/>
                <wp:lineTo x="165" y="409"/>
              </wp:wrapPolygon>
            </wp:wrapTight>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4"/>
                    <a:stretch>
                      <a:fillRect/>
                    </a:stretch>
                  </pic:blipFill>
                  <pic:spPr>
                    <a:xfrm>
                      <a:off x="0" y="0"/>
                      <a:ext cx="4990465" cy="301942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（图4：财政拨款收、支决算总计变动情况）（柱状图）</w:t>
      </w:r>
    </w:p>
    <w:p>
      <w:pPr>
        <w:spacing w:line="600" w:lineRule="exact"/>
        <w:ind w:firstLine="640" w:firstLineChars="200"/>
        <w:outlineLvl w:val="1"/>
        <w:rPr>
          <w:rStyle w:val="28"/>
          <w:rFonts w:ascii="黑体" w:hAnsi="黑体" w:eastAsia="黑体"/>
          <w:b w:val="0"/>
          <w:color w:val="auto"/>
        </w:rPr>
      </w:pPr>
      <w:bookmarkStart w:id="32" w:name="_Toc15377209"/>
      <w:bookmarkStart w:id="33"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河西街道2020年一般公共预算财政拨款支出1972.5439万元，</w:t>
      </w:r>
      <w:r>
        <w:rPr>
          <w:rFonts w:hint="eastAsia" w:ascii="方正仿宋简体" w:hAnsi="方正仿宋简体" w:eastAsia="方正仿宋简体" w:cs="方正仿宋简体"/>
          <w:color w:val="auto"/>
          <w:sz w:val="32"/>
          <w:szCs w:val="32"/>
          <w:lang w:eastAsia="zh-CN"/>
        </w:rPr>
        <w:t>基本支出</w:t>
      </w:r>
      <w:r>
        <w:rPr>
          <w:rFonts w:hint="eastAsia" w:ascii="方正仿宋简体" w:hAnsi="方正仿宋简体" w:eastAsia="方正仿宋简体" w:cs="方正仿宋简体"/>
          <w:color w:val="auto"/>
          <w:sz w:val="32"/>
          <w:szCs w:val="32"/>
          <w:lang w:val="en-US" w:eastAsia="zh-CN"/>
        </w:rPr>
        <w:t>1616.1万元，项目支出356.44万元，占</w:t>
      </w:r>
      <w:r>
        <w:rPr>
          <w:rFonts w:hint="eastAsia" w:ascii="方正仿宋简体" w:hAnsi="方正仿宋简体" w:eastAsia="方正仿宋简体" w:cs="方正仿宋简体"/>
          <w:color w:val="auto"/>
          <w:sz w:val="32"/>
          <w:szCs w:val="32"/>
        </w:rPr>
        <w:t>本年支出合计的</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，与</w:t>
      </w:r>
      <w:r>
        <w:rPr>
          <w:rFonts w:hint="eastAsia" w:ascii="方正仿宋简体" w:hAnsi="方正仿宋简体" w:eastAsia="方正仿宋简体" w:cs="方正仿宋简体"/>
          <w:color w:val="auto"/>
          <w:sz w:val="32"/>
          <w:szCs w:val="32"/>
        </w:rPr>
        <w:t>201</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975.09</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相比</w:t>
      </w:r>
      <w:r>
        <w:rPr>
          <w:rFonts w:hint="eastAsia" w:ascii="方正仿宋简体" w:hAnsi="方正仿宋简体" w:eastAsia="方正仿宋简体" w:cs="方正仿宋简体"/>
          <w:color w:val="auto"/>
          <w:sz w:val="32"/>
          <w:szCs w:val="32"/>
        </w:rPr>
        <w:t>增加了990.3899万元，增加了105.18%。主要变动原因</w:t>
      </w:r>
      <w:r>
        <w:rPr>
          <w:rFonts w:hint="eastAsia" w:ascii="方正仿宋简体" w:hAnsi="方正仿宋简体" w:eastAsia="方正仿宋简体" w:cs="方正仿宋简体"/>
          <w:color w:val="auto"/>
          <w:sz w:val="32"/>
          <w:szCs w:val="32"/>
          <w:lang w:eastAsia="zh-CN"/>
        </w:rPr>
        <w:t>一是行政区划改革调整，乡镇合并；二</w:t>
      </w:r>
      <w:r>
        <w:rPr>
          <w:rFonts w:hint="eastAsia" w:ascii="方正仿宋简体" w:hAnsi="方正仿宋简体" w:eastAsia="方正仿宋简体" w:cs="方正仿宋简体"/>
          <w:color w:val="auto"/>
          <w:sz w:val="32"/>
          <w:szCs w:val="32"/>
        </w:rPr>
        <w:t>是</w:t>
      </w:r>
      <w:r>
        <w:rPr>
          <w:rFonts w:hint="eastAsia" w:ascii="方正仿宋简体" w:hAnsi="方正仿宋简体" w:eastAsia="方正仿宋简体" w:cs="方正仿宋简体"/>
          <w:color w:val="auto"/>
          <w:sz w:val="32"/>
          <w:szCs w:val="32"/>
          <w:lang w:eastAsia="zh-CN"/>
        </w:rPr>
        <w:t>财政应返还额度多。</w:t>
      </w:r>
    </w:p>
    <w:p>
      <w:pPr>
        <w:pStyle w:val="2"/>
        <w:rPr>
          <w:color w:val="auto"/>
        </w:rPr>
      </w:pPr>
      <w:r>
        <w:rPr>
          <w:color w:val="auto"/>
        </w:rPr>
        <w:drawing>
          <wp:anchor distT="0" distB="0" distL="114300" distR="114300" simplePos="0" relativeHeight="251662336" behindDoc="1" locked="0" layoutInCell="1" allowOverlap="1">
            <wp:simplePos x="0" y="0"/>
            <wp:positionH relativeFrom="column">
              <wp:posOffset>266700</wp:posOffset>
            </wp:positionH>
            <wp:positionV relativeFrom="paragraph">
              <wp:posOffset>17780</wp:posOffset>
            </wp:positionV>
            <wp:extent cx="4629150" cy="2741930"/>
            <wp:effectExtent l="0" t="0" r="0" b="1270"/>
            <wp:wrapTight wrapText="bothSides">
              <wp:wrapPolygon>
                <wp:start x="178" y="300"/>
                <wp:lineTo x="178" y="21460"/>
                <wp:lineTo x="21244" y="21460"/>
                <wp:lineTo x="21244" y="300"/>
                <wp:lineTo x="178" y="300"/>
              </wp:wrapPolygon>
            </wp:wrapTight>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stretch>
                      <a:fillRect/>
                    </a:stretch>
                  </pic:blipFill>
                  <pic:spPr>
                    <a:xfrm>
                      <a:off x="0" y="0"/>
                      <a:ext cx="4629150" cy="2741930"/>
                    </a:xfrm>
                    <a:prstGeom prst="rect">
                      <a:avLst/>
                    </a:prstGeom>
                    <a:noFill/>
                    <a:ln>
                      <a:noFill/>
                    </a:ln>
                  </pic:spPr>
                </pic:pic>
              </a:graphicData>
            </a:graphic>
          </wp:anchor>
        </w:drawing>
      </w:r>
    </w:p>
    <w:p>
      <w:pPr>
        <w:spacing w:line="600" w:lineRule="exact"/>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河西街道2020年一般公共预算财政拨款支出</w:t>
      </w:r>
      <w:r>
        <w:rPr>
          <w:rFonts w:hint="eastAsia" w:ascii="方正仿宋简体" w:hAnsi="方正仿宋简体" w:eastAsia="方正仿宋简体" w:cs="方正仿宋简体"/>
          <w:color w:val="auto"/>
          <w:sz w:val="32"/>
          <w:szCs w:val="32"/>
          <w:lang w:val="en-US" w:eastAsia="zh-CN"/>
        </w:rPr>
        <w:t>1972.54</w:t>
      </w:r>
      <w:r>
        <w:rPr>
          <w:rFonts w:hint="eastAsia" w:ascii="方正仿宋简体" w:hAnsi="方正仿宋简体" w:eastAsia="方正仿宋简体" w:cs="方正仿宋简体"/>
          <w:color w:val="auto"/>
          <w:sz w:val="32"/>
          <w:szCs w:val="32"/>
        </w:rPr>
        <w:t>万元，主要用于以下方面</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一般公共服务支出</w:t>
      </w:r>
      <w:r>
        <w:rPr>
          <w:rFonts w:hint="eastAsia" w:ascii="方正仿宋简体" w:hAnsi="方正仿宋简体" w:eastAsia="方正仿宋简体" w:cs="方正仿宋简体"/>
          <w:color w:val="auto"/>
          <w:sz w:val="32"/>
          <w:szCs w:val="32"/>
          <w:lang w:val="en-US" w:eastAsia="zh-CN"/>
        </w:rPr>
        <w:t>880.36</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45.09</w:t>
      </w:r>
      <w:r>
        <w:rPr>
          <w:rFonts w:hint="eastAsia" w:ascii="方正仿宋简体" w:hAnsi="方正仿宋简体" w:eastAsia="方正仿宋简体" w:cs="方正仿宋简体"/>
          <w:color w:val="auto"/>
          <w:sz w:val="32"/>
          <w:szCs w:val="32"/>
        </w:rPr>
        <w:t>%；文化体育与传媒支出</w:t>
      </w:r>
      <w:r>
        <w:rPr>
          <w:rFonts w:hint="eastAsia" w:ascii="方正仿宋简体" w:hAnsi="方正仿宋简体" w:eastAsia="方正仿宋简体" w:cs="方正仿宋简体"/>
          <w:color w:val="auto"/>
          <w:sz w:val="32"/>
          <w:szCs w:val="32"/>
          <w:lang w:val="en-US" w:eastAsia="zh-CN"/>
        </w:rPr>
        <w:t>17.65</w:t>
      </w:r>
      <w:r>
        <w:rPr>
          <w:rFonts w:hint="eastAsia" w:ascii="方正仿宋简体" w:hAnsi="方正仿宋简体" w:eastAsia="方正仿宋简体" w:cs="方正仿宋简体"/>
          <w:color w:val="auto"/>
          <w:sz w:val="32"/>
          <w:szCs w:val="32"/>
        </w:rPr>
        <w:t>万元，占0.</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%；社会保障和就业支出</w:t>
      </w:r>
      <w:r>
        <w:rPr>
          <w:rFonts w:hint="eastAsia" w:ascii="方正仿宋简体" w:hAnsi="方正仿宋简体" w:eastAsia="方正仿宋简体" w:cs="方正仿宋简体"/>
          <w:color w:val="auto"/>
          <w:sz w:val="32"/>
          <w:szCs w:val="32"/>
          <w:lang w:val="en-US" w:eastAsia="zh-CN"/>
        </w:rPr>
        <w:t>241.81</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12.38</w:t>
      </w:r>
      <w:r>
        <w:rPr>
          <w:rFonts w:hint="eastAsia" w:ascii="方正仿宋简体" w:hAnsi="方正仿宋简体" w:eastAsia="方正仿宋简体" w:cs="方正仿宋简体"/>
          <w:color w:val="auto"/>
          <w:sz w:val="32"/>
          <w:szCs w:val="32"/>
        </w:rPr>
        <w:t>%；卫生健康支出</w:t>
      </w:r>
      <w:r>
        <w:rPr>
          <w:rFonts w:hint="eastAsia" w:ascii="方正仿宋简体" w:hAnsi="方正仿宋简体" w:eastAsia="方正仿宋简体" w:cs="方正仿宋简体"/>
          <w:color w:val="auto"/>
          <w:sz w:val="32"/>
          <w:szCs w:val="32"/>
          <w:lang w:val="en-US" w:eastAsia="zh-CN"/>
        </w:rPr>
        <w:t>98.06</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5.02</w:t>
      </w:r>
      <w:r>
        <w:rPr>
          <w:rFonts w:hint="eastAsia" w:ascii="方正仿宋简体" w:hAnsi="方正仿宋简体" w:eastAsia="方正仿宋简体" w:cs="方正仿宋简体"/>
          <w:color w:val="auto"/>
          <w:sz w:val="32"/>
          <w:szCs w:val="32"/>
        </w:rPr>
        <w:t>%；城乡社区支出</w:t>
      </w:r>
      <w:r>
        <w:rPr>
          <w:rFonts w:hint="eastAsia" w:ascii="方正仿宋简体" w:hAnsi="方正仿宋简体" w:eastAsia="方正仿宋简体" w:cs="方正仿宋简体"/>
          <w:color w:val="auto"/>
          <w:sz w:val="32"/>
          <w:szCs w:val="32"/>
          <w:lang w:val="en-US" w:eastAsia="zh-CN"/>
        </w:rPr>
        <w:t>114.51</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5.86</w:t>
      </w:r>
      <w:r>
        <w:rPr>
          <w:rFonts w:hint="eastAsia" w:ascii="方正仿宋简体" w:hAnsi="方正仿宋简体" w:eastAsia="方正仿宋简体" w:cs="方正仿宋简体"/>
          <w:color w:val="auto"/>
          <w:sz w:val="32"/>
          <w:szCs w:val="32"/>
        </w:rPr>
        <w:t>%；农林水支出</w:t>
      </w:r>
      <w:r>
        <w:rPr>
          <w:rFonts w:hint="eastAsia" w:ascii="方正仿宋简体" w:hAnsi="方正仿宋简体" w:eastAsia="方正仿宋简体" w:cs="方正仿宋简体"/>
          <w:color w:val="auto"/>
          <w:sz w:val="32"/>
          <w:szCs w:val="32"/>
          <w:lang w:val="en-US" w:eastAsia="zh-CN"/>
        </w:rPr>
        <w:t>529.54</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27.12</w:t>
      </w:r>
      <w:r>
        <w:rPr>
          <w:rFonts w:hint="eastAsia" w:ascii="方正仿宋简体" w:hAnsi="方正仿宋简体" w:eastAsia="方正仿宋简体" w:cs="方正仿宋简体"/>
          <w:color w:val="auto"/>
          <w:sz w:val="32"/>
          <w:szCs w:val="32"/>
        </w:rPr>
        <w:t>%；住房保障支出70.0763万元，占</w:t>
      </w:r>
      <w:r>
        <w:rPr>
          <w:rFonts w:hint="eastAsia" w:ascii="方正仿宋简体" w:hAnsi="方正仿宋简体" w:eastAsia="方正仿宋简体" w:cs="方正仿宋简体"/>
          <w:color w:val="auto"/>
          <w:sz w:val="32"/>
          <w:szCs w:val="32"/>
          <w:lang w:val="en-US" w:eastAsia="zh-CN"/>
        </w:rPr>
        <w:t>3.59</w:t>
      </w:r>
      <w:r>
        <w:rPr>
          <w:rFonts w:hint="eastAsia" w:ascii="方正仿宋简体" w:hAnsi="方正仿宋简体" w:eastAsia="方正仿宋简体" w:cs="方正仿宋简体"/>
          <w:color w:val="auto"/>
          <w:sz w:val="32"/>
          <w:szCs w:val="32"/>
        </w:rPr>
        <w:t>%，灾害防治和应急管理支出0.5431万元，占0.03%。</w:t>
      </w:r>
    </w:p>
    <w:p>
      <w:pPr>
        <w:pStyle w:val="2"/>
        <w:rPr>
          <w:rFonts w:hint="eastAsia" w:ascii="仿宋" w:hAnsi="仿宋" w:eastAsia="仿宋"/>
          <w:color w:val="auto"/>
          <w:sz w:val="32"/>
          <w:szCs w:val="32"/>
        </w:rPr>
      </w:pPr>
      <w:r>
        <w:rPr>
          <w:color w:val="auto"/>
        </w:rPr>
        <w:drawing>
          <wp:inline distT="0" distB="0" distL="114300" distR="114300">
            <wp:extent cx="5269230" cy="2497455"/>
            <wp:effectExtent l="0" t="0" r="0" b="1714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6"/>
                    <a:stretch>
                      <a:fillRect/>
                    </a:stretch>
                  </pic:blipFill>
                  <pic:spPr>
                    <a:xfrm>
                      <a:off x="0" y="0"/>
                      <a:ext cx="5269230" cy="24974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（图6：一般公共预算财政拨款支出决算结构）（饼状图）</w:t>
      </w:r>
    </w:p>
    <w:p>
      <w:pPr>
        <w:spacing w:line="600" w:lineRule="exact"/>
        <w:ind w:firstLine="643" w:firstLineChars="200"/>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7444"/>
      <w:bookmarkStart w:id="38" w:name="_Toc15377213"/>
      <w:bookmarkStart w:id="39" w:name="_Toc15378460"/>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一般</w:t>
      </w:r>
      <w:r>
        <w:rPr>
          <w:rFonts w:hint="eastAsia" w:ascii="仿宋" w:hAnsi="仿宋" w:eastAsia="仿宋"/>
          <w:b/>
          <w:color w:val="auto"/>
          <w:sz w:val="32"/>
          <w:szCs w:val="32"/>
        </w:rPr>
        <w:t>公共预算支出决算数为</w:t>
      </w:r>
      <w:r>
        <w:rPr>
          <w:rFonts w:hint="eastAsia" w:ascii="仿宋" w:hAnsi="仿宋" w:eastAsia="仿宋"/>
          <w:b/>
          <w:color w:val="auto"/>
          <w:sz w:val="32"/>
          <w:szCs w:val="32"/>
          <w:lang w:val="en-US" w:eastAsia="zh-CN"/>
        </w:rPr>
        <w:t>1972.54万元</w:t>
      </w:r>
      <w:r>
        <w:rPr>
          <w:rFonts w:hint="eastAsia" w:ascii="仿宋" w:hAnsi="仿宋" w:eastAsia="仿宋"/>
          <w:color w:val="auto"/>
          <w:sz w:val="32"/>
          <w:szCs w:val="32"/>
        </w:rPr>
        <w:t>，</w:t>
      </w:r>
      <w:r>
        <w:rPr>
          <w:rFonts w:hint="eastAsia" w:ascii="仿宋" w:hAnsi="仿宋" w:eastAsia="仿宋"/>
          <w:b/>
          <w:bCs/>
          <w:color w:val="auto"/>
          <w:sz w:val="32"/>
          <w:szCs w:val="32"/>
          <w:lang w:eastAsia="zh-CN"/>
        </w:rPr>
        <w:t>基本支出</w:t>
      </w:r>
      <w:r>
        <w:rPr>
          <w:rFonts w:hint="eastAsia" w:ascii="仿宋" w:hAnsi="仿宋" w:eastAsia="仿宋"/>
          <w:b/>
          <w:bCs/>
          <w:color w:val="auto"/>
          <w:sz w:val="32"/>
          <w:szCs w:val="32"/>
          <w:lang w:val="en-US" w:eastAsia="zh-CN"/>
        </w:rPr>
        <w:t>1616.1万元，项目支出356.44万元，</w:t>
      </w:r>
      <w:r>
        <w:rPr>
          <w:rStyle w:val="16"/>
          <w:rFonts w:hint="eastAsia" w:ascii="仿宋" w:hAnsi="仿宋" w:eastAsia="仿宋"/>
          <w:bCs/>
          <w:color w:val="auto"/>
          <w:sz w:val="32"/>
          <w:szCs w:val="32"/>
        </w:rPr>
        <w:t>完成预算</w:t>
      </w:r>
      <w:r>
        <w:rPr>
          <w:rStyle w:val="16"/>
          <w:rFonts w:hint="eastAsia" w:ascii="仿宋" w:hAnsi="仿宋" w:eastAsia="仿宋"/>
          <w:bCs/>
          <w:color w:val="auto"/>
          <w:sz w:val="32"/>
          <w:szCs w:val="32"/>
          <w:lang w:val="en-US" w:eastAsia="zh-CN"/>
        </w:rPr>
        <w:t>100</w:t>
      </w:r>
      <w:r>
        <w:rPr>
          <w:rStyle w:val="16"/>
          <w:rFonts w:ascii="仿宋" w:hAnsi="仿宋" w:eastAsia="仿宋"/>
          <w:bCs/>
          <w:color w:val="auto"/>
          <w:sz w:val="32"/>
          <w:szCs w:val="32"/>
        </w:rPr>
        <w:t>%</w:t>
      </w:r>
      <w:r>
        <w:rPr>
          <w:rStyle w:val="16"/>
          <w:rFonts w:hint="eastAsia" w:ascii="仿宋" w:hAnsi="仿宋" w:eastAsia="仿宋"/>
          <w:bCs/>
          <w:color w:val="auto"/>
          <w:sz w:val="32"/>
          <w:szCs w:val="32"/>
        </w:rPr>
        <w:t>。其中：</w:t>
      </w:r>
      <w:bookmarkEnd w:id="37"/>
      <w:bookmarkEnd w:id="38"/>
      <w:bookmarkEnd w:id="39"/>
    </w:p>
    <w:p>
      <w:pPr>
        <w:widowControl/>
        <w:shd w:val="clear" w:color="auto" w:fill="FFFFFF"/>
        <w:spacing w:line="576" w:lineRule="exact"/>
        <w:ind w:firstLine="480"/>
        <w:jc w:val="left"/>
        <w:rPr>
          <w:rFonts w:hint="eastAsia" w:ascii="方正仿宋简体" w:hAnsi="方正仿宋简体" w:eastAsia="方正仿宋简体" w:cs="方正仿宋简体"/>
          <w:color w:val="auto"/>
          <w:sz w:val="32"/>
          <w:szCs w:val="32"/>
        </w:rPr>
      </w:pPr>
      <w:r>
        <w:rPr>
          <w:rFonts w:hint="eastAsia" w:ascii="仿宋_GB2312" w:hAnsi="宋体" w:eastAsia="仿宋_GB2312" w:cs="宋体"/>
          <w:b/>
          <w:bCs/>
          <w:color w:val="auto"/>
          <w:kern w:val="0"/>
          <w:sz w:val="32"/>
          <w:szCs w:val="32"/>
        </w:rPr>
        <w:t>1.一般公共服务</w:t>
      </w:r>
      <w:r>
        <w:rPr>
          <w:rFonts w:hint="eastAsia" w:ascii="仿宋_GB2312" w:hAnsi="宋体" w:eastAsia="仿宋_GB2312" w:cs="宋体"/>
          <w:b/>
          <w:bCs/>
          <w:color w:val="auto"/>
          <w:kern w:val="0"/>
          <w:sz w:val="32"/>
          <w:szCs w:val="32"/>
          <w:lang w:eastAsia="zh-CN"/>
        </w:rPr>
        <w:t>：</w:t>
      </w:r>
      <w:r>
        <w:rPr>
          <w:rFonts w:hint="eastAsia" w:ascii="方正仿宋简体" w:hAnsi="方正仿宋简体" w:eastAsia="方正仿宋简体" w:cs="方正仿宋简体"/>
          <w:color w:val="auto"/>
          <w:sz w:val="32"/>
          <w:szCs w:val="32"/>
        </w:rPr>
        <w:t>2010301行政运行2020年为</w:t>
      </w:r>
      <w:r>
        <w:rPr>
          <w:rFonts w:hint="eastAsia" w:ascii="方正仿宋简体" w:hAnsi="方正仿宋简体" w:eastAsia="方正仿宋简体" w:cs="方正仿宋简体"/>
          <w:color w:val="auto"/>
          <w:sz w:val="32"/>
          <w:szCs w:val="32"/>
          <w:lang w:val="en-US" w:eastAsia="zh-CN"/>
        </w:rPr>
        <w:t>635.69</w:t>
      </w:r>
      <w:r>
        <w:rPr>
          <w:rFonts w:hint="eastAsia" w:ascii="方正仿宋简体" w:hAnsi="方正仿宋简体" w:eastAsia="方正仿宋简体" w:cs="方正仿宋简体"/>
          <w:color w:val="auto"/>
          <w:sz w:val="32"/>
          <w:szCs w:val="32"/>
        </w:rPr>
        <w:t>万元，完成预算100%，2010302一般行政管理事务46.47万元，完成预算100%，2010108代表工作0.71万元，完成预算100%，2010308信访</w:t>
      </w:r>
      <w:r>
        <w:rPr>
          <w:rFonts w:hint="eastAsia" w:ascii="方正仿宋简体" w:hAnsi="方正仿宋简体" w:eastAsia="方正仿宋简体" w:cs="方正仿宋简体"/>
          <w:color w:val="auto"/>
          <w:sz w:val="32"/>
          <w:szCs w:val="32"/>
          <w:lang w:eastAsia="zh-CN"/>
        </w:rPr>
        <w:t>事务</w:t>
      </w:r>
      <w:r>
        <w:rPr>
          <w:rFonts w:hint="eastAsia" w:ascii="方正仿宋简体" w:hAnsi="方正仿宋简体" w:eastAsia="方正仿宋简体" w:cs="方正仿宋简体"/>
          <w:color w:val="auto"/>
          <w:sz w:val="32"/>
          <w:szCs w:val="32"/>
          <w:lang w:val="en-US" w:eastAsia="zh-CN"/>
        </w:rPr>
        <w:t>15.36</w:t>
      </w:r>
      <w:r>
        <w:rPr>
          <w:rFonts w:hint="eastAsia" w:ascii="方正仿宋简体" w:hAnsi="方正仿宋简体" w:eastAsia="方正仿宋简体" w:cs="方正仿宋简体"/>
          <w:color w:val="auto"/>
          <w:sz w:val="32"/>
          <w:szCs w:val="32"/>
        </w:rPr>
        <w:t>万元，完成预算100%，</w:t>
      </w:r>
      <w:r>
        <w:rPr>
          <w:rFonts w:hint="eastAsia" w:ascii="方正仿宋简体" w:hAnsi="方正仿宋简体" w:eastAsia="方正仿宋简体" w:cs="方正仿宋简体"/>
          <w:color w:val="auto"/>
          <w:sz w:val="32"/>
          <w:szCs w:val="32"/>
          <w:lang w:val="en-US" w:eastAsia="zh-CN"/>
        </w:rPr>
        <w:t>2010399</w:t>
      </w:r>
      <w:r>
        <w:rPr>
          <w:rFonts w:hint="eastAsia" w:ascii="方正仿宋简体" w:hAnsi="方正仿宋简体" w:eastAsia="方正仿宋简体" w:cs="方正仿宋简体"/>
          <w:color w:val="auto"/>
          <w:sz w:val="32"/>
          <w:szCs w:val="32"/>
          <w:lang w:eastAsia="zh-CN"/>
        </w:rPr>
        <w:t>其他政府办公及相关事务</w:t>
      </w:r>
      <w:r>
        <w:rPr>
          <w:rFonts w:hint="eastAsia" w:ascii="方正仿宋简体" w:hAnsi="方正仿宋简体" w:eastAsia="方正仿宋简体" w:cs="方正仿宋简体"/>
          <w:color w:val="auto"/>
          <w:sz w:val="32"/>
          <w:szCs w:val="32"/>
          <w:lang w:val="en-US" w:eastAsia="zh-CN"/>
        </w:rPr>
        <w:t>28万元，完成预算100%，</w:t>
      </w:r>
      <w:r>
        <w:rPr>
          <w:rFonts w:hint="eastAsia" w:ascii="方正仿宋简体" w:hAnsi="方正仿宋简体" w:eastAsia="方正仿宋简体" w:cs="方正仿宋简体"/>
          <w:color w:val="auto"/>
          <w:sz w:val="32"/>
          <w:szCs w:val="32"/>
        </w:rPr>
        <w:t>2010601行政运行为</w:t>
      </w:r>
      <w:r>
        <w:rPr>
          <w:rFonts w:hint="eastAsia" w:ascii="方正仿宋简体" w:hAnsi="方正仿宋简体" w:eastAsia="方正仿宋简体" w:cs="方正仿宋简体"/>
          <w:color w:val="auto"/>
          <w:sz w:val="32"/>
          <w:szCs w:val="32"/>
          <w:lang w:val="en-US" w:eastAsia="zh-CN"/>
        </w:rPr>
        <w:t>44.14</w:t>
      </w:r>
      <w:r>
        <w:rPr>
          <w:rFonts w:hint="eastAsia" w:ascii="方正仿宋简体" w:hAnsi="方正仿宋简体" w:eastAsia="方正仿宋简体" w:cs="方正仿宋简体"/>
          <w:color w:val="auto"/>
          <w:sz w:val="32"/>
          <w:szCs w:val="32"/>
        </w:rPr>
        <w:t>万元，完成预算100%，2013101行政运行为</w:t>
      </w:r>
      <w:r>
        <w:rPr>
          <w:rFonts w:hint="eastAsia" w:ascii="方正仿宋简体" w:hAnsi="方正仿宋简体" w:eastAsia="方正仿宋简体" w:cs="方正仿宋简体"/>
          <w:color w:val="auto"/>
          <w:sz w:val="32"/>
          <w:szCs w:val="32"/>
          <w:lang w:val="en-US" w:eastAsia="zh-CN"/>
        </w:rPr>
        <w:t>107.23</w:t>
      </w:r>
      <w:r>
        <w:rPr>
          <w:rFonts w:hint="eastAsia" w:ascii="方正仿宋简体" w:hAnsi="方正仿宋简体" w:eastAsia="方正仿宋简体" w:cs="方正仿宋简体"/>
          <w:color w:val="auto"/>
          <w:sz w:val="32"/>
          <w:szCs w:val="32"/>
        </w:rPr>
        <w:t>万元，完成预算100%，2013105专项业务2.76万元，完成预算100%。</w:t>
      </w:r>
    </w:p>
    <w:p>
      <w:pPr>
        <w:widowControl/>
        <w:shd w:val="clear" w:color="auto" w:fill="FFFFFF"/>
        <w:spacing w:line="576" w:lineRule="exact"/>
        <w:ind w:firstLine="480"/>
        <w:jc w:val="left"/>
        <w:rPr>
          <w:rFonts w:hint="eastAsia" w:ascii="方正仿宋简体" w:hAnsi="方正仿宋简体" w:eastAsia="方正仿宋简体" w:cs="方正仿宋简体"/>
          <w:color w:val="auto"/>
          <w:sz w:val="32"/>
          <w:szCs w:val="32"/>
        </w:rPr>
      </w:pPr>
      <w:r>
        <w:rPr>
          <w:rFonts w:hint="eastAsia" w:ascii="仿宋_GB2312" w:hAnsi="宋体" w:eastAsia="仿宋_GB2312" w:cs="宋体"/>
          <w:b/>
          <w:bCs/>
          <w:color w:val="auto"/>
          <w:kern w:val="0"/>
          <w:sz w:val="32"/>
          <w:szCs w:val="32"/>
        </w:rPr>
        <w:t>2.文化体育与传媒</w:t>
      </w:r>
      <w:r>
        <w:rPr>
          <w:rFonts w:hint="eastAsia" w:ascii="仿宋_GB2312" w:hAnsi="宋体" w:eastAsia="仿宋_GB2312" w:cs="宋体"/>
          <w:b/>
          <w:bCs/>
          <w:color w:val="auto"/>
          <w:kern w:val="0"/>
          <w:sz w:val="32"/>
          <w:szCs w:val="32"/>
          <w:lang w:eastAsia="zh-CN"/>
        </w:rPr>
        <w:t>：</w:t>
      </w:r>
      <w:r>
        <w:rPr>
          <w:rFonts w:hint="eastAsia" w:ascii="方正仿宋简体" w:hAnsi="方正仿宋简体" w:eastAsia="方正仿宋简体" w:cs="方正仿宋简体"/>
          <w:color w:val="auto"/>
          <w:sz w:val="32"/>
          <w:szCs w:val="32"/>
        </w:rPr>
        <w:t>2070101行政运行2020年为</w:t>
      </w:r>
      <w:r>
        <w:rPr>
          <w:rFonts w:hint="eastAsia" w:ascii="方正仿宋简体" w:hAnsi="方正仿宋简体" w:eastAsia="方正仿宋简体" w:cs="方正仿宋简体"/>
          <w:color w:val="auto"/>
          <w:sz w:val="32"/>
          <w:szCs w:val="32"/>
          <w:lang w:val="en-US" w:eastAsia="zh-CN"/>
        </w:rPr>
        <w:t>12.65</w:t>
      </w:r>
      <w:r>
        <w:rPr>
          <w:rFonts w:hint="eastAsia" w:ascii="方正仿宋简体" w:hAnsi="方正仿宋简体" w:eastAsia="方正仿宋简体" w:cs="方正仿宋简体"/>
          <w:color w:val="auto"/>
          <w:sz w:val="32"/>
          <w:szCs w:val="32"/>
        </w:rPr>
        <w:t>万元，完成预算100%</w:t>
      </w:r>
      <w:r>
        <w:rPr>
          <w:rFonts w:hint="eastAsia" w:ascii="方正仿宋简体" w:hAnsi="方正仿宋简体" w:eastAsia="方正仿宋简体" w:cs="方正仿宋简体"/>
          <w:color w:val="auto"/>
          <w:sz w:val="32"/>
          <w:szCs w:val="32"/>
          <w:lang w:val="en-US" w:eastAsia="zh-CN"/>
        </w:rPr>
        <w:t>,2079999其他文化旅游体育与传媒支出2020年5万元，完成预算100%</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仿宋_GB2312" w:hAnsi="宋体" w:eastAsia="仿宋_GB2312" w:cs="宋体"/>
          <w:b/>
          <w:bCs/>
          <w:color w:val="auto"/>
          <w:kern w:val="0"/>
          <w:sz w:val="32"/>
          <w:szCs w:val="32"/>
        </w:rPr>
        <w:t>3.社会保障和就业</w:t>
      </w:r>
      <w:r>
        <w:rPr>
          <w:rFonts w:hint="eastAsia" w:ascii="仿宋_GB2312" w:hAnsi="宋体" w:eastAsia="仿宋_GB2312" w:cs="宋体"/>
          <w:b/>
          <w:bCs/>
          <w:color w:val="auto"/>
          <w:kern w:val="0"/>
          <w:sz w:val="32"/>
          <w:szCs w:val="32"/>
          <w:lang w:eastAsia="zh-CN"/>
        </w:rPr>
        <w:t>：</w:t>
      </w:r>
      <w:r>
        <w:rPr>
          <w:rFonts w:hint="eastAsia" w:ascii="方正仿宋简体" w:hAnsi="方正仿宋简体" w:eastAsia="方正仿宋简体" w:cs="方正仿宋简体"/>
          <w:color w:val="auto"/>
          <w:sz w:val="32"/>
          <w:szCs w:val="32"/>
        </w:rPr>
        <w:t>2080501行政单位离退休2020年决算数为75.256万元，完成预算100%，2080505机关事业单位基本养老保险缴费支出2020年为95.7974万元，完成预算100%，</w:t>
      </w:r>
      <w:r>
        <w:rPr>
          <w:rFonts w:hint="eastAsia" w:ascii="方正仿宋简体" w:hAnsi="方正仿宋简体" w:eastAsia="方正仿宋简体" w:cs="方正仿宋简体"/>
          <w:color w:val="auto"/>
          <w:sz w:val="32"/>
          <w:szCs w:val="32"/>
          <w:lang w:val="en-US" w:eastAsia="zh-CN"/>
        </w:rPr>
        <w:t>2080506机关事业单位职业年金缴费支出2020年为8.12万元，完成预算100%</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2080699其他企业改革发展补助2020年为2.34万元，完成预算100%，2080801死亡抚恤2020年为32.39万元，</w:t>
      </w:r>
      <w:r>
        <w:rPr>
          <w:rFonts w:hint="eastAsia" w:ascii="方正仿宋简体" w:hAnsi="方正仿宋简体" w:eastAsia="方正仿宋简体" w:cs="方正仿宋简体"/>
          <w:color w:val="auto"/>
          <w:sz w:val="32"/>
          <w:szCs w:val="32"/>
        </w:rPr>
        <w:t>完成预算100%</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2080805义务兵优待金2020年为16.632万元，完成预算100%</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2089901其他社会保障和就业支出2020年为6.21万元，</w:t>
      </w:r>
      <w:r>
        <w:rPr>
          <w:rFonts w:hint="eastAsia" w:ascii="方正仿宋简体" w:hAnsi="方正仿宋简体" w:eastAsia="方正仿宋简体" w:cs="方正仿宋简体"/>
          <w:color w:val="auto"/>
          <w:sz w:val="32"/>
          <w:szCs w:val="32"/>
        </w:rPr>
        <w:t>完成预算100%</w:t>
      </w:r>
      <w:r>
        <w:rPr>
          <w:rFonts w:hint="eastAsia" w:ascii="方正仿宋简体" w:hAnsi="方正仿宋简体" w:eastAsia="方正仿宋简体" w:cs="方正仿宋简体"/>
          <w:color w:val="auto"/>
          <w:sz w:val="32"/>
          <w:szCs w:val="32"/>
          <w:lang w:val="en-US" w:eastAsia="zh-CN"/>
        </w:rPr>
        <w:t>。</w:t>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仿宋_GB2312" w:hAnsi="宋体" w:eastAsia="仿宋_GB2312" w:cs="宋体"/>
          <w:b/>
          <w:bCs/>
          <w:color w:val="auto"/>
          <w:kern w:val="0"/>
          <w:sz w:val="32"/>
          <w:szCs w:val="32"/>
        </w:rPr>
        <w:t>4.医疗卫生与计划生育</w:t>
      </w:r>
      <w:r>
        <w:rPr>
          <w:rFonts w:hint="eastAsia" w:ascii="仿宋_GB2312" w:hAnsi="宋体" w:eastAsia="仿宋_GB2312" w:cs="宋体"/>
          <w:b/>
          <w:bCs/>
          <w:color w:val="auto"/>
          <w:kern w:val="0"/>
          <w:sz w:val="32"/>
          <w:szCs w:val="32"/>
          <w:lang w:eastAsia="zh-CN"/>
        </w:rPr>
        <w:t>：</w:t>
      </w:r>
      <w:r>
        <w:rPr>
          <w:rFonts w:hint="eastAsia" w:ascii="仿宋_GB2312" w:hAnsi="宋体" w:eastAsia="仿宋_GB2312" w:cs="宋体"/>
          <w:b/>
          <w:bCs/>
          <w:color w:val="auto"/>
          <w:kern w:val="0"/>
          <w:sz w:val="32"/>
          <w:szCs w:val="32"/>
        </w:rPr>
        <w:t>2100716计划生育机构</w:t>
      </w:r>
      <w:r>
        <w:rPr>
          <w:rFonts w:hint="eastAsia" w:ascii="方正仿宋简体" w:hAnsi="方正仿宋简体" w:eastAsia="方正仿宋简体" w:cs="方正仿宋简体"/>
          <w:color w:val="auto"/>
          <w:sz w:val="32"/>
          <w:szCs w:val="32"/>
          <w:lang w:val="en-US" w:eastAsia="zh-CN"/>
        </w:rPr>
        <w:t>2020年为49.01万元，完成预算100%，2100717计划生育服务1.8512万元，2101101行政单位医疗2020年为47.2022万元，完成预算100%。</w:t>
      </w:r>
    </w:p>
    <w:p>
      <w:pPr>
        <w:pStyle w:val="2"/>
        <w:rPr>
          <w:rFonts w:hint="eastAsia" w:ascii="方正仿宋简体" w:hAnsi="方正仿宋简体" w:eastAsia="方正仿宋简体" w:cs="方正仿宋简体"/>
          <w:color w:val="auto"/>
          <w:kern w:val="2"/>
          <w:sz w:val="32"/>
          <w:szCs w:val="32"/>
          <w:lang w:val="en-US" w:eastAsia="zh-CN" w:bidi="ar-SA"/>
        </w:rPr>
      </w:pPr>
      <w:r>
        <w:rPr>
          <w:rFonts w:hint="eastAsia" w:hAnsi="宋体" w:cs="宋体"/>
          <w:b/>
          <w:bCs w:val="0"/>
          <w:color w:val="auto"/>
          <w:kern w:val="0"/>
          <w:sz w:val="32"/>
          <w:szCs w:val="32"/>
          <w:lang w:val="en-US" w:eastAsia="zh-CN"/>
        </w:rPr>
        <w:t>5.节能环保支出：</w:t>
      </w:r>
      <w:r>
        <w:rPr>
          <w:rFonts w:hint="eastAsia" w:ascii="方正仿宋简体" w:hAnsi="方正仿宋简体" w:eastAsia="方正仿宋简体" w:cs="方正仿宋简体"/>
          <w:color w:val="auto"/>
          <w:kern w:val="2"/>
          <w:sz w:val="32"/>
          <w:szCs w:val="32"/>
          <w:lang w:val="en-US" w:eastAsia="zh-CN" w:bidi="ar-SA"/>
        </w:rPr>
        <w:t>2110401生态保护2020年为20万元，完成预算100%。</w:t>
      </w:r>
    </w:p>
    <w:p>
      <w:pPr>
        <w:widowControl/>
        <w:shd w:val="clear" w:color="auto" w:fill="FFFFFF"/>
        <w:spacing w:line="576" w:lineRule="exact"/>
        <w:ind w:firstLine="480"/>
        <w:jc w:val="left"/>
        <w:rPr>
          <w:rFonts w:hint="eastAsia" w:ascii="方正仿宋简体" w:hAnsi="方正仿宋简体" w:eastAsia="方正仿宋简体" w:cs="方正仿宋简体"/>
          <w:color w:val="auto"/>
          <w:sz w:val="32"/>
          <w:szCs w:val="32"/>
          <w:lang w:val="en-US" w:eastAsia="zh-CN"/>
        </w:rPr>
      </w:pPr>
      <w:r>
        <w:rPr>
          <w:rFonts w:hint="eastAsia" w:ascii="仿宋_GB2312" w:hAnsi="宋体" w:eastAsia="仿宋_GB2312" w:cs="宋体"/>
          <w:b/>
          <w:bCs/>
          <w:color w:val="auto"/>
          <w:kern w:val="0"/>
          <w:sz w:val="32"/>
          <w:szCs w:val="32"/>
          <w:lang w:val="en-US" w:eastAsia="zh-CN"/>
        </w:rPr>
        <w:t>6</w:t>
      </w:r>
      <w:r>
        <w:rPr>
          <w:rFonts w:hint="eastAsia" w:ascii="仿宋_GB2312" w:hAnsi="宋体" w:eastAsia="仿宋_GB2312" w:cs="宋体"/>
          <w:b/>
          <w:bCs/>
          <w:color w:val="auto"/>
          <w:kern w:val="0"/>
          <w:sz w:val="32"/>
          <w:szCs w:val="32"/>
        </w:rPr>
        <w:t>.城乡社区支出：</w:t>
      </w:r>
      <w:r>
        <w:rPr>
          <w:rFonts w:hint="eastAsia" w:ascii="方正仿宋简体" w:hAnsi="方正仿宋简体" w:eastAsia="方正仿宋简体" w:cs="方正仿宋简体"/>
          <w:color w:val="auto"/>
          <w:sz w:val="32"/>
          <w:szCs w:val="32"/>
          <w:lang w:val="en-US" w:eastAsia="zh-CN"/>
        </w:rPr>
        <w:t>2120101行政运行2020年为29.87万元，完成预算100%，2120102一般行政管理事务2020年为84.64万元，完成预算100%。</w:t>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仿宋_GB2312" w:hAnsi="宋体" w:eastAsia="仿宋_GB2312" w:cs="宋体"/>
          <w:b/>
          <w:bCs/>
          <w:color w:val="auto"/>
          <w:kern w:val="0"/>
          <w:sz w:val="32"/>
          <w:szCs w:val="32"/>
          <w:lang w:val="en-US" w:eastAsia="zh-CN"/>
        </w:rPr>
        <w:t>7</w:t>
      </w:r>
      <w:r>
        <w:rPr>
          <w:rFonts w:hint="eastAsia" w:ascii="仿宋_GB2312" w:hAnsi="宋体" w:eastAsia="仿宋_GB2312" w:cs="宋体"/>
          <w:b/>
          <w:bCs/>
          <w:color w:val="auto"/>
          <w:kern w:val="0"/>
          <w:sz w:val="32"/>
          <w:szCs w:val="32"/>
        </w:rPr>
        <w:t>.农林水支出：</w:t>
      </w:r>
      <w:r>
        <w:rPr>
          <w:rFonts w:hint="eastAsia" w:ascii="方正仿宋简体" w:hAnsi="方正仿宋简体" w:eastAsia="方正仿宋简体" w:cs="方正仿宋简体"/>
          <w:color w:val="auto"/>
          <w:sz w:val="32"/>
          <w:szCs w:val="32"/>
          <w:lang w:val="en-US" w:eastAsia="zh-CN"/>
        </w:rPr>
        <w:t>2130101行政运行2020年为70.41万元，完成预算100%,2130234林业防灾减灾2020年为7.072万元，完成预算100%，2130301行政运行2020年为17.18万元，完成预算100%，2130314防汛2020年为5万元，完成预算100%，2130506社会发展2020年为100万元。完成预算100%，2130599其他扶贫支出5万元，完成预算100%，2130705对村民委员会和村党支部的补助2020年为314.88万元，完成预算100%,2130799其他农村综合改革2020年为10万元，完成预算100%。</w:t>
      </w:r>
    </w:p>
    <w:p>
      <w:pPr>
        <w:widowControl/>
        <w:shd w:val="clear" w:color="auto" w:fill="FFFFFF"/>
        <w:spacing w:line="576" w:lineRule="exact"/>
        <w:ind w:firstLine="643" w:firstLineChars="200"/>
        <w:jc w:val="left"/>
        <w:rPr>
          <w:rFonts w:hint="eastAsia" w:ascii="方正仿宋简体" w:hAnsi="方正仿宋简体" w:eastAsia="方正仿宋简体" w:cs="方正仿宋简体"/>
          <w:color w:val="auto"/>
          <w:sz w:val="32"/>
          <w:szCs w:val="32"/>
          <w:lang w:val="en-US" w:eastAsia="zh-CN"/>
        </w:rPr>
      </w:pPr>
      <w:r>
        <w:rPr>
          <w:rFonts w:hint="eastAsia" w:ascii="仿宋_GB2312" w:hAnsi="宋体" w:eastAsia="仿宋_GB2312" w:cs="宋体"/>
          <w:b/>
          <w:bCs/>
          <w:color w:val="auto"/>
          <w:kern w:val="0"/>
          <w:sz w:val="32"/>
          <w:szCs w:val="32"/>
          <w:lang w:val="en-US" w:eastAsia="zh-CN"/>
        </w:rPr>
        <w:t>8.</w:t>
      </w:r>
      <w:r>
        <w:rPr>
          <w:rFonts w:hint="eastAsia" w:ascii="仿宋_GB2312" w:hAnsi="宋体" w:eastAsia="仿宋_GB2312" w:cs="宋体"/>
          <w:b/>
          <w:bCs/>
          <w:color w:val="auto"/>
          <w:kern w:val="0"/>
          <w:sz w:val="32"/>
          <w:szCs w:val="32"/>
        </w:rPr>
        <w:t>住房保障支出：</w:t>
      </w:r>
      <w:r>
        <w:rPr>
          <w:rFonts w:hint="eastAsia" w:ascii="方正仿宋简体" w:hAnsi="方正仿宋简体" w:eastAsia="方正仿宋简体" w:cs="方正仿宋简体"/>
          <w:color w:val="auto"/>
          <w:sz w:val="32"/>
          <w:szCs w:val="32"/>
          <w:lang w:val="en-US" w:eastAsia="zh-CN"/>
        </w:rPr>
        <w:t>2210201住房公积金2020年为70.0763万元，完成预算100%。</w:t>
      </w:r>
    </w:p>
    <w:p>
      <w:pPr>
        <w:pStyle w:val="2"/>
        <w:ind w:left="0" w:leftChars="0" w:firstLine="643" w:firstLineChars="200"/>
        <w:rPr>
          <w:rFonts w:hint="default" w:ascii="方正仿宋简体" w:hAnsi="方正仿宋简体" w:eastAsia="方正仿宋简体" w:cs="方正仿宋简体"/>
          <w:color w:val="auto"/>
          <w:kern w:val="2"/>
          <w:sz w:val="32"/>
          <w:szCs w:val="32"/>
          <w:lang w:val="en-US" w:eastAsia="zh-CN" w:bidi="ar-SA"/>
        </w:rPr>
      </w:pPr>
      <w:r>
        <w:rPr>
          <w:rFonts w:hint="eastAsia" w:hAnsi="宋体" w:cs="宋体"/>
          <w:b/>
          <w:bCs w:val="0"/>
          <w:color w:val="auto"/>
          <w:kern w:val="0"/>
          <w:sz w:val="32"/>
          <w:szCs w:val="32"/>
          <w:lang w:val="en-US" w:eastAsia="zh-CN"/>
        </w:rPr>
        <w:t>9.灾害防治及应急管理支出：</w:t>
      </w:r>
      <w:r>
        <w:rPr>
          <w:rFonts w:hint="eastAsia" w:ascii="方正仿宋简体" w:hAnsi="方正仿宋简体" w:eastAsia="方正仿宋简体" w:cs="方正仿宋简体"/>
          <w:color w:val="auto"/>
          <w:kern w:val="2"/>
          <w:sz w:val="32"/>
          <w:szCs w:val="32"/>
          <w:lang w:val="en-US" w:eastAsia="zh-CN" w:bidi="ar-SA"/>
        </w:rPr>
        <w:t>2240701中央自然灾害生活补助2020年为0.54万元，完成预算100%。</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Z01-1</w:t>
      </w:r>
      <w:r>
        <w:rPr>
          <w:rFonts w:hint="eastAsia" w:ascii="仿宋" w:hAnsi="仿宋" w:eastAsia="仿宋"/>
          <w:b/>
          <w:color w:val="auto"/>
          <w:sz w:val="32"/>
          <w:szCs w:val="32"/>
        </w:rPr>
        <w:t>表，罗列全部功能分类科目至项级。上述“预算”口径为</w:t>
      </w:r>
      <w:r>
        <w:rPr>
          <w:rFonts w:hint="eastAsia" w:ascii="仿宋" w:hAnsi="仿宋" w:eastAsia="仿宋"/>
          <w:b/>
          <w:color w:val="auto"/>
          <w:sz w:val="32"/>
          <w:szCs w:val="32"/>
          <w:highlight w:val="none"/>
        </w:rPr>
        <w:t>调整预算数</w:t>
      </w:r>
      <w:r>
        <w:rPr>
          <w:rFonts w:hint="eastAsia" w:ascii="仿宋" w:hAnsi="仿宋" w:eastAsia="仿宋"/>
          <w:b/>
          <w:color w:val="auto"/>
          <w:sz w:val="32"/>
          <w:szCs w:val="32"/>
        </w:rPr>
        <w:t>。增减变动原因为决算数</w:t>
      </w:r>
      <w:r>
        <w:rPr>
          <w:rFonts w:hint="eastAsia" w:ascii="仿宋" w:hAnsi="仿宋" w:eastAsia="仿宋"/>
          <w:b/>
          <w:color w:val="auto"/>
          <w:sz w:val="32"/>
          <w:szCs w:val="32"/>
          <w:lang w:eastAsia="zh-CN"/>
        </w:rPr>
        <w:t>〈</w:t>
      </w:r>
      <w:r>
        <w:rPr>
          <w:rFonts w:hint="eastAsia" w:ascii="仿宋" w:hAnsi="仿宋" w:eastAsia="仿宋"/>
          <w:b/>
          <w:color w:val="auto"/>
          <w:sz w:val="32"/>
          <w:szCs w:val="32"/>
        </w:rPr>
        <w:t>项级</w:t>
      </w:r>
      <w:r>
        <w:rPr>
          <w:rFonts w:hint="eastAsia" w:ascii="仿宋" w:hAnsi="仿宋" w:eastAsia="仿宋"/>
          <w:b/>
          <w:color w:val="auto"/>
          <w:sz w:val="32"/>
          <w:szCs w:val="32"/>
          <w:lang w:eastAsia="zh-CN"/>
        </w:rPr>
        <w:t>〉</w:t>
      </w:r>
      <w:r>
        <w:rPr>
          <w:rFonts w:hint="eastAsia" w:ascii="仿宋" w:hAnsi="仿宋" w:eastAsia="仿宋"/>
          <w:b/>
          <w:color w:val="auto"/>
          <w:sz w:val="32"/>
          <w:szCs w:val="32"/>
        </w:rPr>
        <w:t>和调整预算数</w:t>
      </w:r>
      <w:r>
        <w:rPr>
          <w:rFonts w:hint="eastAsia" w:ascii="仿宋" w:hAnsi="仿宋" w:eastAsia="仿宋"/>
          <w:b/>
          <w:color w:val="auto"/>
          <w:sz w:val="32"/>
          <w:szCs w:val="32"/>
          <w:lang w:eastAsia="zh-CN"/>
        </w:rPr>
        <w:t>〈</w:t>
      </w:r>
      <w:r>
        <w:rPr>
          <w:rFonts w:hint="eastAsia" w:ascii="仿宋" w:hAnsi="仿宋" w:eastAsia="仿宋"/>
          <w:b/>
          <w:color w:val="auto"/>
          <w:sz w:val="32"/>
          <w:szCs w:val="32"/>
        </w:rPr>
        <w:t>项级</w:t>
      </w:r>
      <w:r>
        <w:rPr>
          <w:rFonts w:hint="eastAsia" w:ascii="仿宋" w:hAnsi="仿宋" w:eastAsia="仿宋"/>
          <w:b/>
          <w:color w:val="auto"/>
          <w:sz w:val="32"/>
          <w:szCs w:val="32"/>
          <w:lang w:eastAsia="zh-CN"/>
        </w:rPr>
        <w:t>〉</w:t>
      </w:r>
      <w:r>
        <w:rPr>
          <w:rFonts w:hint="eastAsia" w:ascii="仿宋" w:hAnsi="仿宋" w:eastAsia="仿宋"/>
          <w:b/>
          <w:color w:val="auto"/>
          <w:sz w:val="32"/>
          <w:szCs w:val="32"/>
        </w:rPr>
        <w:t>比较，与预算数持平可以不写原因。）</w:t>
      </w:r>
    </w:p>
    <w:p>
      <w:pPr>
        <w:tabs>
          <w:tab w:val="right" w:pos="8306"/>
        </w:tabs>
        <w:spacing w:line="600" w:lineRule="exact"/>
        <w:ind w:firstLine="640"/>
        <w:outlineLvl w:val="1"/>
        <w:rPr>
          <w:rStyle w:val="28"/>
          <w:color w:val="auto"/>
        </w:rPr>
      </w:pPr>
      <w:bookmarkStart w:id="40" w:name="_Toc15396608"/>
      <w:bookmarkStart w:id="41"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40"/>
      <w:bookmarkEnd w:id="41"/>
      <w:r>
        <w:rPr>
          <w:rStyle w:val="28"/>
          <w:rFonts w:ascii="黑体" w:hAnsi="黑体" w:eastAsia="黑体"/>
          <w:b w:val="0"/>
          <w:color w:val="auto"/>
        </w:rPr>
        <w:tab/>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bookmarkStart w:id="42" w:name="_Toc15396609"/>
      <w:bookmarkStart w:id="43" w:name="_Toc15377215"/>
      <w:r>
        <w:rPr>
          <w:rFonts w:hint="eastAsia" w:ascii="方正仿宋简体" w:hAnsi="方正仿宋简体" w:eastAsia="方正仿宋简体" w:cs="方正仿宋简体"/>
          <w:color w:val="auto"/>
          <w:sz w:val="32"/>
          <w:szCs w:val="32"/>
          <w:lang w:val="en-US" w:eastAsia="zh-CN"/>
        </w:rPr>
        <w:t>河西街道</w:t>
      </w:r>
      <w:r>
        <w:rPr>
          <w:rFonts w:hint="eastAsia" w:ascii="方正仿宋简体" w:hAnsi="方正仿宋简体" w:eastAsia="方正仿宋简体" w:cs="方正仿宋简体"/>
          <w:color w:val="auto"/>
          <w:sz w:val="32"/>
          <w:szCs w:val="32"/>
          <w:lang w:val="en-US" w:eastAsia="zh-CN"/>
        </w:rPr>
        <w:t>2020</w:t>
      </w:r>
      <w:r>
        <w:rPr>
          <w:rFonts w:hint="eastAsia" w:ascii="方正仿宋简体" w:hAnsi="方正仿宋简体" w:eastAsia="方正仿宋简体" w:cs="方正仿宋简体"/>
          <w:color w:val="auto"/>
          <w:sz w:val="32"/>
          <w:szCs w:val="32"/>
          <w:lang w:val="en-US" w:eastAsia="zh-CN"/>
        </w:rPr>
        <w:t>年一般公共预算财政拨款基本支出</w:t>
      </w:r>
      <w:r>
        <w:rPr>
          <w:rFonts w:hint="eastAsia" w:ascii="方正仿宋简体" w:hAnsi="方正仿宋简体" w:eastAsia="方正仿宋简体" w:cs="方正仿宋简体"/>
          <w:color w:val="auto"/>
          <w:sz w:val="32"/>
          <w:szCs w:val="32"/>
          <w:lang w:val="en-US" w:eastAsia="zh-CN"/>
        </w:rPr>
        <w:t>1616.11</w:t>
      </w:r>
      <w:r>
        <w:rPr>
          <w:rFonts w:hint="eastAsia" w:ascii="方正仿宋简体" w:hAnsi="方正仿宋简体" w:eastAsia="方正仿宋简体" w:cs="方正仿宋简体"/>
          <w:color w:val="auto"/>
          <w:sz w:val="32"/>
          <w:szCs w:val="32"/>
          <w:lang w:val="en-US" w:eastAsia="zh-CN"/>
        </w:rPr>
        <w:t>万元，其中：人员经费1358.39万元，主要包括：基本工资421.63万元、津贴补贴81.82万元、奖金8.96万元、绩效工资122.81万元、机关事业单位基本养老保险缴费95.8万元、职业年金缴费8.12万元、职工医疗保险缴费47.2万元、其他社会保障缴费6.21万元、其他工资福利145.24万元，抚恤金32.39万元、生活补助317.89万元、奖励金0.25万元、住房公积金70.08万元。</w:t>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公用经费257.72万元，主要包括：办公费143.49万元、印刷费4.51万元，咨询费2万元，手续费0.13万元，水费4.53万元、电费7.07万元、邮电费2.43万元，物业管理费0.22万元、差旅费11.98万元，维修费0.06万元，会议费4.33万元，培训费0.71万元，公务接待费1.8万元、劳务费5.52万元，委托业务费5.45万元，工会经费5.84万元、福利费3.78万元、公务用车运行维护费3.31万元，其他交通费用23.62万元，其他商品服务支出26.84万元。</w:t>
      </w:r>
    </w:p>
    <w:p>
      <w:pPr>
        <w:widowControl/>
        <w:shd w:val="clear" w:color="auto" w:fill="FFFFFF"/>
        <w:spacing w:line="576" w:lineRule="exact"/>
        <w:ind w:firstLine="480"/>
        <w:jc w:val="both"/>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七、“三公”经费财政拨款支出决算情况说明</w:t>
      </w:r>
      <w:bookmarkEnd w:id="42"/>
      <w:bookmarkEnd w:id="43"/>
    </w:p>
    <w:p>
      <w:pPr>
        <w:widowControl/>
        <w:shd w:val="clear" w:color="auto" w:fill="FFFFFF"/>
        <w:spacing w:line="576" w:lineRule="exact"/>
        <w:ind w:firstLine="480"/>
        <w:jc w:val="both"/>
        <w:rPr>
          <w:rFonts w:hint="eastAsia" w:ascii="方正楷体简体" w:hAnsi="方正楷体简体" w:eastAsia="方正楷体简体" w:cs="方正楷体简体"/>
          <w:color w:val="auto"/>
          <w:sz w:val="32"/>
          <w:szCs w:val="32"/>
          <w:lang w:val="en-US" w:eastAsia="zh-CN"/>
        </w:rPr>
      </w:pPr>
      <w:bookmarkStart w:id="44" w:name="_Toc15377216"/>
      <w:r>
        <w:rPr>
          <w:rFonts w:hint="eastAsia" w:ascii="方正楷体简体" w:hAnsi="方正楷体简体" w:eastAsia="方正楷体简体" w:cs="方正楷体简体"/>
          <w:color w:val="auto"/>
          <w:sz w:val="32"/>
          <w:szCs w:val="32"/>
          <w:lang w:val="en-US" w:eastAsia="zh-CN"/>
        </w:rPr>
        <w:t>（一）“三公”经费财政拨款支出决算总体情况说明</w:t>
      </w:r>
      <w:bookmarkEnd w:id="44"/>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2020年“三公”经费财政拨款支出决算为</w:t>
      </w:r>
      <w:r>
        <w:rPr>
          <w:rFonts w:hint="eastAsia" w:ascii="方正仿宋简体" w:hAnsi="方正仿宋简体" w:eastAsia="方正仿宋简体" w:cs="方正仿宋简体"/>
          <w:color w:val="auto"/>
          <w:sz w:val="32"/>
          <w:szCs w:val="32"/>
          <w:lang w:val="en-US" w:eastAsia="zh-CN"/>
        </w:rPr>
        <w:t>33.17万元，超完成预算568.75%，与2019年相比增加了28.21万元，决算数大于预算数原因是新购置的公务用车1辆，购置费24.98万元，10月份后发生公务用车保险、洗车、加油等6.33万元。</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（注：上述“预算”口径为调整预算数，包括政府性基金支出决算情况。）</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河西街道2020年度“三公”经费财政拨款支出决算为33.17万元，超完成预算568.75%，其中：因公出国（境）费支出决算0.00万元，占0.00%；公务接待费支出决算为1.86万元，完成预算18%。公务用车购置及运行维护费支出决算31.31万元，占预算521.83%；</w:t>
      </w:r>
    </w:p>
    <w:p>
      <w:pPr>
        <w:pStyle w:val="2"/>
        <w:rPr>
          <w:rFonts w:hint="eastAsia" w:ascii="仿宋_GB2312" w:hAnsi="宋体" w:eastAsia="仿宋_GB2312" w:cs="宋体"/>
          <w:color w:val="auto"/>
          <w:kern w:val="0"/>
          <w:sz w:val="32"/>
          <w:szCs w:val="32"/>
        </w:rPr>
      </w:pPr>
      <w:r>
        <w:rPr>
          <w:color w:val="auto"/>
        </w:rPr>
        <w:drawing>
          <wp:inline distT="0" distB="0" distL="114300" distR="114300">
            <wp:extent cx="4886325" cy="278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886325" cy="2781300"/>
                    </a:xfrm>
                    <a:prstGeom prst="rect">
                      <a:avLst/>
                    </a:prstGeom>
                    <a:noFill/>
                    <a:ln>
                      <a:noFill/>
                    </a:ln>
                  </pic:spPr>
                </pic:pic>
              </a:graphicData>
            </a:graphic>
          </wp:inline>
        </w:drawing>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（图7：“三公”经费财政拨款支出结构）（饼状图）</w:t>
      </w:r>
    </w:p>
    <w:p>
      <w:pPr>
        <w:widowControl/>
        <w:shd w:val="clear" w:color="auto" w:fill="FFFFFF"/>
        <w:spacing w:line="576" w:lineRule="exact"/>
        <w:ind w:firstLine="48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具体情况如下：</w:t>
      </w:r>
    </w:p>
    <w:p>
      <w:pPr>
        <w:spacing w:line="600" w:lineRule="exact"/>
        <w:ind w:firstLine="640"/>
        <w:rPr>
          <w:rFonts w:hint="eastAsia" w:ascii="仿宋_GB2312" w:eastAsia="仿宋_GB2312"/>
          <w:color w:val="auto"/>
          <w:sz w:val="32"/>
          <w:szCs w:val="32"/>
          <w:lang w:eastAsia="zh-CN"/>
        </w:rPr>
      </w:pPr>
      <w:r>
        <w:rPr>
          <w:rFonts w:ascii="仿宋_GB2312" w:eastAsia="仿宋_GB2312"/>
          <w:b/>
          <w:color w:val="auto"/>
          <w:sz w:val="32"/>
          <w:szCs w:val="32"/>
        </w:rPr>
        <w:t>1.</w:t>
      </w:r>
      <w:r>
        <w:rPr>
          <w:rFonts w:hint="eastAsia" w:ascii="仿宋_GB2312" w:eastAsia="仿宋_GB2312"/>
          <w:b/>
          <w:color w:val="auto"/>
          <w:sz w:val="32"/>
          <w:szCs w:val="32"/>
          <w:lang w:eastAsia="zh-CN"/>
        </w:rPr>
        <w:t>无</w:t>
      </w:r>
      <w:r>
        <w:rPr>
          <w:rFonts w:hint="eastAsia" w:ascii="仿宋_GB2312" w:eastAsia="仿宋_GB2312"/>
          <w:b/>
          <w:color w:val="auto"/>
          <w:sz w:val="32"/>
          <w:szCs w:val="32"/>
        </w:rPr>
        <w:t>因公出国（境）经费支出</w:t>
      </w:r>
      <w:r>
        <w:rPr>
          <w:rFonts w:hint="eastAsia" w:ascii="仿宋_GB2312" w:eastAsia="仿宋_GB2312"/>
          <w:b/>
          <w:color w:val="auto"/>
          <w:sz w:val="32"/>
          <w:szCs w:val="32"/>
          <w:lang w:eastAsia="zh-CN"/>
        </w:rPr>
        <w:t>。</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方正仿宋简体" w:hAnsi="方正仿宋简体" w:eastAsia="方正仿宋简体" w:cs="方正仿宋简体"/>
          <w:color w:val="auto"/>
          <w:sz w:val="32"/>
          <w:szCs w:val="32"/>
          <w:lang w:val="en-US" w:eastAsia="zh-CN"/>
        </w:rPr>
        <w:t>31.31万元，</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31.31</w:t>
      </w:r>
      <w:r>
        <w:rPr>
          <w:rFonts w:hint="eastAsia" w:ascii="仿宋_GB2312" w:eastAsia="仿宋_GB2312"/>
          <w:color w:val="auto"/>
          <w:sz w:val="32"/>
          <w:szCs w:val="32"/>
        </w:rPr>
        <w:t>万元。</w:t>
      </w:r>
      <w:r>
        <w:rPr>
          <w:rFonts w:hint="eastAsia" w:ascii="方正仿宋简体" w:hAnsi="方正仿宋简体" w:eastAsia="方正仿宋简体" w:cs="方正仿宋简体"/>
          <w:color w:val="auto"/>
          <w:sz w:val="32"/>
          <w:szCs w:val="32"/>
          <w:lang w:val="en-US" w:eastAsia="zh-CN"/>
        </w:rPr>
        <w:t>主要原因是新购置的公务用车1辆，购置费24.98万元，10月份后发生新增公务用车保险、洗车、加油等6.33万元。</w:t>
      </w:r>
    </w:p>
    <w:p>
      <w:pPr>
        <w:spacing w:line="600" w:lineRule="exact"/>
        <w:ind w:firstLine="640" w:firstLineChars="200"/>
        <w:rPr>
          <w:rFonts w:hint="eastAsia"/>
          <w:color w:val="auto"/>
          <w:lang w:val="en-US" w:eastAsia="zh-CN"/>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24.98</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24.98</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防汛抗旱、防洪洪抢险、森林防火等应急事项</w:t>
      </w:r>
      <w:r>
        <w:rPr>
          <w:rFonts w:hint="eastAsia" w:ascii="仿宋_GB2312" w:eastAsia="仿宋_GB2312"/>
          <w:color w:val="auto"/>
          <w:sz w:val="32"/>
          <w:szCs w:val="32"/>
        </w:rPr>
        <w:t>。截至</w:t>
      </w:r>
      <w:r>
        <w:rPr>
          <w:rFonts w:ascii="仿宋_GB2312" w:eastAsia="仿宋_GB2312"/>
          <w:color w:val="auto"/>
          <w:sz w:val="32"/>
          <w:szCs w:val="32"/>
        </w:rPr>
        <w:t>2020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方正仿宋简体" w:hAnsi="方正仿宋简体" w:eastAsia="方正仿宋简体" w:cs="方正仿宋简体"/>
          <w:color w:val="auto"/>
          <w:sz w:val="32"/>
          <w:szCs w:val="32"/>
          <w:lang w:val="en-US" w:eastAsia="zh-CN"/>
        </w:rPr>
        <w:t>1.8万元，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方正仿宋简体" w:hAnsi="方正仿宋简体" w:eastAsia="方正仿宋简体" w:cs="方正仿宋简体"/>
          <w:color w:val="auto"/>
          <w:sz w:val="32"/>
          <w:szCs w:val="32"/>
          <w:lang w:val="en-US" w:eastAsia="zh-CN"/>
        </w:rPr>
        <w:t>公务接待费支出决算比2019年降低了3.16万元。主要原因是根据中央规定，减少公务接待开支，节约成本。</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1.8</w:t>
      </w:r>
      <w:r>
        <w:rPr>
          <w:rFonts w:hint="eastAsia" w:ascii="方正仿宋简体" w:hAnsi="方正仿宋简体" w:eastAsia="方正仿宋简体" w:cs="方正仿宋简体"/>
          <w:color w:val="auto"/>
          <w:sz w:val="32"/>
          <w:szCs w:val="32"/>
          <w:lang w:val="en-US" w:eastAsia="zh-CN"/>
        </w:rPr>
        <w:t>万元，主要用于公务、开展业务活动开支的用餐费等。国内公务接待15批次，190人次，共计支出1.8万元。</w:t>
      </w:r>
      <w:bookmarkStart w:id="46" w:name="_Toc15377218"/>
      <w:bookmarkStart w:id="47" w:name="_Toc15396610"/>
    </w:p>
    <w:p>
      <w:pPr>
        <w:spacing w:line="600"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6"/>
      <w:bookmarkEnd w:id="47"/>
    </w:p>
    <w:p>
      <w:pPr>
        <w:widowControl/>
        <w:shd w:val="clear" w:color="auto" w:fill="FFFFFF"/>
        <w:spacing w:line="576"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2020年政府性基金预算拨款支出100万元。</w:t>
      </w:r>
    </w:p>
    <w:p>
      <w:pPr>
        <w:numPr>
          <w:ilvl w:val="0"/>
          <w:numId w:val="2"/>
        </w:numPr>
        <w:spacing w:line="600" w:lineRule="exact"/>
        <w:ind w:firstLine="640"/>
        <w:outlineLvl w:val="1"/>
        <w:rPr>
          <w:rStyle w:val="28"/>
          <w:rFonts w:ascii="黑体" w:hAnsi="黑体" w:eastAsia="黑体"/>
          <w:b w:val="0"/>
          <w:color w:val="auto"/>
        </w:rPr>
      </w:pPr>
      <w:bookmarkStart w:id="48" w:name="_Toc15396611"/>
      <w:bookmarkStart w:id="49" w:name="_Toc15377219"/>
      <w:r>
        <w:rPr>
          <w:rStyle w:val="28"/>
          <w:rFonts w:hint="eastAsia" w:ascii="黑体" w:hAnsi="黑体" w:eastAsia="黑体"/>
          <w:b w:val="0"/>
          <w:color w:val="auto"/>
        </w:rPr>
        <w:t>国有资本经营预算支出决算情况说明</w:t>
      </w:r>
      <w:bookmarkEnd w:id="48"/>
      <w:bookmarkEnd w:id="49"/>
    </w:p>
    <w:p>
      <w:pPr>
        <w:widowControl/>
        <w:shd w:val="clear" w:color="auto" w:fill="FFFFFF"/>
        <w:spacing w:line="576"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2020年国有资本经营预算拨款支出0万元。</w:t>
      </w:r>
    </w:p>
    <w:p>
      <w:pPr>
        <w:spacing w:line="600" w:lineRule="exact"/>
        <w:ind w:firstLine="800" w:firstLineChars="250"/>
        <w:outlineLvl w:val="1"/>
        <w:rPr>
          <w:rStyle w:val="28"/>
          <w:rFonts w:ascii="黑体" w:hAnsi="黑体" w:eastAsia="黑体"/>
          <w:color w:val="auto"/>
        </w:rPr>
      </w:pPr>
      <w:bookmarkStart w:id="50" w:name="_Toc15396612"/>
      <w:bookmarkStart w:id="51" w:name="_Toc15377221"/>
      <w:r>
        <w:rPr>
          <w:rFonts w:hint="eastAsia" w:ascii="黑体" w:hAnsi="黑体" w:eastAsia="黑体"/>
          <w:color w:val="auto"/>
          <w:sz w:val="32"/>
          <w:szCs w:val="32"/>
        </w:rPr>
        <w:t>十</w:t>
      </w:r>
      <w:r>
        <w:rPr>
          <w:rStyle w:val="28"/>
          <w:rFonts w:hint="eastAsia" w:ascii="黑体" w:hAnsi="黑体" w:eastAsia="黑体"/>
          <w:color w:val="auto"/>
        </w:rPr>
        <w:t>、</w:t>
      </w:r>
      <w:r>
        <w:rPr>
          <w:rStyle w:val="28"/>
          <w:rFonts w:hint="eastAsia" w:ascii="黑体" w:hAnsi="黑体" w:eastAsia="黑体"/>
          <w:b w:val="0"/>
          <w:color w:val="auto"/>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rPr>
      </w:pPr>
      <w:bookmarkStart w:id="52" w:name="_Toc15377222"/>
      <w:r>
        <w:rPr>
          <w:rFonts w:hint="eastAsia" w:ascii="仿宋" w:hAnsi="仿宋" w:eastAsia="仿宋"/>
          <w:b/>
          <w:color w:val="auto"/>
          <w:sz w:val="32"/>
          <w:szCs w:val="32"/>
        </w:rPr>
        <w:t>（一）机关运行经费支出情况</w:t>
      </w:r>
      <w:bookmarkEnd w:id="52"/>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2020年，河西街道机关运行经费支出257.72万元，比2019年124.94万元增加132.78万元，增长51.52%。主要原因是去年财政应返还额度多。</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3" w:name="_Toc15377223"/>
      <w:r>
        <w:rPr>
          <w:rFonts w:hint="eastAsia" w:ascii="仿宋" w:hAnsi="仿宋" w:eastAsia="仿宋"/>
          <w:b/>
          <w:color w:val="auto"/>
          <w:sz w:val="32"/>
          <w:szCs w:val="32"/>
        </w:rPr>
        <w:t>（二）政府采购支出情况</w:t>
      </w:r>
      <w:bookmarkEnd w:id="53"/>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2020年，河西街道政府采购支出总额24.98万元，其中：政府采购货物支出24.98万元。主要用于政府应急车辆购置。</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截至2020年12月31日，河西街道共有车辆1辆，</w:t>
      </w:r>
      <w:r>
        <w:rPr>
          <w:rFonts w:hint="eastAsia" w:ascii="仿宋_GB2312" w:eastAsia="仿宋_GB2312"/>
          <w:color w:val="auto"/>
          <w:sz w:val="32"/>
          <w:szCs w:val="32"/>
        </w:rPr>
        <w:t>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rPr>
          <w:rFonts w:ascii="仿宋" w:hAnsi="仿宋" w:eastAsia="仿宋"/>
          <w:b/>
          <w:color w:val="auto"/>
          <w:sz w:val="32"/>
          <w:szCs w:val="32"/>
        </w:rPr>
      </w:pPr>
      <w:r>
        <w:rPr>
          <w:rFonts w:hint="eastAsia" w:ascii="仿宋" w:hAnsi="仿宋" w:eastAsia="仿宋"/>
          <w:b/>
          <w:color w:val="auto"/>
          <w:sz w:val="32"/>
          <w:szCs w:val="32"/>
        </w:rPr>
        <w:t>（注：数据来源财决附</w:t>
      </w:r>
      <w:r>
        <w:rPr>
          <w:rFonts w:ascii="仿宋" w:hAnsi="仿宋" w:eastAsia="仿宋"/>
          <w:b/>
          <w:color w:val="auto"/>
          <w:sz w:val="32"/>
          <w:szCs w:val="32"/>
        </w:rPr>
        <w:t>03</w:t>
      </w:r>
      <w:r>
        <w:rPr>
          <w:rFonts w:hint="eastAsia" w:ascii="仿宋" w:hAnsi="仿宋" w:eastAsia="仿宋"/>
          <w:b/>
          <w:color w:val="auto"/>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根据预算绩效管理要求，本部门（单位）在年初预算编制阶段，组织对18项目（项目名称）开展了预算事前绩效评估，对18个项目编制了绩效目标，预算执行过程中，选取9个项目开展绩效监控，年终执行完毕后，对9个项目开展了绩效目标完成情况自评。</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本部门按要求对2020年部门整体支出开展绩效自评，从评价情况来看，基本能保证机关正常运转，自评得分94分，基本支出保证了部门的正常运行和日常工作的正常开展，项目支出能够保障工作的开展，达到预期绩效目标。本部门还自行组织了5个项目绩效评价，从评价情况来看项目整体支出绩效评价较好，群众满意度高，项目支出基本能够保障工作的开展，达到预期了绩效目标。</w:t>
      </w:r>
    </w:p>
    <w:p>
      <w:pPr>
        <w:numPr>
          <w:ilvl w:val="0"/>
          <w:numId w:val="0"/>
        </w:num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项目绩效目标完成情况。</w:t>
      </w:r>
    </w:p>
    <w:p>
      <w:pPr>
        <w:numPr>
          <w:ilvl w:val="0"/>
          <w:numId w:val="0"/>
        </w:numPr>
        <w:spacing w:line="58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本部门在2020年度部门决算中反映“森林防火””基层武装”“农村义务兵优待金”等18个项目绩效目标实际完成情况。（本单位部门项目绩效目标个数在5个以上的，选取5个项目进行公开，目标个数在5个以下的，全部进行公开，公开内容包括选取的全部项目完成情况综述和完成情况表）。</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义务兵优待金项目绩效目标完成情况综述。项目全年预算数16.63万元，执行数为16.63万元，完成预算的100%。通过项目实施，提高12名农村义务兵家庭生活质量，保证服役人员安心保家卫国，每人领取困难补助13558元，发现的主要问题：因涉及每年有的新增退伍军人收集数据有一定困难。下一步改进措施：提前就辖区内将新增退伍军人人数做好摸底，及时收集数据，保障资金支付的时效性。</w:t>
      </w:r>
    </w:p>
    <w:p>
      <w:pPr>
        <w:spacing w:line="600" w:lineRule="exact"/>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文明劝导员补助项目绩效目标完成情况综述。项目全年预算数37万元，执行数为37万元，完成预算的100%。辖区共设置文明劝导岗35处，聘请50名文明劝导员，每人每月补助600元，意外险每200人、年/元，通过项目实施，提高了群众过马路交通安全意识，降低安全交通事故的发生。发现的主要问题：交通安全意识宣传力度不够，下一步改进措施：制作宣传单让群众多方面了解安全知识。</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基层武装工作经费，项目全年预算数1.5万元，执行数为1.5万元，完成预算的100%。通过项目实施，降低了群众生命和财产损失，全年河西街道参加区上组织的民兵点验、防汛救灾应急训练及水上救援等训练，参与民兵训练41人次，购应急背包及物质1.5万元，兵役登记、征兵宣传广告制作20副，发放应急训练补助29人0.5万元。存在主要问题：群众对基层武装训练知晓度低，民兵训练次数多但因预算经费有限。相关措施建议：加强民兵思想学习，确保民兵训练经费保证，提高基层武装力量。</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森林防火专项经费项目绩效目标完成情况综述。项目全年预算数5.07万元，执行数为5.07万元，完成预算的100%。通过项目实施，制作森林防火宣传广告牌30副，安装森林防火报警器15个，购买防火物资1.5万元，有效防范辖区森林火灾的发生，保护珍稀植物，通过森林防火宣传，提高群众森林防火意识，绿化面积逐年提升。发现的主要问题：群众森林防火意识需进一步加强。下一步改进措施：加强森林防火宣传，创新宣传方式方法。</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大调解工作经费项目目标完成情况综述。项目全年预算数2.9万元，执行数为2.9万元，完成预算的100%。通过项目实施，将群众矛盾化解在基层，维护辖区社会和谐稳定，发现的问题：群众法律意识淡薄，存在缠访、闹访，调解工作经费不足，下一步措施增强群众法律意识，创新群众矛盾解决办法。</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83"/>
        <w:gridCol w:w="1284"/>
        <w:gridCol w:w="1025"/>
        <w:gridCol w:w="117"/>
        <w:gridCol w:w="2275"/>
        <w:gridCol w:w="2394"/>
        <w:gridCol w:w="2392"/>
      </w:tblGrid>
      <w:tr>
        <w:tblPrEx>
          <w:tblCellMar>
            <w:top w:w="0" w:type="dxa"/>
            <w:left w:w="0" w:type="dxa"/>
            <w:bottom w:w="0" w:type="dxa"/>
            <w:right w:w="0" w:type="dxa"/>
          </w:tblCellMar>
        </w:tblPrEx>
        <w:trPr>
          <w:trHeight w:val="1034" w:hRule="atLeast"/>
        </w:trPr>
        <w:tc>
          <w:tcPr>
            <w:tcW w:w="9960" w:type="dxa"/>
            <w:gridSpan w:val="8"/>
            <w:noWrap w:val="0"/>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 xml:space="preserve"> 年度</w:t>
            </w:r>
            <w:r>
              <w:rPr>
                <w:rFonts w:hint="eastAsia" w:ascii="宋体" w:hAnsi="宋体" w:cs="宋体"/>
                <w:color w:val="auto"/>
                <w:kern w:val="0"/>
                <w:sz w:val="36"/>
                <w:szCs w:val="36"/>
                <w:lang w:eastAsia="zh-CN" w:bidi="ar"/>
              </w:rPr>
              <w:t>）</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河西街道</w:t>
            </w:r>
            <w:r>
              <w:rPr>
                <w:rFonts w:hint="eastAsia" w:ascii="宋体" w:hAnsi="宋体" w:cs="宋体"/>
                <w:color w:val="auto"/>
                <w:sz w:val="24"/>
              </w:rPr>
              <w:t>部门</w:t>
            </w:r>
            <w:r>
              <w:rPr>
                <w:rFonts w:hint="eastAsia" w:ascii="宋体" w:hAnsi="宋体" w:cs="宋体"/>
                <w:color w:val="auto"/>
                <w:sz w:val="24"/>
                <w:lang w:eastAsia="zh-CN"/>
              </w:rPr>
              <w:t>项目</w:t>
            </w:r>
            <w:r>
              <w:rPr>
                <w:rFonts w:hint="eastAsia" w:ascii="宋体" w:hAnsi="宋体" w:cs="宋体"/>
                <w:color w:val="auto"/>
                <w:sz w:val="24"/>
              </w:rPr>
              <w:t>整体支出绩效目标</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河西街道</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147.9972万元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147.9972万元</w:t>
            </w:r>
          </w:p>
        </w:tc>
      </w:tr>
      <w:tr>
        <w:tblPrEx>
          <w:tblCellMar>
            <w:top w:w="0" w:type="dxa"/>
            <w:left w:w="0" w:type="dxa"/>
            <w:bottom w:w="0" w:type="dxa"/>
            <w:right w:w="0" w:type="dxa"/>
          </w:tblCellMar>
        </w:tblPrEx>
        <w:trPr>
          <w:trHeight w:val="276"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147.9972万元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147.9972万元</w:t>
            </w:r>
          </w:p>
        </w:tc>
      </w:tr>
      <w:tr>
        <w:tblPrEx>
          <w:tblCellMar>
            <w:top w:w="0" w:type="dxa"/>
            <w:left w:w="0" w:type="dxa"/>
            <w:bottom w:w="0" w:type="dxa"/>
            <w:right w:w="0" w:type="dxa"/>
          </w:tblCellMar>
        </w:tblPrEx>
        <w:trPr>
          <w:trHeight w:val="151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仿宋" w:hAnsi="仿宋" w:eastAsia="仿宋" w:cs="仿宋"/>
                <w:color w:val="auto"/>
                <w:sz w:val="24"/>
                <w:szCs w:val="24"/>
              </w:rPr>
              <w:t>目标1：宣传各项法律政策，增强全民法治观念，推进法治社会建设；目标2：发展老年人活动事业，增强老年体质，实现老有所乐。提高群众的法律意识，增强全民法治观念；目标3:文明劝导活动对进一步规范市民交通行为，增强市民公德意识，提高市民文明素质和城市文明程度，都起到了积极的促进作用。增加辖区下岗失业人员、“零就业家庭”人员等特殊群体的就业，提高他们家庭的生活水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目标4：对辖区公路、路灯、绿化进行维修维护，减少道路安全隐患。目标5：提高农村义务兵家庭生活质量，保证服役人员安心保家卫国；目标6：将矛盾化解在基层，维护社会和谐稳定；目标7：保证党代会、人代会及代表工作正常开展，代表会议，不少于2次/年。目标8：提高80岁老党员生活的幸福指数，安度晚年；目标9：强化管理，落实防护责任，加强森林防火宣传、培训，保障辖区林区无火灾事故；目标10：保证远程教育站点正常运转；目标11：保障优生优育，技术服务工作顺利进行。目标12：提高劳模生活质量；目标13：加强杨家岩煤矿原退休职工管理，关心慰问特殊困难退休职工，保障退休职工生活质量；目标14：保障政府办公正常运转，营造安全工作环境；目标15：保障政府工作正常运转；目标16：建设视频会议系统，保证视频会议能够正常、稳定运行；目标17：保障协调工业园区项目正常运转；目标19：保证辖区征兵工作宣传，民兵应急训练正常开展，民兵训练不少于4次。</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仿宋" w:hAnsi="仿宋" w:eastAsia="仿宋" w:cs="仿宋"/>
                <w:color w:val="auto"/>
                <w:sz w:val="24"/>
                <w:szCs w:val="24"/>
              </w:rPr>
              <w:t>目标1：宣传各项法律政策，增强全民法治观念，推进法治社会建设；目标2：发展老年人活动事业，增强老年体质，实现老有所乐。提高群众的法律意识，增强全民法治观念；目标3:文明劝导活动对进一步规范市民交通行为，增强市民公德意识，提高市民文明素质和城市文明程度，都起到了积极的促进作用。增加辖区下岗失业人员、“零就业家庭”人员等特殊群体的就业，提高他们家庭的生活水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目标4：对辖区公路、路灯、绿化进行维修维护，减少道路安全隐患。目标5：提高农村义务兵家庭生活质量，保证服役人员安心保家卫国；目标6：将矛盾化解在基层，维护社会和谐稳定；目标7：保证党代会、人代会及代表工作正常开展，代表会议，不少于2次/年。目标8：提高80岁老党员生活的幸福指数，安度晚年；目标9：强化管理，落实防护责任，加强森林防火宣传、培训，保障辖区林区无火灾事故；目标10：保证远程教育站点正常运转；目标11:保障优生优育，技术服务工作顺利进行。目标12：提高劳模生活质量；目标13：加强杨家岩煤矿原退休职工管理，关心慰问特殊困难退休职工，保障退休职工生活质量；目标14：保障政府办公正常运转，营造安全工作环境；目标15：保障政府工作正常运转；目标16：建设视频会议系统，保证视频会议能够正常、稳定运行；目标17：保障协调工业园区项目正常运转；目标19：保证辖区征兵工作宣传，民兵应急训练正常开展，民兵训练不少于4次。</w:t>
            </w:r>
          </w:p>
        </w:tc>
      </w:tr>
      <w:tr>
        <w:tblPrEx>
          <w:tblCellMar>
            <w:top w:w="0" w:type="dxa"/>
            <w:left w:w="0" w:type="dxa"/>
            <w:bottom w:w="0" w:type="dxa"/>
            <w:right w:w="0" w:type="dxa"/>
          </w:tblCellMar>
        </w:tblPrEx>
        <w:trPr>
          <w:trHeight w:val="1042"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农村义务兵</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全年</w:t>
            </w:r>
            <w:r>
              <w:rPr>
                <w:rFonts w:hint="eastAsia" w:ascii="宋体" w:hAnsi="宋体" w:cs="宋体"/>
                <w:color w:val="auto"/>
                <w:sz w:val="24"/>
              </w:rPr>
              <w:t>入伍1</w:t>
            </w:r>
            <w:r>
              <w:rPr>
                <w:rFonts w:hint="eastAsia" w:ascii="宋体" w:hAnsi="宋体" w:cs="宋体"/>
                <w:color w:val="auto"/>
                <w:sz w:val="24"/>
                <w:lang w:val="en-US" w:eastAsia="zh-CN"/>
              </w:rPr>
              <w:t>2</w:t>
            </w:r>
            <w:r>
              <w:rPr>
                <w:rFonts w:hint="eastAsia" w:ascii="宋体" w:hAnsi="宋体" w:cs="宋体"/>
                <w:color w:val="auto"/>
                <w:sz w:val="24"/>
              </w:rPr>
              <w:t>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全年</w:t>
            </w:r>
            <w:r>
              <w:rPr>
                <w:rFonts w:hint="eastAsia" w:ascii="宋体" w:hAnsi="宋体" w:cs="宋体"/>
                <w:color w:val="auto"/>
                <w:sz w:val="24"/>
              </w:rPr>
              <w:t>入伍1</w:t>
            </w:r>
            <w:r>
              <w:rPr>
                <w:rFonts w:hint="eastAsia" w:ascii="宋体" w:hAnsi="宋体" w:cs="宋体"/>
                <w:color w:val="auto"/>
                <w:sz w:val="24"/>
                <w:lang w:val="en-US" w:eastAsia="zh-CN"/>
              </w:rPr>
              <w:t>2</w:t>
            </w:r>
            <w:r>
              <w:rPr>
                <w:rFonts w:hint="eastAsia" w:ascii="宋体" w:hAnsi="宋体" w:cs="宋体"/>
                <w:color w:val="auto"/>
                <w:sz w:val="24"/>
              </w:rPr>
              <w:t>人</w:t>
            </w:r>
          </w:p>
        </w:tc>
      </w:tr>
      <w:tr>
        <w:tblPrEx>
          <w:tblCellMar>
            <w:top w:w="0" w:type="dxa"/>
            <w:left w:w="0" w:type="dxa"/>
            <w:bottom w:w="0" w:type="dxa"/>
            <w:right w:w="0" w:type="dxa"/>
          </w:tblCellMar>
        </w:tblPrEx>
        <w:trPr>
          <w:trHeight w:val="1297"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设置文明劝导岗</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35</w:t>
            </w:r>
            <w:r>
              <w:rPr>
                <w:rFonts w:hint="eastAsia" w:ascii="宋体" w:hAnsi="宋体" w:cs="宋体"/>
                <w:color w:val="auto"/>
                <w:sz w:val="24"/>
              </w:rPr>
              <w:t>处，</w:t>
            </w:r>
            <w:r>
              <w:rPr>
                <w:rFonts w:hint="eastAsia" w:ascii="宋体" w:hAnsi="宋体" w:cs="宋体"/>
                <w:color w:val="auto"/>
                <w:sz w:val="24"/>
                <w:lang w:val="en-US" w:eastAsia="zh-CN"/>
              </w:rPr>
              <w:t>50</w:t>
            </w:r>
            <w:r>
              <w:rPr>
                <w:rFonts w:hint="eastAsia" w:ascii="宋体" w:hAnsi="宋体" w:cs="宋体"/>
                <w:color w:val="auto"/>
                <w:sz w:val="24"/>
              </w:rPr>
              <w:t>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35</w:t>
            </w:r>
            <w:r>
              <w:rPr>
                <w:rFonts w:hint="eastAsia" w:ascii="宋体" w:hAnsi="宋体" w:cs="宋体"/>
                <w:color w:val="auto"/>
                <w:sz w:val="24"/>
              </w:rPr>
              <w:t>处，</w:t>
            </w:r>
            <w:r>
              <w:rPr>
                <w:rFonts w:hint="eastAsia" w:ascii="宋体" w:hAnsi="宋体" w:cs="宋体"/>
                <w:color w:val="auto"/>
                <w:sz w:val="24"/>
                <w:lang w:val="en-US" w:eastAsia="zh-CN"/>
              </w:rPr>
              <w:t>50</w:t>
            </w:r>
            <w:r>
              <w:rPr>
                <w:rFonts w:hint="eastAsia" w:ascii="宋体" w:hAnsi="宋体" w:cs="宋体"/>
                <w:color w:val="auto"/>
                <w:sz w:val="24"/>
              </w:rPr>
              <w:t>人</w:t>
            </w:r>
          </w:p>
        </w:tc>
      </w:tr>
      <w:tr>
        <w:tblPrEx>
          <w:tblCellMar>
            <w:top w:w="0" w:type="dxa"/>
            <w:left w:w="0" w:type="dxa"/>
            <w:bottom w:w="0" w:type="dxa"/>
            <w:right w:w="0" w:type="dxa"/>
          </w:tblCellMar>
        </w:tblPrEx>
        <w:trPr>
          <w:trHeight w:val="1042"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民兵应急训练，购应急训练背包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全年</w:t>
            </w:r>
            <w:r>
              <w:rPr>
                <w:rFonts w:hint="eastAsia" w:ascii="宋体" w:hAnsi="宋体" w:cs="宋体"/>
                <w:color w:val="auto"/>
                <w:sz w:val="24"/>
                <w:lang w:eastAsia="zh-CN"/>
              </w:rPr>
              <w:t>参加民兵应</w:t>
            </w:r>
            <w:r>
              <w:rPr>
                <w:rFonts w:hint="eastAsia" w:ascii="宋体" w:hAnsi="宋体" w:cs="宋体"/>
                <w:b w:val="0"/>
                <w:bCs w:val="0"/>
                <w:color w:val="auto"/>
                <w:sz w:val="24"/>
                <w:lang w:eastAsia="zh-CN"/>
              </w:rPr>
              <w:t>急</w:t>
            </w:r>
            <w:r>
              <w:rPr>
                <w:rFonts w:hint="eastAsia" w:ascii="宋体" w:hAnsi="宋体" w:cs="宋体"/>
                <w:b w:val="0"/>
                <w:bCs w:val="0"/>
                <w:color w:val="auto"/>
                <w:sz w:val="24"/>
              </w:rPr>
              <w:t>训练不少于2次，购置</w:t>
            </w:r>
            <w:r>
              <w:rPr>
                <w:rFonts w:hint="eastAsia" w:ascii="宋体" w:hAnsi="宋体" w:cs="宋体"/>
                <w:color w:val="auto"/>
                <w:sz w:val="24"/>
              </w:rPr>
              <w:t>训练背包</w:t>
            </w:r>
            <w:r>
              <w:rPr>
                <w:rFonts w:hint="eastAsia" w:ascii="宋体" w:hAnsi="宋体" w:cs="宋体"/>
                <w:color w:val="auto"/>
                <w:sz w:val="24"/>
                <w:lang w:val="en-US" w:eastAsia="zh-CN"/>
              </w:rPr>
              <w:t>30</w:t>
            </w:r>
            <w:r>
              <w:rPr>
                <w:rFonts w:hint="eastAsia" w:ascii="宋体" w:hAnsi="宋体" w:cs="宋体"/>
                <w:color w:val="auto"/>
                <w:sz w:val="24"/>
              </w:rPr>
              <w:t>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b w:val="0"/>
                <w:bCs w:val="0"/>
                <w:color w:val="auto"/>
                <w:sz w:val="24"/>
              </w:rPr>
              <w:t>全年</w:t>
            </w:r>
            <w:r>
              <w:rPr>
                <w:rFonts w:hint="eastAsia" w:ascii="宋体" w:hAnsi="宋体" w:cs="宋体"/>
                <w:b w:val="0"/>
                <w:bCs w:val="0"/>
                <w:color w:val="auto"/>
                <w:sz w:val="24"/>
                <w:lang w:eastAsia="zh-CN"/>
              </w:rPr>
              <w:t>参加民兵应急</w:t>
            </w:r>
            <w:r>
              <w:rPr>
                <w:rFonts w:hint="eastAsia" w:ascii="宋体" w:hAnsi="宋体" w:cs="宋体"/>
                <w:b w:val="0"/>
                <w:bCs w:val="0"/>
                <w:color w:val="auto"/>
                <w:sz w:val="24"/>
              </w:rPr>
              <w:t>训练不少于2次，购置训练背包</w:t>
            </w:r>
            <w:r>
              <w:rPr>
                <w:rFonts w:hint="eastAsia" w:ascii="宋体" w:hAnsi="宋体" w:cs="宋体"/>
                <w:b w:val="0"/>
                <w:bCs w:val="0"/>
                <w:color w:val="auto"/>
                <w:sz w:val="24"/>
                <w:lang w:val="en-US" w:eastAsia="zh-CN"/>
              </w:rPr>
              <w:t>30</w:t>
            </w:r>
            <w:r>
              <w:rPr>
                <w:rFonts w:hint="eastAsia" w:ascii="宋体" w:hAnsi="宋体" w:cs="宋体"/>
                <w:b w:val="0"/>
                <w:bCs w:val="0"/>
                <w:color w:val="auto"/>
                <w:sz w:val="24"/>
              </w:rPr>
              <w:t>套</w:t>
            </w:r>
          </w:p>
        </w:tc>
      </w:tr>
      <w:tr>
        <w:tblPrEx>
          <w:tblCellMar>
            <w:top w:w="0" w:type="dxa"/>
            <w:left w:w="0" w:type="dxa"/>
            <w:bottom w:w="0" w:type="dxa"/>
            <w:right w:w="0" w:type="dxa"/>
          </w:tblCellMar>
        </w:tblPrEx>
        <w:trPr>
          <w:trHeight w:val="1042"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森林防火培训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全年</w:t>
            </w:r>
            <w:r>
              <w:rPr>
                <w:rFonts w:hint="eastAsia" w:ascii="宋体" w:hAnsi="宋体" w:cs="宋体"/>
                <w:color w:val="auto"/>
                <w:sz w:val="24"/>
                <w:lang w:eastAsia="zh-CN"/>
              </w:rPr>
              <w:t>开展</w:t>
            </w:r>
            <w:r>
              <w:rPr>
                <w:rFonts w:hint="eastAsia" w:ascii="宋体" w:hAnsi="宋体" w:cs="宋体"/>
                <w:color w:val="auto"/>
                <w:sz w:val="24"/>
              </w:rPr>
              <w:t>护林防火培训2次，护林员防火培训</w:t>
            </w:r>
            <w:r>
              <w:rPr>
                <w:rFonts w:hint="eastAsia" w:ascii="宋体" w:hAnsi="宋体" w:cs="宋体"/>
                <w:color w:val="auto"/>
                <w:sz w:val="24"/>
                <w:lang w:val="en-US" w:eastAsia="zh-CN"/>
              </w:rPr>
              <w:t>36</w:t>
            </w:r>
            <w:r>
              <w:rPr>
                <w:rFonts w:hint="eastAsia" w:ascii="宋体" w:hAnsi="宋体" w:cs="宋体"/>
                <w:color w:val="auto"/>
                <w:sz w:val="24"/>
              </w:rPr>
              <w:t>人次，购防火设备及物资</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全年</w:t>
            </w:r>
            <w:r>
              <w:rPr>
                <w:rFonts w:hint="eastAsia" w:ascii="宋体" w:hAnsi="宋体" w:cs="宋体"/>
                <w:color w:val="auto"/>
                <w:sz w:val="24"/>
                <w:lang w:eastAsia="zh-CN"/>
              </w:rPr>
              <w:t>开展</w:t>
            </w:r>
            <w:r>
              <w:rPr>
                <w:rFonts w:hint="eastAsia" w:ascii="宋体" w:hAnsi="宋体" w:cs="宋体"/>
                <w:color w:val="auto"/>
                <w:sz w:val="24"/>
              </w:rPr>
              <w:t>护林防火培训2次，护林员防火培训</w:t>
            </w:r>
            <w:r>
              <w:rPr>
                <w:rFonts w:hint="eastAsia" w:ascii="宋体" w:hAnsi="宋体" w:cs="宋体"/>
                <w:color w:val="auto"/>
                <w:sz w:val="24"/>
                <w:lang w:val="en-US" w:eastAsia="zh-CN"/>
              </w:rPr>
              <w:t>36</w:t>
            </w:r>
            <w:r>
              <w:rPr>
                <w:rFonts w:hint="eastAsia" w:ascii="宋体" w:hAnsi="宋体" w:cs="宋体"/>
                <w:color w:val="auto"/>
                <w:sz w:val="24"/>
              </w:rPr>
              <w:t>人次，购防火设备及物资</w:t>
            </w:r>
          </w:p>
        </w:tc>
      </w:tr>
      <w:tr>
        <w:tblPrEx>
          <w:tblCellMar>
            <w:top w:w="0" w:type="dxa"/>
            <w:left w:w="0" w:type="dxa"/>
            <w:bottom w:w="0" w:type="dxa"/>
            <w:right w:w="0" w:type="dxa"/>
          </w:tblCellMar>
        </w:tblPrEx>
        <w:trPr>
          <w:trHeight w:val="1042"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矛盾调解</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调解人民矛盾、上访、缠访10人次以上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调解人民矛盾、上访、缠访10人次以上</w:t>
            </w:r>
          </w:p>
        </w:tc>
      </w:tr>
      <w:tr>
        <w:tblPrEx>
          <w:tblCellMar>
            <w:top w:w="0" w:type="dxa"/>
            <w:left w:w="0" w:type="dxa"/>
            <w:bottom w:w="0" w:type="dxa"/>
            <w:right w:w="0" w:type="dxa"/>
          </w:tblCellMar>
        </w:tblPrEx>
        <w:trPr>
          <w:trHeight w:val="90"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86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经济效益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推动辖区内经济有序发展</w:t>
            </w:r>
          </w:p>
        </w:tc>
      </w:tr>
      <w:tr>
        <w:tblPrEx>
          <w:tblCellMar>
            <w:top w:w="0" w:type="dxa"/>
            <w:left w:w="0" w:type="dxa"/>
            <w:bottom w:w="0" w:type="dxa"/>
            <w:right w:w="0" w:type="dxa"/>
          </w:tblCellMar>
        </w:tblPrEx>
        <w:trPr>
          <w:trHeight w:val="632"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保家卫国</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保障社会和谐稳定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保障社会和谐稳定</w:t>
            </w:r>
          </w:p>
        </w:tc>
      </w:tr>
      <w:tr>
        <w:tblPrEx>
          <w:tblCellMar>
            <w:top w:w="0" w:type="dxa"/>
            <w:left w:w="0" w:type="dxa"/>
            <w:bottom w:w="0" w:type="dxa"/>
            <w:right w:w="0" w:type="dxa"/>
          </w:tblCellMar>
        </w:tblPrEx>
        <w:trPr>
          <w:trHeight w:val="976"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增强群众交通安全意识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保障群众安全通行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p>
          <w:p>
            <w:pPr>
              <w:widowControl/>
              <w:jc w:val="center"/>
              <w:textAlignment w:val="center"/>
              <w:rPr>
                <w:rFonts w:ascii="宋体" w:hAnsi="宋体" w:cs="宋体"/>
                <w:color w:val="auto"/>
                <w:sz w:val="24"/>
              </w:rPr>
            </w:pPr>
            <w:r>
              <w:rPr>
                <w:rFonts w:hint="eastAsia" w:ascii="宋体" w:hAnsi="宋体" w:cs="宋体"/>
                <w:color w:val="auto"/>
                <w:sz w:val="24"/>
                <w:lang w:eastAsia="zh-CN"/>
              </w:rPr>
              <w:t>保障群众安全通行</w:t>
            </w:r>
          </w:p>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297"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减少群众生命和财产安全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增强基层民兵应急救援能力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增强基层民兵应急救援能力</w:t>
            </w:r>
          </w:p>
        </w:tc>
      </w:tr>
      <w:tr>
        <w:tblPrEx>
          <w:tblCellMar>
            <w:top w:w="0" w:type="dxa"/>
            <w:left w:w="0" w:type="dxa"/>
            <w:bottom w:w="0" w:type="dxa"/>
            <w:right w:w="0" w:type="dxa"/>
          </w:tblCellMar>
        </w:tblPrEx>
        <w:trPr>
          <w:trHeight w:val="984"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降低森林火灾事故的发生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增强群众防火意识和防范意识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增强群众防火意识和防范意识</w:t>
            </w:r>
          </w:p>
        </w:tc>
      </w:tr>
      <w:tr>
        <w:tblPrEx>
          <w:tblCellMar>
            <w:top w:w="0" w:type="dxa"/>
            <w:left w:w="0" w:type="dxa"/>
            <w:bottom w:w="0" w:type="dxa"/>
            <w:right w:w="0" w:type="dxa"/>
          </w:tblCellMar>
        </w:tblPrEx>
        <w:trPr>
          <w:trHeight w:val="94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社会安定团结</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r>
      <w:tr>
        <w:tblPrEx>
          <w:tblCellMar>
            <w:top w:w="0" w:type="dxa"/>
            <w:left w:w="0" w:type="dxa"/>
            <w:bottom w:w="0" w:type="dxa"/>
            <w:right w:w="0" w:type="dxa"/>
          </w:tblCellMar>
        </w:tblPrEx>
        <w:trPr>
          <w:trHeight w:val="870"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34" w:hRule="atLeast"/>
        </w:trPr>
        <w:tc>
          <w:tcPr>
            <w:tcW w:w="9960" w:type="dxa"/>
            <w:gridSpan w:val="8"/>
            <w:noWrap w:val="0"/>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8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河西街道</w:t>
            </w:r>
            <w:r>
              <w:rPr>
                <w:rFonts w:hint="eastAsia" w:ascii="宋体" w:hAnsi="宋体" w:cs="宋体"/>
                <w:color w:val="auto"/>
                <w:sz w:val="24"/>
              </w:rPr>
              <w:t>农村义务兵优待金项目支出绩效目标</w:t>
            </w:r>
          </w:p>
        </w:tc>
      </w:tr>
      <w:tr>
        <w:tblPrEx>
          <w:tblCellMar>
            <w:top w:w="0" w:type="dxa"/>
            <w:left w:w="0" w:type="dxa"/>
            <w:bottom w:w="0" w:type="dxa"/>
            <w:right w:w="0" w:type="dxa"/>
          </w:tblCellMar>
        </w:tblPrEx>
        <w:trPr>
          <w:trHeight w:val="276" w:hRule="atLeast"/>
        </w:trPr>
        <w:tc>
          <w:tcPr>
            <w:tcW w:w="28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河西街道</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16.63</w:t>
            </w:r>
            <w:r>
              <w:rPr>
                <w:rFonts w:hint="eastAsia" w:ascii="宋体" w:hAnsi="宋体" w:cs="宋体"/>
                <w:color w:val="auto"/>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16.63</w:t>
            </w:r>
            <w:r>
              <w:rPr>
                <w:rFonts w:hint="eastAsia" w:ascii="宋体" w:hAnsi="宋体" w:cs="宋体"/>
                <w:color w:val="auto"/>
                <w:sz w:val="24"/>
                <w:lang w:eastAsia="zh-CN"/>
              </w:rPr>
              <w:t>万元</w:t>
            </w:r>
          </w:p>
        </w:tc>
      </w:tr>
      <w:tr>
        <w:tblPrEx>
          <w:tblCellMar>
            <w:top w:w="0" w:type="dxa"/>
            <w:left w:w="0" w:type="dxa"/>
            <w:bottom w:w="0" w:type="dxa"/>
            <w:right w:w="0" w:type="dxa"/>
          </w:tblCellMar>
        </w:tblPrEx>
        <w:trPr>
          <w:trHeight w:val="276"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16.63</w:t>
            </w:r>
            <w:r>
              <w:rPr>
                <w:rFonts w:hint="eastAsia" w:ascii="宋体" w:hAnsi="宋体" w:cs="宋体"/>
                <w:color w:val="auto"/>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16.63</w:t>
            </w:r>
            <w:r>
              <w:rPr>
                <w:rFonts w:hint="eastAsia" w:ascii="宋体" w:hAnsi="宋体" w:cs="宋体"/>
                <w:color w:val="auto"/>
                <w:sz w:val="24"/>
                <w:lang w:eastAsia="zh-CN"/>
              </w:rPr>
              <w:t>万元</w:t>
            </w:r>
          </w:p>
        </w:tc>
      </w:tr>
      <w:tr>
        <w:tblPrEx>
          <w:tblCellMar>
            <w:top w:w="0" w:type="dxa"/>
            <w:left w:w="0" w:type="dxa"/>
            <w:bottom w:w="0" w:type="dxa"/>
            <w:right w:w="0" w:type="dxa"/>
          </w:tblCellMar>
        </w:tblPrEx>
        <w:trPr>
          <w:trHeight w:val="151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提高农村义务兵家庭生活质量，保证服役人员安心保家卫国</w:t>
            </w:r>
            <w:r>
              <w:rPr>
                <w:rFonts w:hint="eastAsia" w:ascii="宋体" w:hAnsi="宋体" w:cs="宋体"/>
                <w:color w:val="auto"/>
                <w:sz w:val="24"/>
                <w:lang w:eastAsia="zh-CN"/>
              </w:rPr>
              <w:t>。</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提高农村义务兵家庭生活质量，保证服役人员安心保家卫国</w:t>
            </w:r>
            <w:r>
              <w:rPr>
                <w:rFonts w:hint="eastAsia" w:ascii="宋体" w:hAnsi="宋体" w:cs="宋体"/>
                <w:color w:val="auto"/>
                <w:sz w:val="24"/>
                <w:lang w:eastAsia="zh-CN"/>
              </w:rPr>
              <w:t>。</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687"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100%覆盖辖区内所有符合条件的义务兵享受生活补助。</w:t>
            </w:r>
          </w:p>
        </w:tc>
      </w:tr>
      <w:tr>
        <w:tblPrEx>
          <w:tblCellMar>
            <w:top w:w="0" w:type="dxa"/>
            <w:left w:w="0" w:type="dxa"/>
            <w:bottom w:w="0" w:type="dxa"/>
            <w:right w:w="0" w:type="dxa"/>
          </w:tblCellMar>
        </w:tblPrEx>
        <w:trPr>
          <w:trHeight w:val="747"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79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及时有效解决</w:t>
            </w:r>
            <w:r>
              <w:rPr>
                <w:rFonts w:hint="eastAsia" w:ascii="宋体" w:hAnsi="宋体" w:cs="宋体"/>
                <w:color w:val="auto"/>
                <w:sz w:val="24"/>
                <w:lang w:eastAsia="zh-CN"/>
              </w:rPr>
              <w:t>辖区内义务兵</w:t>
            </w:r>
            <w:r>
              <w:rPr>
                <w:rFonts w:hint="eastAsia" w:ascii="宋体" w:hAnsi="宋体" w:cs="宋体"/>
                <w:color w:val="auto"/>
                <w:sz w:val="24"/>
              </w:rPr>
              <w:t>生活补助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及时有效解决</w:t>
            </w:r>
            <w:r>
              <w:rPr>
                <w:rFonts w:hint="eastAsia" w:ascii="宋体" w:hAnsi="宋体" w:cs="宋体"/>
                <w:color w:val="auto"/>
                <w:sz w:val="24"/>
                <w:lang w:eastAsia="zh-CN"/>
              </w:rPr>
              <w:t>辖区内义务兵</w:t>
            </w:r>
            <w:r>
              <w:rPr>
                <w:rFonts w:hint="eastAsia" w:ascii="宋体" w:hAnsi="宋体" w:cs="宋体"/>
                <w:color w:val="auto"/>
                <w:sz w:val="24"/>
              </w:rPr>
              <w:t>生活补助</w:t>
            </w:r>
          </w:p>
        </w:tc>
      </w:tr>
      <w:tr>
        <w:tblPrEx>
          <w:tblCellMar>
            <w:top w:w="0" w:type="dxa"/>
            <w:left w:w="0" w:type="dxa"/>
            <w:bottom w:w="0" w:type="dxa"/>
            <w:right w:w="0" w:type="dxa"/>
          </w:tblCellMar>
        </w:tblPrEx>
        <w:trPr>
          <w:trHeight w:val="782"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经济效益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r>
      <w:tr>
        <w:tblPrEx>
          <w:tblCellMar>
            <w:top w:w="0" w:type="dxa"/>
            <w:left w:w="0" w:type="dxa"/>
            <w:bottom w:w="0" w:type="dxa"/>
            <w:right w:w="0" w:type="dxa"/>
          </w:tblCellMar>
        </w:tblPrEx>
        <w:trPr>
          <w:trHeight w:val="674"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社会安定团结</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r>
      <w:tr>
        <w:tblPrEx>
          <w:tblCellMar>
            <w:top w:w="0" w:type="dxa"/>
            <w:left w:w="0" w:type="dxa"/>
            <w:bottom w:w="0" w:type="dxa"/>
            <w:right w:w="0" w:type="dxa"/>
          </w:tblCellMar>
        </w:tblPrEx>
        <w:trPr>
          <w:trHeight w:val="773"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276" w:hRule="atLeast"/>
        </w:trPr>
        <w:tc>
          <w:tcPr>
            <w:tcW w:w="9960" w:type="dxa"/>
            <w:gridSpan w:val="8"/>
            <w:noWrap w:val="0"/>
            <w:tcMar>
              <w:top w:w="15" w:type="dxa"/>
              <w:left w:w="15" w:type="dxa"/>
              <w:bottom w:w="0" w:type="dxa"/>
              <w:right w:w="15" w:type="dxa"/>
            </w:tcMar>
            <w:vAlign w:val="center"/>
          </w:tcPr>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文明劝导员补助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河西街道</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37</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78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szCs w:val="24"/>
                      <w:lang w:eastAsia="zh-CN"/>
                    </w:rPr>
                    <w:t>倡导群心文明出行，</w:t>
                  </w:r>
                  <w:r>
                    <w:rPr>
                      <w:rFonts w:hint="eastAsia" w:ascii="仿宋" w:hAnsi="仿宋" w:eastAsia="仿宋" w:cs="仿宋"/>
                      <w:color w:val="auto"/>
                      <w:sz w:val="24"/>
                      <w:szCs w:val="24"/>
                    </w:rPr>
                    <w:t>提高</w:t>
                  </w:r>
                  <w:r>
                    <w:rPr>
                      <w:rFonts w:hint="eastAsia" w:ascii="仿宋" w:hAnsi="仿宋" w:eastAsia="仿宋" w:cs="仿宋"/>
                      <w:color w:val="auto"/>
                      <w:sz w:val="24"/>
                      <w:szCs w:val="24"/>
                      <w:lang w:eastAsia="zh-CN"/>
                    </w:rPr>
                    <w:t>群众安全防范意识，减少交通事故发生；</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szCs w:val="24"/>
                      <w:lang w:eastAsia="zh-CN"/>
                    </w:rPr>
                    <w:t>倡导群心文明出行，</w:t>
                  </w:r>
                  <w:r>
                    <w:rPr>
                      <w:rFonts w:hint="eastAsia" w:ascii="仿宋" w:hAnsi="仿宋" w:eastAsia="仿宋" w:cs="仿宋"/>
                      <w:color w:val="auto"/>
                      <w:sz w:val="24"/>
                      <w:szCs w:val="24"/>
                    </w:rPr>
                    <w:t>提高</w:t>
                  </w:r>
                  <w:r>
                    <w:rPr>
                      <w:rFonts w:hint="eastAsia" w:ascii="仿宋" w:hAnsi="仿宋" w:eastAsia="仿宋" w:cs="仿宋"/>
                      <w:color w:val="auto"/>
                      <w:sz w:val="24"/>
                      <w:szCs w:val="24"/>
                      <w:lang w:eastAsia="zh-CN"/>
                    </w:rPr>
                    <w:t>群众安全防范意识，减少交通事故发生；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文明劝导员补助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设置劝导岗</w:t>
                  </w:r>
                  <w:r>
                    <w:rPr>
                      <w:rFonts w:hint="eastAsia" w:ascii="宋体" w:hAnsi="宋体" w:cs="宋体"/>
                      <w:color w:val="auto"/>
                      <w:sz w:val="24"/>
                      <w:lang w:val="en-US" w:eastAsia="zh-CN"/>
                    </w:rPr>
                    <w:t>35处，聘请50名文明劝导员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设置劝导岗</w:t>
                  </w:r>
                  <w:r>
                    <w:rPr>
                      <w:rFonts w:hint="eastAsia" w:ascii="宋体" w:hAnsi="宋体" w:cs="宋体"/>
                      <w:color w:val="auto"/>
                      <w:sz w:val="24"/>
                      <w:lang w:val="en-US" w:eastAsia="zh-CN"/>
                    </w:rPr>
                    <w:t>35处，聘请50名文明劝导员</w:t>
                  </w:r>
                </w:p>
              </w:tc>
            </w:tr>
            <w:tr>
              <w:tblPrEx>
                <w:tblCellMar>
                  <w:top w:w="0" w:type="dxa"/>
                  <w:left w:w="0" w:type="dxa"/>
                  <w:bottom w:w="0" w:type="dxa"/>
                  <w:right w:w="0" w:type="dxa"/>
                </w:tblCellMar>
              </w:tblPrEx>
              <w:trPr>
                <w:trHeight w:val="7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67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解决群众就业，增加群众收入</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仿宋" w:hAnsi="仿宋" w:eastAsia="仿宋" w:cs="仿宋"/>
                      <w:color w:val="auto"/>
                      <w:sz w:val="24"/>
                      <w:szCs w:val="24"/>
                    </w:rPr>
                    <w:t>提高</w:t>
                  </w:r>
                  <w:r>
                    <w:rPr>
                      <w:rFonts w:hint="eastAsia" w:ascii="仿宋" w:hAnsi="仿宋" w:eastAsia="仿宋" w:cs="仿宋"/>
                      <w:color w:val="auto"/>
                      <w:sz w:val="24"/>
                      <w:szCs w:val="24"/>
                      <w:lang w:eastAsia="zh-CN"/>
                    </w:rPr>
                    <w:t>群众安全防范意识，减少交通事故发生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szCs w:val="24"/>
                    </w:rPr>
                    <w:t>提高</w:t>
                  </w:r>
                  <w:r>
                    <w:rPr>
                      <w:rFonts w:hint="eastAsia" w:ascii="仿宋" w:hAnsi="仿宋" w:eastAsia="仿宋" w:cs="仿宋"/>
                      <w:color w:val="auto"/>
                      <w:sz w:val="24"/>
                      <w:szCs w:val="24"/>
                      <w:lang w:eastAsia="zh-CN"/>
                    </w:rPr>
                    <w:t>群众安全防范意识，减少交通事故发生</w:t>
                  </w:r>
                </w:p>
              </w:tc>
            </w:tr>
            <w:tr>
              <w:tblPrEx>
                <w:tblCellMar>
                  <w:top w:w="0" w:type="dxa"/>
                  <w:left w:w="0" w:type="dxa"/>
                  <w:bottom w:w="0" w:type="dxa"/>
                  <w:right w:w="0" w:type="dxa"/>
                </w:tblCellMar>
              </w:tblPrEx>
              <w:trPr>
                <w:trHeight w:val="79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pStyle w:val="26"/>
              <w:widowControl/>
              <w:ind w:left="4173" w:leftChars="1310" w:hanging="1422" w:hangingChars="395"/>
              <w:textAlignment w:val="center"/>
              <w:rPr>
                <w:rFonts w:hint="eastAsia" w:ascii="黑体" w:hAnsi="黑体" w:eastAsia="黑体" w:cs="宋体"/>
                <w:bCs/>
                <w:color w:val="auto"/>
                <w:kern w:val="0"/>
                <w:sz w:val="36"/>
                <w:szCs w:val="36"/>
                <w:lang w:bidi="ar"/>
              </w:rPr>
            </w:pPr>
          </w:p>
          <w:p>
            <w:pPr>
              <w:pStyle w:val="26"/>
              <w:widowControl/>
              <w:ind w:left="4173" w:leftChars="1310" w:hanging="1422" w:hangingChars="395"/>
              <w:textAlignment w:val="center"/>
              <w:rPr>
                <w:rFonts w:hint="eastAsia" w:ascii="黑体" w:hAnsi="黑体" w:eastAsia="黑体" w:cs="宋体"/>
                <w:bCs/>
                <w:color w:val="auto"/>
                <w:kern w:val="0"/>
                <w:sz w:val="36"/>
                <w:szCs w:val="36"/>
                <w:lang w:bidi="ar"/>
              </w:rPr>
            </w:pPr>
          </w:p>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hint="eastAsia" w:ascii="宋体" w:hAnsi="宋体" w:cs="宋体"/>
                <w:color w:val="auto"/>
                <w:kern w:val="0"/>
                <w:sz w:val="36"/>
                <w:szCs w:val="36"/>
                <w:lang w:bidi="ar"/>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bl>
            <w:tblPr>
              <w:tblStyle w:val="14"/>
              <w:tblpPr w:leftFromText="180" w:rightFromText="180" w:vertAnchor="text" w:horzAnchor="page" w:tblpXSpec="center" w:tblpY="423"/>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367"/>
              <w:gridCol w:w="1142"/>
              <w:gridCol w:w="2275"/>
              <w:gridCol w:w="2394"/>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99" w:type="dxa"/>
                  <w:gridSpan w:val="3"/>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项目名称</w:t>
                  </w:r>
                </w:p>
              </w:tc>
              <w:tc>
                <w:tcPr>
                  <w:tcW w:w="6870" w:type="dxa"/>
                  <w:gridSpan w:val="3"/>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eastAsia="zh-CN"/>
                    </w:rPr>
                    <w:t>河西街道基层武装经费</w:t>
                  </w:r>
                  <w:r>
                    <w:rPr>
                      <w:rFonts w:hint="eastAsia" w:ascii="宋体" w:hAnsi="宋体" w:cs="宋体"/>
                      <w:color w:val="auto"/>
                      <w:sz w:val="21"/>
                      <w:szCs w:val="21"/>
                    </w:rPr>
                    <w:t>支出绩效目标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99" w:type="dxa"/>
                  <w:gridSpan w:val="3"/>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预算单位</w:t>
                  </w:r>
                </w:p>
              </w:tc>
              <w:tc>
                <w:tcPr>
                  <w:tcW w:w="6870" w:type="dxa"/>
                  <w:gridSpan w:val="3"/>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河西街道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390" w:type="dxa"/>
                  <w:vMerge w:val="restart"/>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预算执行情况(万元)</w:t>
                  </w:r>
                </w:p>
              </w:tc>
              <w:tc>
                <w:tcPr>
                  <w:tcW w:w="2509" w:type="dxa"/>
                  <w:gridSpan w:val="2"/>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预算数:</w:t>
                  </w:r>
                </w:p>
              </w:tc>
              <w:tc>
                <w:tcPr>
                  <w:tcW w:w="2275" w:type="dxa"/>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1.5万元</w:t>
                  </w:r>
                </w:p>
              </w:tc>
              <w:tc>
                <w:tcPr>
                  <w:tcW w:w="2394"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执行数:</w:t>
                  </w:r>
                </w:p>
              </w:tc>
              <w:tc>
                <w:tcPr>
                  <w:tcW w:w="2201" w:type="dxa"/>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390" w:type="dxa"/>
                  <w:vMerge w:val="continue"/>
                  <w:noWrap w:val="0"/>
                  <w:vAlign w:val="center"/>
                </w:tcPr>
                <w:p>
                  <w:pPr>
                    <w:widowControl/>
                    <w:jc w:val="left"/>
                    <w:rPr>
                      <w:rFonts w:ascii="宋体" w:hAnsi="宋体" w:cs="宋体"/>
                      <w:color w:val="auto"/>
                      <w:sz w:val="21"/>
                      <w:szCs w:val="21"/>
                    </w:rPr>
                  </w:pPr>
                </w:p>
              </w:tc>
              <w:tc>
                <w:tcPr>
                  <w:tcW w:w="2509" w:type="dxa"/>
                  <w:gridSpan w:val="2"/>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其中-财政拨款:</w:t>
                  </w:r>
                </w:p>
              </w:tc>
              <w:tc>
                <w:tcPr>
                  <w:tcW w:w="2275"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1.5万元</w:t>
                  </w:r>
                </w:p>
              </w:tc>
              <w:tc>
                <w:tcPr>
                  <w:tcW w:w="2394"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其中-财政拨款:</w:t>
                  </w:r>
                </w:p>
              </w:tc>
              <w:tc>
                <w:tcPr>
                  <w:tcW w:w="2201"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1" w:hRule="atLeast"/>
              </w:trPr>
              <w:tc>
                <w:tcPr>
                  <w:tcW w:w="390" w:type="dxa"/>
                  <w:vMerge w:val="continue"/>
                  <w:noWrap w:val="0"/>
                  <w:vAlign w:val="center"/>
                </w:tcPr>
                <w:p>
                  <w:pPr>
                    <w:widowControl/>
                    <w:jc w:val="left"/>
                    <w:rPr>
                      <w:rFonts w:ascii="宋体" w:hAnsi="宋体" w:cs="宋体"/>
                      <w:color w:val="auto"/>
                      <w:sz w:val="21"/>
                      <w:szCs w:val="21"/>
                    </w:rPr>
                  </w:pPr>
                </w:p>
              </w:tc>
              <w:tc>
                <w:tcPr>
                  <w:tcW w:w="2509" w:type="dxa"/>
                  <w:gridSpan w:val="2"/>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其它资金:</w:t>
                  </w:r>
                </w:p>
              </w:tc>
              <w:tc>
                <w:tcPr>
                  <w:tcW w:w="2275"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0</w:t>
                  </w:r>
                </w:p>
              </w:tc>
              <w:tc>
                <w:tcPr>
                  <w:tcW w:w="2394" w:type="dxa"/>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其它资金:</w:t>
                  </w:r>
                </w:p>
              </w:tc>
              <w:tc>
                <w:tcPr>
                  <w:tcW w:w="2201" w:type="dxa"/>
                  <w:noWrap w:val="0"/>
                  <w:tcMar>
                    <w:top w:w="15" w:type="dxa"/>
                    <w:left w:w="15" w:type="dxa"/>
                    <w:bottom w:w="0" w:type="dxa"/>
                    <w:right w:w="15" w:type="dxa"/>
                  </w:tcMar>
                  <w:vAlign w:val="center"/>
                </w:tcPr>
                <w:p>
                  <w:pPr>
                    <w:ind w:right="-19" w:rightChars="-9"/>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390" w:type="dxa"/>
                  <w:vMerge w:val="restart"/>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年度目标完成情况</w:t>
                  </w:r>
                </w:p>
              </w:tc>
              <w:tc>
                <w:tcPr>
                  <w:tcW w:w="4784" w:type="dxa"/>
                  <w:gridSpan w:val="3"/>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预期目标</w:t>
                  </w:r>
                </w:p>
              </w:tc>
              <w:tc>
                <w:tcPr>
                  <w:tcW w:w="4595" w:type="dxa"/>
                  <w:gridSpan w:val="2"/>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390" w:type="dxa"/>
                  <w:vMerge w:val="continue"/>
                  <w:tcBorders>
                    <w:bottom w:val="single" w:color="auto" w:sz="4" w:space="0"/>
                  </w:tcBorders>
                  <w:noWrap w:val="0"/>
                  <w:vAlign w:val="center"/>
                </w:tcPr>
                <w:p>
                  <w:pPr>
                    <w:widowControl/>
                    <w:jc w:val="left"/>
                    <w:rPr>
                      <w:rFonts w:ascii="宋体" w:hAnsi="宋体" w:cs="宋体"/>
                      <w:color w:val="auto"/>
                      <w:sz w:val="21"/>
                      <w:szCs w:val="21"/>
                    </w:rPr>
                  </w:pPr>
                </w:p>
              </w:tc>
              <w:tc>
                <w:tcPr>
                  <w:tcW w:w="4784" w:type="dxa"/>
                  <w:gridSpan w:val="3"/>
                  <w:tcBorders>
                    <w:bottom w:val="single" w:color="auto"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1"/>
                      <w:szCs w:val="21"/>
                    </w:rPr>
                  </w:pPr>
                  <w:r>
                    <w:rPr>
                      <w:rFonts w:hint="eastAsia" w:ascii="宋体" w:hAnsi="宋体" w:cs="宋体"/>
                      <w:color w:val="auto"/>
                      <w:sz w:val="21"/>
                      <w:szCs w:val="21"/>
                    </w:rPr>
                    <w:t>保证民兵训练工作顺利开展，保证民兵训练工作顺利开展，民兵训练不少于</w:t>
                  </w:r>
                  <w:r>
                    <w:rPr>
                      <w:rFonts w:hint="eastAsia" w:ascii="宋体" w:hAnsi="宋体" w:cs="宋体"/>
                      <w:color w:val="auto"/>
                      <w:sz w:val="21"/>
                      <w:szCs w:val="21"/>
                      <w:lang w:val="en-US" w:eastAsia="zh-CN"/>
                    </w:rPr>
                    <w:t>41</w:t>
                  </w:r>
                  <w:r>
                    <w:rPr>
                      <w:rFonts w:hint="eastAsia" w:ascii="宋体" w:hAnsi="宋体" w:cs="宋体"/>
                      <w:color w:val="auto"/>
                      <w:sz w:val="21"/>
                      <w:szCs w:val="21"/>
                    </w:rPr>
                    <w:t>人</w:t>
                  </w:r>
                  <w:r>
                    <w:rPr>
                      <w:rFonts w:hint="eastAsia" w:ascii="宋体" w:hAnsi="宋体" w:cs="宋体"/>
                      <w:color w:val="auto"/>
                      <w:sz w:val="21"/>
                      <w:szCs w:val="21"/>
                      <w:lang w:eastAsia="zh-CN"/>
                    </w:rPr>
                    <w:t>次。</w:t>
                  </w:r>
                  <w:r>
                    <w:rPr>
                      <w:rFonts w:hint="eastAsia" w:ascii="宋体" w:hAnsi="宋体" w:cs="宋体"/>
                      <w:color w:val="auto"/>
                      <w:sz w:val="21"/>
                      <w:szCs w:val="21"/>
                    </w:rPr>
                    <w:t xml:space="preserve">                                                                                                                         </w:t>
                  </w:r>
                </w:p>
              </w:tc>
              <w:tc>
                <w:tcPr>
                  <w:tcW w:w="4595" w:type="dxa"/>
                  <w:gridSpan w:val="2"/>
                  <w:tcBorders>
                    <w:bottom w:val="single" w:color="auto" w:sz="4" w:space="0"/>
                  </w:tcBorders>
                  <w:noWrap w:val="0"/>
                  <w:tcMar>
                    <w:top w:w="15" w:type="dxa"/>
                    <w:left w:w="15" w:type="dxa"/>
                    <w:bottom w:w="0" w:type="dxa"/>
                    <w:right w:w="15" w:type="dxa"/>
                  </w:tcMar>
                  <w:vAlign w:val="center"/>
                </w:tcPr>
                <w:p>
                  <w:pPr>
                    <w:widowControl/>
                    <w:ind w:right="273" w:rightChars="130"/>
                    <w:jc w:val="both"/>
                    <w:textAlignment w:val="center"/>
                    <w:rPr>
                      <w:rFonts w:ascii="宋体" w:hAnsi="宋体" w:cs="宋体"/>
                      <w:color w:val="auto"/>
                      <w:sz w:val="21"/>
                      <w:szCs w:val="21"/>
                    </w:rPr>
                  </w:pPr>
                  <w:r>
                    <w:rPr>
                      <w:rFonts w:hint="eastAsia" w:ascii="宋体" w:hAnsi="宋体" w:cs="宋体"/>
                      <w:color w:val="auto"/>
                      <w:sz w:val="21"/>
                      <w:szCs w:val="21"/>
                    </w:rPr>
                    <w:t>保证民兵训练工作顺利开展，保证民兵训练工作顺利开展，民兵训练不少于</w:t>
                  </w:r>
                  <w:r>
                    <w:rPr>
                      <w:rFonts w:hint="eastAsia" w:ascii="宋体" w:hAnsi="宋体" w:cs="宋体"/>
                      <w:color w:val="auto"/>
                      <w:sz w:val="21"/>
                      <w:szCs w:val="21"/>
                      <w:lang w:val="en-US" w:eastAsia="zh-CN"/>
                    </w:rPr>
                    <w:t>41</w:t>
                  </w:r>
                  <w:r>
                    <w:rPr>
                      <w:rFonts w:hint="eastAsia" w:ascii="宋体" w:hAnsi="宋体" w:cs="宋体"/>
                      <w:color w:val="auto"/>
                      <w:sz w:val="21"/>
                      <w:szCs w:val="21"/>
                    </w:rPr>
                    <w:t>人</w:t>
                  </w:r>
                  <w:r>
                    <w:rPr>
                      <w:rFonts w:hint="eastAsia" w:ascii="宋体" w:hAnsi="宋体" w:cs="宋体"/>
                      <w:color w:val="auto"/>
                      <w:sz w:val="21"/>
                      <w:szCs w:val="21"/>
                      <w:lang w:eastAsia="zh-CN"/>
                    </w:rPr>
                    <w:t>次。</w:t>
                  </w:r>
                  <w:r>
                    <w:rPr>
                      <w:rFonts w:hint="eastAsia" w:ascii="宋体" w:hAnsi="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绩效指标完成情况</w:t>
                  </w: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一级指标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二级指标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三级指标</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预期指标值(包含数字及文字描述)</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项目完成指标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数量指标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民兵训练不少于</w:t>
                  </w:r>
                  <w:r>
                    <w:rPr>
                      <w:rFonts w:hint="eastAsia" w:ascii="宋体" w:hAnsi="宋体" w:cs="宋体"/>
                      <w:color w:val="auto"/>
                      <w:sz w:val="21"/>
                      <w:szCs w:val="21"/>
                      <w:lang w:val="en-US" w:eastAsia="zh-CN"/>
                    </w:rPr>
                    <w:t>41</w:t>
                  </w:r>
                  <w:r>
                    <w:rPr>
                      <w:rFonts w:hint="eastAsia" w:ascii="宋体" w:hAnsi="宋体" w:cs="宋体"/>
                      <w:color w:val="auto"/>
                      <w:sz w:val="21"/>
                      <w:szCs w:val="21"/>
                    </w:rPr>
                    <w:t>人次</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民兵训练不少于</w:t>
                  </w:r>
                  <w:r>
                    <w:rPr>
                      <w:rFonts w:hint="eastAsia" w:ascii="宋体" w:hAnsi="宋体" w:cs="宋体"/>
                      <w:color w:val="auto"/>
                      <w:sz w:val="21"/>
                      <w:szCs w:val="21"/>
                      <w:lang w:val="en-US" w:eastAsia="zh-CN"/>
                    </w:rPr>
                    <w:t>41</w:t>
                  </w:r>
                  <w:r>
                    <w:rPr>
                      <w:rFonts w:hint="eastAsia" w:ascii="宋体" w:hAnsi="宋体" w:cs="宋体"/>
                      <w:color w:val="auto"/>
                      <w:sz w:val="21"/>
                      <w:szCs w:val="21"/>
                      <w:lang w:eastAsia="zh-CN"/>
                    </w:rPr>
                    <w:t>人次</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eastAsia="zh-CN"/>
                    </w:rPr>
                    <w:t>民兵训练不少于</w:t>
                  </w:r>
                  <w:r>
                    <w:rPr>
                      <w:rFonts w:hint="eastAsia" w:ascii="宋体" w:hAnsi="宋体" w:cs="宋体"/>
                      <w:color w:val="auto"/>
                      <w:sz w:val="21"/>
                      <w:szCs w:val="21"/>
                      <w:lang w:val="en-US" w:eastAsia="zh-CN"/>
                    </w:rPr>
                    <w:t>41</w:t>
                  </w:r>
                  <w:r>
                    <w:rPr>
                      <w:rFonts w:hint="eastAsia" w:ascii="宋体" w:hAnsi="宋体" w:cs="宋体"/>
                      <w:color w:val="auto"/>
                      <w:sz w:val="21"/>
                      <w:szCs w:val="21"/>
                      <w:lang w:eastAsia="zh-CN"/>
                    </w:rPr>
                    <w:t>人次升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项目完成指标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质</w:t>
                  </w:r>
                  <w:r>
                    <w:rPr>
                      <w:rFonts w:hint="eastAsia" w:ascii="宋体" w:hAnsi="宋体" w:cs="宋体"/>
                      <w:color w:val="auto"/>
                      <w:sz w:val="21"/>
                      <w:szCs w:val="21"/>
                    </w:rPr>
                    <w:t>量指</w:t>
                  </w:r>
                  <w:r>
                    <w:rPr>
                      <w:rFonts w:hint="eastAsia" w:ascii="宋体" w:hAnsi="宋体" w:cs="宋体"/>
                      <w:color w:val="auto"/>
                      <w:sz w:val="21"/>
                      <w:szCs w:val="21"/>
                      <w:lang w:eastAsia="zh-CN"/>
                    </w:rPr>
                    <w:t>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基层民兵训练高质量完成</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基层民兵训练高质量完成</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基层民兵训练高质量完成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项目完成指标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时效指标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项目完成指标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时效指标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确保民兵训练及时顺利开展</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确保民兵训练及时顺利开展</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确保民兵训练及时顺利开展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满意度指标</w:t>
                  </w:r>
                </w:p>
              </w:tc>
              <w:tc>
                <w:tcPr>
                  <w:tcW w:w="11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满意度指标</w:t>
                  </w:r>
                </w:p>
              </w:tc>
              <w:tc>
                <w:tcPr>
                  <w:tcW w:w="22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群众满意度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确保</w:t>
                  </w:r>
                  <w:r>
                    <w:rPr>
                      <w:rFonts w:hint="eastAsia" w:ascii="宋体" w:hAnsi="宋体" w:cs="宋体"/>
                      <w:color w:val="auto"/>
                      <w:sz w:val="21"/>
                      <w:szCs w:val="21"/>
                    </w:rPr>
                    <w:t>群众满意度</w:t>
                  </w:r>
                  <w:r>
                    <w:rPr>
                      <w:rFonts w:hint="eastAsia" w:ascii="宋体" w:hAnsi="宋体" w:cs="宋体"/>
                      <w:color w:val="auto"/>
                      <w:sz w:val="21"/>
                      <w:szCs w:val="21"/>
                      <w:lang w:val="en-US" w:eastAsia="zh-CN"/>
                    </w:rPr>
                    <w:t>100%</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eastAsia="zh-CN"/>
                    </w:rPr>
                    <w:t>确保</w:t>
                  </w:r>
                  <w:r>
                    <w:rPr>
                      <w:rFonts w:hint="eastAsia" w:ascii="宋体" w:hAnsi="宋体" w:cs="宋体"/>
                      <w:color w:val="auto"/>
                      <w:sz w:val="21"/>
                      <w:szCs w:val="21"/>
                    </w:rPr>
                    <w:t>群众满意度</w:t>
                  </w:r>
                  <w:r>
                    <w:rPr>
                      <w:rFonts w:hint="eastAsia" w:ascii="宋体" w:hAnsi="宋体" w:cs="宋体"/>
                      <w:color w:val="auto"/>
                      <w:sz w:val="21"/>
                      <w:szCs w:val="21"/>
                      <w:lang w:val="en-US" w:eastAsia="zh-CN"/>
                    </w:rPr>
                    <w:t>100%</w:t>
                  </w:r>
                </w:p>
              </w:tc>
            </w:tr>
          </w:tbl>
          <w:p>
            <w:pPr>
              <w:pStyle w:val="26"/>
              <w:widowControl/>
              <w:ind w:left="4173" w:leftChars="1310" w:hanging="1422" w:hangingChars="395"/>
              <w:textAlignment w:val="center"/>
              <w:rPr>
                <w:rFonts w:hint="eastAsia" w:ascii="宋体" w:hAnsi="宋体" w:cs="宋体"/>
                <w:color w:val="auto"/>
                <w:kern w:val="0"/>
                <w:sz w:val="36"/>
                <w:szCs w:val="36"/>
                <w:lang w:bidi="ar"/>
              </w:rPr>
            </w:pPr>
          </w:p>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黑体" w:hAnsi="黑体" w:eastAsia="黑体" w:cs="黑体"/>
                <w:color w:val="auto"/>
                <w:sz w:val="21"/>
                <w:szCs w:val="21"/>
                <w:lang w:eastAsia="zh-CN"/>
              </w:rPr>
              <w:t>河西街道</w:t>
            </w:r>
            <w:r>
              <w:rPr>
                <w:rFonts w:hint="eastAsia" w:ascii="黑体" w:hAnsi="黑体" w:eastAsia="黑体" w:cs="黑体"/>
                <w:color w:val="auto"/>
                <w:sz w:val="21"/>
                <w:szCs w:val="21"/>
              </w:rPr>
              <w:t>森林防火专项经费</w:t>
            </w:r>
            <w:r>
              <w:rPr>
                <w:rFonts w:hint="eastAsia" w:ascii="黑体" w:hAnsi="黑体" w:eastAsia="黑体" w:cs="黑体"/>
                <w:color w:val="auto"/>
                <w:sz w:val="21"/>
                <w:szCs w:val="21"/>
              </w:rPr>
              <w:t>支出绩效目标</w:t>
            </w:r>
          </w:p>
        </w:tc>
      </w:tr>
      <w:tr>
        <w:tblPrEx>
          <w:tblCellMar>
            <w:top w:w="0" w:type="dxa"/>
            <w:left w:w="0" w:type="dxa"/>
            <w:bottom w:w="0" w:type="dxa"/>
            <w:right w:w="0" w:type="dxa"/>
          </w:tblCellMar>
        </w:tblPrEx>
        <w:trPr>
          <w:trHeight w:val="276" w:hRule="atLeast"/>
        </w:trPr>
        <w:tc>
          <w:tcPr>
            <w:tcW w:w="28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河西街道</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预算执行情况(万元)</w:t>
            </w: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预算数:</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5.07万元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5.07万元</w:t>
            </w:r>
          </w:p>
        </w:tc>
      </w:tr>
      <w:tr>
        <w:tblPrEx>
          <w:tblCellMar>
            <w:top w:w="0" w:type="dxa"/>
            <w:left w:w="0" w:type="dxa"/>
            <w:bottom w:w="0" w:type="dxa"/>
            <w:right w:w="0" w:type="dxa"/>
          </w:tblCellMar>
        </w:tblPrEx>
        <w:trPr>
          <w:trHeight w:val="276"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5.07万元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5.07万元</w:t>
            </w:r>
          </w:p>
        </w:tc>
      </w:tr>
      <w:tr>
        <w:tblPrEx>
          <w:tblCellMar>
            <w:top w:w="0" w:type="dxa"/>
            <w:left w:w="0" w:type="dxa"/>
            <w:bottom w:w="0" w:type="dxa"/>
            <w:right w:w="0" w:type="dxa"/>
          </w:tblCellMar>
        </w:tblPrEx>
        <w:trPr>
          <w:trHeight w:val="1511"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2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其它资金:</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tblPrEx>
          <w:tblCellMar>
            <w:top w:w="0" w:type="dxa"/>
            <w:left w:w="0" w:type="dxa"/>
            <w:bottom w:w="0" w:type="dxa"/>
            <w:right w:w="0" w:type="dxa"/>
          </w:tblCellMar>
        </w:tblPrEx>
        <w:trPr>
          <w:trHeight w:val="276"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年度目标完成情况</w:t>
            </w: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实际完成目标</w:t>
            </w:r>
          </w:p>
        </w:tc>
      </w:tr>
      <w:tr>
        <w:tblPrEx>
          <w:tblCellMar>
            <w:top w:w="0" w:type="dxa"/>
            <w:left w:w="0" w:type="dxa"/>
            <w:bottom w:w="0" w:type="dxa"/>
            <w:right w:w="0" w:type="dxa"/>
          </w:tblCellMar>
        </w:tblPrEx>
        <w:trPr>
          <w:trHeight w:val="1159"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47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1"/>
                <w:szCs w:val="21"/>
              </w:rPr>
            </w:pPr>
            <w:r>
              <w:rPr>
                <w:rFonts w:hint="eastAsia" w:ascii="宋体" w:hAnsi="宋体" w:cs="宋体"/>
                <w:color w:val="auto"/>
                <w:sz w:val="21"/>
                <w:szCs w:val="21"/>
              </w:rPr>
              <w:t xml:space="preserve"> 无森林火灾，绿化面积逐年提升</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21"/>
                <w:szCs w:val="21"/>
              </w:rPr>
            </w:pPr>
            <w:r>
              <w:rPr>
                <w:rFonts w:hint="eastAsia" w:ascii="宋体" w:hAnsi="宋体" w:cs="宋体"/>
                <w:color w:val="auto"/>
                <w:sz w:val="21"/>
                <w:szCs w:val="21"/>
              </w:rPr>
              <w:t xml:space="preserve"> 无森林火灾，绿化面积逐年提升</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p>
        </w:tc>
      </w:tr>
      <w:tr>
        <w:tblPrEx>
          <w:tblCellMar>
            <w:top w:w="0" w:type="dxa"/>
            <w:left w:w="0" w:type="dxa"/>
            <w:bottom w:w="0" w:type="dxa"/>
            <w:right w:w="0" w:type="dxa"/>
          </w:tblCellMar>
        </w:tblPrEx>
        <w:trPr>
          <w:trHeight w:val="791" w:hRule="atLeast"/>
        </w:trPr>
        <w:tc>
          <w:tcPr>
            <w:tcW w:w="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绩效指标完成情况</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一级指标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二级指标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实际完成指标值(包含数字及文字描述)</w:t>
            </w:r>
          </w:p>
        </w:tc>
      </w:tr>
      <w:tr>
        <w:tblPrEx>
          <w:tblCellMar>
            <w:top w:w="0" w:type="dxa"/>
            <w:left w:w="0" w:type="dxa"/>
            <w:bottom w:w="0" w:type="dxa"/>
            <w:right w:w="0" w:type="dxa"/>
          </w:tblCellMar>
        </w:tblPrEx>
        <w:trPr>
          <w:trHeight w:val="676"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数量指标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森林防火宣传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12次</w:t>
            </w:r>
            <w:r>
              <w:rPr>
                <w:rFonts w:hint="eastAsia" w:ascii="宋体" w:hAnsi="宋体" w:cs="宋体"/>
                <w:color w:val="auto"/>
                <w:sz w:val="21"/>
                <w:szCs w:val="21"/>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auto"/>
                <w:sz w:val="21"/>
                <w:szCs w:val="21"/>
                <w:lang w:val="en-US"/>
              </w:rPr>
            </w:pPr>
            <w:r>
              <w:rPr>
                <w:rFonts w:hint="eastAsia" w:ascii="宋体" w:hAnsi="宋体" w:cs="宋体"/>
                <w:color w:val="auto"/>
                <w:sz w:val="21"/>
                <w:szCs w:val="21"/>
                <w:lang w:eastAsia="zh-CN"/>
              </w:rPr>
              <w:t>12次</w:t>
            </w:r>
            <w:r>
              <w:rPr>
                <w:rFonts w:hint="eastAsia" w:ascii="宋体" w:hAnsi="宋体" w:cs="宋体"/>
                <w:color w:val="auto"/>
                <w:sz w:val="21"/>
                <w:szCs w:val="21"/>
                <w:lang w:val="en-US" w:eastAsia="zh-CN"/>
              </w:rPr>
              <w:t>/年</w:t>
            </w:r>
          </w:p>
        </w:tc>
      </w:tr>
      <w:tr>
        <w:tblPrEx>
          <w:tblCellMar>
            <w:top w:w="0" w:type="dxa"/>
            <w:left w:w="0" w:type="dxa"/>
            <w:bottom w:w="0" w:type="dxa"/>
            <w:right w:w="0" w:type="dxa"/>
          </w:tblCellMar>
        </w:tblPrEx>
        <w:trPr>
          <w:trHeight w:val="584"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数量指</w:t>
            </w:r>
            <w:r>
              <w:rPr>
                <w:rFonts w:hint="eastAsia" w:ascii="宋体" w:hAnsi="宋体" w:cs="宋体"/>
                <w:color w:val="auto"/>
                <w:sz w:val="21"/>
                <w:szCs w:val="21"/>
                <w:lang w:eastAsia="zh-CN"/>
              </w:rPr>
              <w:t>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防火</w:t>
            </w:r>
            <w:r>
              <w:rPr>
                <w:rFonts w:hint="eastAsia" w:ascii="宋体" w:hAnsi="宋体" w:cs="宋体"/>
                <w:color w:val="auto"/>
                <w:sz w:val="21"/>
                <w:szCs w:val="21"/>
                <w:lang w:eastAsia="zh-CN"/>
              </w:rPr>
              <w:t>标示标牌、森林防火报警器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30副、15个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auto"/>
                <w:sz w:val="21"/>
                <w:szCs w:val="21"/>
                <w:lang w:val="en-US"/>
              </w:rPr>
            </w:pPr>
            <w:r>
              <w:rPr>
                <w:rFonts w:hint="eastAsia" w:ascii="宋体" w:hAnsi="宋体" w:cs="宋体"/>
                <w:color w:val="auto"/>
                <w:sz w:val="21"/>
                <w:szCs w:val="21"/>
                <w:lang w:val="en-US" w:eastAsia="zh-CN"/>
              </w:rPr>
              <w:t>30副、15个</w:t>
            </w:r>
          </w:p>
        </w:tc>
      </w:tr>
      <w:tr>
        <w:tblPrEx>
          <w:tblCellMar>
            <w:top w:w="0" w:type="dxa"/>
            <w:left w:w="0" w:type="dxa"/>
            <w:bottom w:w="0" w:type="dxa"/>
            <w:right w:w="0" w:type="dxa"/>
          </w:tblCellMar>
        </w:tblPrEx>
        <w:trPr>
          <w:trHeight w:val="870"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时效指标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.01.01—20</w:t>
            </w:r>
            <w:r>
              <w:rPr>
                <w:rFonts w:hint="eastAsia" w:ascii="宋体" w:hAnsi="宋体" w:cs="宋体"/>
                <w:color w:val="auto"/>
                <w:sz w:val="21"/>
                <w:szCs w:val="21"/>
                <w:lang w:val="en-US" w:eastAsia="zh-CN"/>
              </w:rPr>
              <w:t>20</w:t>
            </w:r>
            <w:r>
              <w:rPr>
                <w:rFonts w:hint="eastAsia" w:ascii="宋体" w:hAnsi="宋体" w:cs="宋体"/>
                <w:color w:val="auto"/>
                <w:sz w:val="21"/>
                <w:szCs w:val="21"/>
              </w:rPr>
              <w:t>.12.31</w:t>
            </w:r>
          </w:p>
        </w:tc>
      </w:tr>
      <w:tr>
        <w:tblPrEx>
          <w:tblCellMar>
            <w:top w:w="0" w:type="dxa"/>
            <w:left w:w="0" w:type="dxa"/>
            <w:bottom w:w="0" w:type="dxa"/>
            <w:right w:w="0" w:type="dxa"/>
          </w:tblCellMar>
        </w:tblPrEx>
        <w:trPr>
          <w:trHeight w:val="597"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经济效益</w:t>
            </w:r>
          </w:p>
          <w:p>
            <w:pPr>
              <w:widowControl/>
              <w:jc w:val="center"/>
              <w:textAlignment w:val="center"/>
              <w:rPr>
                <w:rFonts w:ascii="宋体" w:hAnsi="宋体" w:cs="宋体"/>
                <w:color w:val="auto"/>
                <w:sz w:val="21"/>
                <w:szCs w:val="21"/>
              </w:rPr>
            </w:pPr>
            <w:r>
              <w:rPr>
                <w:rFonts w:hint="eastAsia" w:ascii="宋体" w:hAnsi="宋体" w:cs="宋体"/>
                <w:color w:val="auto"/>
                <w:sz w:val="21"/>
                <w:szCs w:val="21"/>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ascii="宋体" w:hAnsi="宋体" w:cs="宋体"/>
                <w:color w:val="auto"/>
                <w:sz w:val="21"/>
                <w:szCs w:val="21"/>
              </w:rPr>
            </w:pPr>
            <w:r>
              <w:rPr>
                <w:rFonts w:hint="eastAsia" w:ascii="宋体" w:hAnsi="宋体" w:cs="宋体"/>
                <w:color w:val="auto"/>
                <w:sz w:val="21"/>
                <w:szCs w:val="21"/>
              </w:rPr>
              <w:t>保护珍稀植物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保护珍稀植物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保护珍稀植物</w:t>
            </w:r>
          </w:p>
        </w:tc>
      </w:tr>
      <w:tr>
        <w:tblPrEx>
          <w:tblCellMar>
            <w:top w:w="0" w:type="dxa"/>
            <w:left w:w="0" w:type="dxa"/>
            <w:bottom w:w="0" w:type="dxa"/>
            <w:right w:w="0" w:type="dxa"/>
          </w:tblCellMar>
        </w:tblPrEx>
        <w:trPr>
          <w:trHeight w:val="790"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社会效益</w:t>
            </w:r>
          </w:p>
          <w:p>
            <w:pPr>
              <w:widowControl/>
              <w:jc w:val="center"/>
              <w:textAlignment w:val="center"/>
              <w:rPr>
                <w:rFonts w:ascii="宋体" w:hAnsi="宋体" w:cs="宋体"/>
                <w:color w:val="auto"/>
                <w:sz w:val="21"/>
                <w:szCs w:val="21"/>
              </w:rPr>
            </w:pPr>
            <w:r>
              <w:rPr>
                <w:rFonts w:hint="eastAsia" w:ascii="宋体" w:hAnsi="宋体" w:cs="宋体"/>
                <w:color w:val="auto"/>
                <w:sz w:val="21"/>
                <w:szCs w:val="21"/>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提高群众森林防火意识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提高群众森林防火意识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提高群众森林防火意识</w:t>
            </w:r>
          </w:p>
        </w:tc>
      </w:tr>
      <w:tr>
        <w:tblPrEx>
          <w:tblCellMar>
            <w:top w:w="0" w:type="dxa"/>
            <w:left w:w="0" w:type="dxa"/>
            <w:bottom w:w="0" w:type="dxa"/>
            <w:right w:w="0" w:type="dxa"/>
          </w:tblCellMar>
        </w:tblPrEx>
        <w:trPr>
          <w:trHeight w:val="835"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生态效益</w:t>
            </w:r>
          </w:p>
          <w:p>
            <w:pPr>
              <w:widowControl/>
              <w:jc w:val="center"/>
              <w:textAlignment w:val="center"/>
              <w:rPr>
                <w:rFonts w:ascii="宋体" w:hAnsi="宋体" w:cs="宋体"/>
                <w:color w:val="auto"/>
                <w:sz w:val="21"/>
                <w:szCs w:val="21"/>
              </w:rPr>
            </w:pPr>
            <w:r>
              <w:rPr>
                <w:rFonts w:hint="eastAsia" w:ascii="宋体" w:hAnsi="宋体" w:cs="宋体"/>
                <w:color w:val="auto"/>
                <w:sz w:val="21"/>
                <w:szCs w:val="21"/>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有明显提高</w:t>
            </w:r>
          </w:p>
        </w:tc>
      </w:tr>
      <w:tr>
        <w:tblPrEx>
          <w:tblCellMar>
            <w:top w:w="0" w:type="dxa"/>
            <w:left w:w="0" w:type="dxa"/>
            <w:bottom w:w="0" w:type="dxa"/>
            <w:right w:w="0" w:type="dxa"/>
          </w:tblCellMar>
        </w:tblPrEx>
        <w:trPr>
          <w:trHeight w:val="90"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效益指标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ascii="宋体" w:hAnsi="宋体" w:cs="宋体"/>
                <w:color w:val="auto"/>
                <w:sz w:val="21"/>
                <w:szCs w:val="21"/>
              </w:rPr>
            </w:pPr>
            <w:r>
              <w:rPr>
                <w:rFonts w:hint="eastAsia" w:ascii="宋体" w:hAnsi="宋体" w:cs="宋体"/>
                <w:color w:val="auto"/>
                <w:sz w:val="21"/>
                <w:szCs w:val="21"/>
              </w:rPr>
              <w:t>可持续影响指标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绿化面积有明显的提高</w:t>
            </w:r>
          </w:p>
        </w:tc>
      </w:tr>
      <w:tr>
        <w:tblPrEx>
          <w:tblCellMar>
            <w:top w:w="0" w:type="dxa"/>
            <w:left w:w="0" w:type="dxa"/>
            <w:bottom w:w="0" w:type="dxa"/>
            <w:right w:w="0" w:type="dxa"/>
          </w:tblCellMar>
        </w:tblPrEx>
        <w:trPr>
          <w:trHeight w:val="773" w:hRule="atLeast"/>
        </w:trPr>
        <w:tc>
          <w:tcPr>
            <w:tcW w:w="4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34" w:hRule="atLeast"/>
        </w:trPr>
        <w:tc>
          <w:tcPr>
            <w:tcW w:w="9960" w:type="dxa"/>
            <w:gridSpan w:val="8"/>
            <w:noWrap w:val="0"/>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6"/>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大调解工作经费</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河西街道</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2.9万元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2.9万元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2.9万元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2.9万元</w:t>
            </w:r>
          </w:p>
        </w:tc>
      </w:tr>
      <w:tr>
        <w:tblPrEx>
          <w:tblCellMar>
            <w:top w:w="0" w:type="dxa"/>
            <w:left w:w="0" w:type="dxa"/>
            <w:bottom w:w="0" w:type="dxa"/>
            <w:right w:w="0" w:type="dxa"/>
          </w:tblCellMar>
        </w:tblPrEx>
        <w:trPr>
          <w:trHeight w:val="137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szCs w:val="24"/>
              </w:rPr>
              <w:t>将矛盾化解在基层，维护社会和谐稳定</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szCs w:val="24"/>
              </w:rPr>
              <w:t>将矛盾化解在基层，维护社会和谐稳定</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74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化解群众矛盾</w:t>
            </w:r>
            <w:r>
              <w:rPr>
                <w:rFonts w:hint="eastAsia" w:ascii="宋体" w:hAnsi="宋体" w:eastAsia="宋体" w:cs="宋体"/>
                <w:color w:val="auto"/>
                <w:sz w:val="24"/>
                <w:lang w:val="en-US" w:eastAsia="zh-CN"/>
              </w:rPr>
              <w:t>20人次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szCs w:val="24"/>
              </w:rPr>
              <w:t>维护社会和谐稳定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szCs w:val="24"/>
              </w:rPr>
              <w:t>维护社会和谐稳定</w:t>
            </w:r>
          </w:p>
        </w:tc>
      </w:tr>
      <w:tr>
        <w:tblPrEx>
          <w:tblCellMar>
            <w:top w:w="0" w:type="dxa"/>
            <w:left w:w="0" w:type="dxa"/>
            <w:bottom w:w="0" w:type="dxa"/>
            <w:right w:w="0" w:type="dxa"/>
          </w:tblCellMar>
        </w:tblPrEx>
        <w:trPr>
          <w:trHeight w:val="86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82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增强群众法律意识，积极化解矛盾纠纷，</w:t>
            </w:r>
            <w:r>
              <w:rPr>
                <w:rFonts w:hint="eastAsia" w:ascii="宋体" w:hAnsi="宋体" w:eastAsia="宋体" w:cs="宋体"/>
                <w:color w:val="auto"/>
                <w:sz w:val="24"/>
                <w:szCs w:val="24"/>
              </w:rPr>
              <w:t>维护社会和谐稳定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lang w:eastAsia="zh-CN"/>
              </w:rPr>
              <w:t>增强群众法律意识，积极化解矛盾纠纷，</w:t>
            </w:r>
            <w:r>
              <w:rPr>
                <w:rFonts w:hint="eastAsia" w:ascii="宋体" w:hAnsi="宋体" w:eastAsia="宋体" w:cs="宋体"/>
                <w:color w:val="auto"/>
                <w:sz w:val="24"/>
                <w:szCs w:val="24"/>
              </w:rPr>
              <w:t>维护社会和谐稳定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lang w:eastAsia="zh-CN"/>
              </w:rPr>
              <w:t>增强群众法律意识，积极化解矛盾纠纷，</w:t>
            </w:r>
            <w:r>
              <w:rPr>
                <w:rFonts w:hint="eastAsia" w:ascii="宋体" w:hAnsi="宋体" w:eastAsia="宋体" w:cs="宋体"/>
                <w:color w:val="auto"/>
                <w:sz w:val="24"/>
                <w:szCs w:val="24"/>
              </w:rPr>
              <w:t>维护社会和谐稳定</w:t>
            </w:r>
          </w:p>
        </w:tc>
      </w:tr>
      <w:tr>
        <w:tblPrEx>
          <w:tblCellMar>
            <w:top w:w="0" w:type="dxa"/>
            <w:left w:w="0" w:type="dxa"/>
            <w:bottom w:w="0" w:type="dxa"/>
            <w:right w:w="0" w:type="dxa"/>
          </w:tblCellMar>
        </w:tblPrEx>
        <w:trPr>
          <w:trHeight w:val="80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spacing w:line="580" w:lineRule="exact"/>
        <w:ind w:left="630"/>
        <w:rPr>
          <w:rFonts w:ascii="仿宋_GB2312" w:hAnsi="仿宋_GB2312" w:eastAsia="仿宋_GB2312" w:cs="仿宋_GB2312"/>
          <w:color w:val="auto"/>
          <w:sz w:val="32"/>
          <w:szCs w:val="32"/>
        </w:rPr>
      </w:pPr>
    </w:p>
    <w:p>
      <w:pPr>
        <w:pStyle w:val="2"/>
        <w:rPr>
          <w:color w:val="auto"/>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2.部门绩效评价结果。</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本部门按要求对20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年部门整体支出绩效评价情况开展自评，《</w:t>
      </w:r>
      <w:r>
        <w:rPr>
          <w:rFonts w:hint="eastAsia" w:ascii="方正仿宋简体" w:hAnsi="方正仿宋简体" w:eastAsia="方正仿宋简体" w:cs="方正仿宋简体"/>
          <w:color w:val="auto"/>
          <w:sz w:val="32"/>
          <w:szCs w:val="32"/>
          <w:lang w:eastAsia="zh-CN"/>
        </w:rPr>
        <w:t>河西街道</w:t>
      </w: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年部门整体支出绩效评价报告》见附件（附件1）。</w:t>
      </w:r>
    </w:p>
    <w:p>
      <w:pPr>
        <w:spacing w:line="580" w:lineRule="exact"/>
        <w:ind w:firstLine="640"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color w:val="auto"/>
          <w:sz w:val="32"/>
          <w:szCs w:val="32"/>
        </w:rPr>
        <w:t>本部门自行组织对义务兵家庭生活补助项目</w:t>
      </w:r>
      <w:r>
        <w:rPr>
          <w:rFonts w:hint="eastAsia" w:ascii="方正仿宋简体" w:hAnsi="方正仿宋简体" w:eastAsia="方正仿宋简体" w:cs="方正仿宋简体"/>
          <w:color w:val="auto"/>
          <w:sz w:val="32"/>
          <w:szCs w:val="32"/>
          <w:lang w:eastAsia="zh-CN"/>
        </w:rPr>
        <w:t>、文明劝导员补助项目、基础武装经费项目、森林防火经费项目、大调解项目</w:t>
      </w:r>
      <w:r>
        <w:rPr>
          <w:rFonts w:hint="eastAsia" w:ascii="方正仿宋简体" w:hAnsi="方正仿宋简体" w:eastAsia="方正仿宋简体" w:cs="方正仿宋简体"/>
          <w:color w:val="auto"/>
          <w:sz w:val="32"/>
          <w:szCs w:val="32"/>
        </w:rPr>
        <w:t>开展了绩效评价《</w:t>
      </w:r>
      <w:r>
        <w:rPr>
          <w:rFonts w:hint="eastAsia" w:ascii="方正仿宋简体" w:hAnsi="方正仿宋简体" w:eastAsia="方正仿宋简体" w:cs="方正仿宋简体"/>
          <w:color w:val="auto"/>
          <w:sz w:val="32"/>
          <w:szCs w:val="32"/>
          <w:lang w:eastAsia="zh-CN"/>
        </w:rPr>
        <w:t>河西街道</w:t>
      </w:r>
      <w:r>
        <w:rPr>
          <w:rFonts w:hint="eastAsia" w:ascii="方正仿宋简体" w:hAnsi="方正仿宋简体" w:eastAsia="方正仿宋简体" w:cs="方正仿宋简体"/>
          <w:color w:val="auto"/>
          <w:sz w:val="32"/>
          <w:szCs w:val="32"/>
        </w:rPr>
        <w:t>项目20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3"/>
        </w:numPr>
        <w:spacing w:line="600" w:lineRule="exact"/>
        <w:ind w:firstLine="660" w:firstLineChars="150"/>
        <w:jc w:val="center"/>
        <w:outlineLvl w:val="0"/>
        <w:rPr>
          <w:rStyle w:val="27"/>
          <w:rFonts w:hint="eastAsia" w:ascii="方正小标宋简体" w:hAnsi="方正小标宋简体" w:eastAsia="方正小标宋简体" w:cs="方正小标宋简体"/>
          <w:b w:val="0"/>
          <w:color w:val="auto"/>
        </w:rPr>
      </w:pPr>
      <w:bookmarkStart w:id="55" w:name="_Toc15377225"/>
      <w:bookmarkStart w:id="56" w:name="_Toc15396613"/>
      <w:r>
        <w:rPr>
          <w:rFonts w:hint="eastAsia" w:ascii="方正小标宋简体" w:hAnsi="方正小标宋简体" w:eastAsia="方正小标宋简体" w:cs="方正小标宋简体"/>
          <w:color w:val="auto"/>
          <w:sz w:val="44"/>
          <w:szCs w:val="44"/>
        </w:rPr>
        <w:t>名</w:t>
      </w:r>
      <w:r>
        <w:rPr>
          <w:rStyle w:val="27"/>
          <w:rFonts w:hint="eastAsia" w:ascii="方正小标宋简体" w:hAnsi="方正小标宋简体" w:eastAsia="方正小标宋简体" w:cs="方正小标宋简体"/>
          <w:b w:val="0"/>
          <w:color w:val="auto"/>
        </w:rPr>
        <w:t>词解释</w:t>
      </w:r>
      <w:bookmarkEnd w:id="55"/>
      <w:bookmarkEnd w:id="56"/>
    </w:p>
    <w:p>
      <w:pPr>
        <w:spacing w:line="600" w:lineRule="exact"/>
        <w:jc w:val="left"/>
        <w:rPr>
          <w:rFonts w:ascii="宋体"/>
          <w:b/>
          <w:color w:val="auto"/>
          <w:sz w:val="44"/>
          <w:szCs w:val="44"/>
        </w:rPr>
      </w:pP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1.财政拨款收入：指单位从同级财政部门取得的财政预算资金。</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2.事业收入：指事业单位开展专业业务活动及辅助活动取得的收入。如…（二级预算单位事业收入情况）等。</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3.经营收入：指事业单位在专业业务活动及其辅助活动之外开展非独立核算经营活动取得的收入。如…（二级预算单位经营收入情况）等。</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4.其他收入：指单位取得的除上述收入以外的各项收入。主要是…（收入类型）等。</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6.年初结转和结余：指以前年度尚未完成、结转到本年按有关规定继续使用的资金。</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7.结余分配：指事业单位按照事业单位会计制度的规定从非财政补助结余中分配的事业基金和职工福利基金等。</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8、年末结转和结余：指单位按有关规定结转到下年或以后年度继续使用的资金。</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9.一般公共服务：2010301行政运行指政府机关（包括实行公务员管理的事业单位）的基本支出；2010601行政运行指财政机构（包括实行公务员管理的事业单位）的基本支出；2013101党委机构（包括实行公务员管理的事业单位）的基本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8.文化体育与传媒：2070101行政运行指政府用于公用文化设施、艺术表演团体及文化艺术活动行政机关（包括实行公务员管理的事业单位）的基本支出；2079999群众文化方面的支出，包括基层文化馆（站）、群众艺术馆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9.社会保障和就业：2080504未归口管理的行政事业单位离退休指单位离退休职工基本支出；2080505机关事业单位基本养老保险缴费支出指机关事业单位实施养老保险制度由单位缴纳的基本养老保险费的支出；2080801死亡抚恤指死亡抚恤方面的支出；2080805义务兵优待指义务兵优待方面的支出2089901其他社会保障和就业指其他社会保障和就业方面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10.医疗卫生与计划生育：2100101行政运行指计划生育服务及卫生方面的支出；2100501行政单位医疗指财政部门集中安排的行政单位基本医疗保险缴费经费，未参加医疗保险的行政单位的公费医疗经费，按国家规定享受离休人员、红军老战士待遇人员的医疗经费；2100799其他计划生育事务指社抚费方面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11.节能环保：2110401生态保护指创国卫方面的城乡社区道路清扫、垃圾清运及处理、公厕建设与维护、园林绿化等方面的支出。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12.城乡社区：2120101行政运行指城乡社区管理行政机关（包括实行公务员管理的事业单位）的基本支出；2120102一般行政管理使用指文明劝导员岗位补助支出；2120303小城镇基础设施建设指农村公路、乡村道路建设方面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13.农林水：2130101指农村</w:t>
      </w:r>
      <w:r>
        <w:rPr>
          <w:rFonts w:hint="eastAsia" w:ascii="方正仿宋简体" w:hAnsi="方正仿宋简体" w:eastAsia="方正仿宋简体" w:cs="方正仿宋简体"/>
          <w:color w:val="auto"/>
          <w:sz w:val="32"/>
          <w:szCs w:val="32"/>
          <w:lang w:eastAsia="zh-CN"/>
        </w:rPr>
        <w:t>村</w:t>
      </w:r>
      <w:r>
        <w:rPr>
          <w:rFonts w:hint="eastAsia" w:ascii="方正仿宋简体" w:hAnsi="方正仿宋简体" w:eastAsia="方正仿宋简体" w:cs="方正仿宋简体"/>
          <w:color w:val="auto"/>
          <w:sz w:val="32"/>
          <w:szCs w:val="32"/>
        </w:rPr>
        <w:t>财务机构的基本支出，2130199其他农业支出指农业支出项目以外其他用于农业方面的支出；</w:t>
      </w:r>
      <w:r>
        <w:rPr>
          <w:rFonts w:hint="eastAsia" w:ascii="方正仿宋简体" w:hAnsi="方正仿宋简体" w:eastAsia="方正仿宋简体" w:cs="方正仿宋简体"/>
          <w:color w:val="auto"/>
          <w:sz w:val="32"/>
          <w:szCs w:val="32"/>
          <w:lang w:val="en-US" w:eastAsia="zh-CN"/>
        </w:rPr>
        <w:t>2130234防灾减灾指的是森林防火方面支出，2130599其他扶贫支出指非贫困县驻村第一书记工作经费；</w:t>
      </w:r>
      <w:r>
        <w:rPr>
          <w:rFonts w:hint="eastAsia" w:ascii="方正仿宋简体" w:hAnsi="方正仿宋简体" w:eastAsia="方正仿宋简体" w:cs="方正仿宋简体"/>
          <w:color w:val="auto"/>
          <w:sz w:val="32"/>
          <w:szCs w:val="32"/>
        </w:rPr>
        <w:t>2130705对村民委员会和村党支部的补助指各级财政对村民委员会和村党支部的补助支出，以及支持建立县级基本财力保障机制安排的村级组织运转奖补资金；2130</w:t>
      </w:r>
      <w:r>
        <w:rPr>
          <w:rFonts w:hint="eastAsia" w:ascii="方正仿宋简体" w:hAnsi="方正仿宋简体" w:eastAsia="方正仿宋简体" w:cs="方正仿宋简体"/>
          <w:color w:val="auto"/>
          <w:sz w:val="32"/>
          <w:szCs w:val="32"/>
          <w:lang w:val="en-US" w:eastAsia="zh-CN"/>
        </w:rPr>
        <w:t>799其他农村综合改革支出指用于村环境卫生，宣传村新村形象发生的支出。</w:t>
      </w:r>
    </w:p>
    <w:p>
      <w:pPr>
        <w:pStyle w:val="25"/>
        <w:spacing w:line="56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14.交通运输支出：2140199其他公路水路运输支出指保障农村交通出行安全方面的支出。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.住房保障：2210201住房公积金指行政单位按人力资源和社会保障部、财政部规定的基本工资和津贴补贴以及规定比例为职工缴纳的住房公积金。  </w:t>
      </w:r>
    </w:p>
    <w:p>
      <w:pPr>
        <w:pStyle w:val="25"/>
        <w:spacing w:line="56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16.灾害防治及应急管理支出：2240701中央自然灾害生活补助指受灾群众发生自然灾害方面的应急支出，2240703自然灾害道路修复资金指发生自然灾害针对基础设施损毁方面的应急支出。</w:t>
      </w:r>
    </w:p>
    <w:p>
      <w:pPr>
        <w:spacing w:line="600" w:lineRule="exact"/>
        <w:rPr>
          <w:rFonts w:ascii="仿宋" w:hAnsi="仿宋" w:eastAsia="仿宋"/>
          <w:b/>
          <w:color w:val="auto"/>
          <w:sz w:val="32"/>
          <w:szCs w:val="32"/>
        </w:rPr>
      </w:pPr>
      <w:r>
        <w:rPr>
          <w:rFonts w:hint="eastAsia" w:ascii="仿宋" w:hAnsi="仿宋" w:eastAsia="仿宋"/>
          <w:b/>
          <w:color w:val="auto"/>
          <w:sz w:val="32"/>
          <w:szCs w:val="32"/>
        </w:rPr>
        <w:t>（解释本部门决算报表中全部功能分类科目至项级，请参照《</w:t>
      </w:r>
      <w:r>
        <w:rPr>
          <w:rFonts w:ascii="仿宋" w:hAnsi="仿宋" w:eastAsia="仿宋"/>
          <w:b/>
          <w:color w:val="auto"/>
          <w:sz w:val="32"/>
          <w:szCs w:val="32"/>
        </w:rPr>
        <w:t>201</w:t>
      </w:r>
      <w:r>
        <w:rPr>
          <w:rFonts w:hint="eastAsia" w:ascii="仿宋" w:hAnsi="仿宋" w:eastAsia="仿宋"/>
          <w:b/>
          <w:color w:val="auto"/>
          <w:sz w:val="32"/>
          <w:szCs w:val="32"/>
        </w:rPr>
        <w:t>9年政府收支分类科目》增减内容。）</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17.</w:t>
      </w:r>
      <w:r>
        <w:rPr>
          <w:rFonts w:hint="eastAsia" w:ascii="方正仿宋简体" w:hAnsi="方正仿宋简体" w:eastAsia="方正仿宋简体" w:cs="方正仿宋简体"/>
          <w:color w:val="auto"/>
          <w:sz w:val="32"/>
          <w:szCs w:val="32"/>
        </w:rPr>
        <w:t>基本支出：指为保障机构正常运转、完成日常工作任务而发生的人员支出和公用支出。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8.项目支出：指在基本支出之外为完成特定行政任务和事业发展目标所发生的支出。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9.经营支出：指事业单位在专业业务活动及其辅助活动之外开展非独立核算经营活动发生的支出。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（名词解释部分请根据各部门实际列支情况罗列，并根据本部门职责职能增减名词解释内容。）</w:t>
      </w:r>
    </w:p>
    <w:p>
      <w:pPr>
        <w:spacing w:line="600" w:lineRule="exact"/>
        <w:jc w:val="center"/>
        <w:outlineLvl w:val="0"/>
        <w:rPr>
          <w:rFonts w:hint="eastAsia" w:ascii="方正小标宋简体" w:hAnsi="方正小标宋简体" w:eastAsia="方正小标宋简体" w:cs="方正小标宋简体"/>
          <w:color w:val="auto"/>
          <w:sz w:val="44"/>
          <w:szCs w:val="44"/>
        </w:rPr>
      </w:pPr>
      <w:bookmarkStart w:id="57" w:name="_Toc15377226"/>
      <w:r>
        <w:rPr>
          <w:rFonts w:ascii="宋体"/>
          <w:b/>
          <w:color w:val="auto"/>
          <w:sz w:val="44"/>
          <w:szCs w:val="44"/>
        </w:rPr>
        <w:br w:type="page"/>
      </w:r>
      <w:bookmarkStart w:id="58" w:name="_Toc15396614"/>
      <w:r>
        <w:rPr>
          <w:rFonts w:hint="eastAsia" w:ascii="方正小标宋简体" w:hAnsi="方正小标宋简体" w:eastAsia="方正小标宋简体" w:cs="方正小标宋简体"/>
          <w:color w:val="auto"/>
          <w:sz w:val="44"/>
          <w:szCs w:val="44"/>
        </w:rPr>
        <w:t>第四部分 附件</w:t>
      </w:r>
      <w:bookmarkEnd w:id="58"/>
    </w:p>
    <w:p>
      <w:pPr>
        <w:spacing w:line="600" w:lineRule="exact"/>
        <w:jc w:val="left"/>
        <w:outlineLvl w:val="0"/>
        <w:rPr>
          <w:rFonts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rPr>
        <w:t>附件1</w:t>
      </w:r>
    </w:p>
    <w:p>
      <w:pPr>
        <w:spacing w:line="58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ascii="方正小标宋简体" w:hAnsi="宋体" w:eastAsia="方正小标宋简体"/>
          <w:color w:val="auto"/>
          <w:kern w:val="0"/>
          <w:sz w:val="40"/>
          <w:szCs w:val="44"/>
          <w:lang w:val="zh-CN"/>
        </w:rPr>
      </w:pPr>
      <w:r>
        <w:rPr>
          <w:rFonts w:hint="eastAsia" w:ascii="方正小标宋简体" w:hAnsi="宋体" w:eastAsia="方正小标宋简体"/>
          <w:color w:val="auto"/>
          <w:kern w:val="0"/>
          <w:sz w:val="40"/>
          <w:szCs w:val="44"/>
          <w:lang w:val="zh-CN" w:eastAsia="zh-CN"/>
        </w:rPr>
        <w:t>河西街道</w:t>
      </w:r>
      <w:r>
        <w:rPr>
          <w:rFonts w:ascii="方正小标宋简体" w:hAnsi="宋体" w:eastAsia="方正小标宋简体"/>
          <w:color w:val="auto"/>
          <w:kern w:val="0"/>
          <w:sz w:val="40"/>
          <w:szCs w:val="44"/>
        </w:rPr>
        <w:t>20</w:t>
      </w:r>
      <w:r>
        <w:rPr>
          <w:rFonts w:hint="eastAsia" w:ascii="方正小标宋简体" w:hAnsi="宋体" w:eastAsia="方正小标宋简体"/>
          <w:color w:val="auto"/>
          <w:kern w:val="0"/>
          <w:sz w:val="40"/>
          <w:szCs w:val="44"/>
          <w:lang w:val="en-US" w:eastAsia="zh-CN"/>
        </w:rPr>
        <w:t>20</w:t>
      </w:r>
      <w:r>
        <w:rPr>
          <w:rFonts w:ascii="方正小标宋简体" w:hAnsi="宋体" w:eastAsia="方正小标宋简体"/>
          <w:color w:val="auto"/>
          <w:kern w:val="0"/>
          <w:sz w:val="40"/>
          <w:szCs w:val="44"/>
        </w:rPr>
        <w:t>年部门</w:t>
      </w:r>
      <w:r>
        <w:rPr>
          <w:rFonts w:hint="eastAsia" w:ascii="方正小标宋简体" w:hAnsi="宋体" w:eastAsia="方正小标宋简体"/>
          <w:color w:val="auto"/>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auto"/>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auto"/>
          <w:kern w:val="0"/>
          <w:sz w:val="32"/>
          <w:szCs w:val="32"/>
          <w:shd w:val="clear" w:color="auto" w:fill="FFFFFF"/>
          <w:lang w:val="zh-CN"/>
        </w:rPr>
      </w:pPr>
      <w:r>
        <w:rPr>
          <w:rFonts w:hint="eastAsia" w:ascii="黑体" w:hAnsi="宋体" w:eastAsia="黑体" w:cs="宋体"/>
          <w:color w:val="auto"/>
          <w:kern w:val="0"/>
          <w:sz w:val="32"/>
          <w:szCs w:val="32"/>
          <w:shd w:val="clear" w:color="auto" w:fill="FFFFFF"/>
        </w:rPr>
        <w:t>一、</w:t>
      </w:r>
      <w:r>
        <w:rPr>
          <w:rFonts w:hint="eastAsia" w:ascii="黑体" w:hAnsi="宋体" w:eastAsia="黑体" w:cs="宋体"/>
          <w:color w:val="auto"/>
          <w:kern w:val="0"/>
          <w:sz w:val="32"/>
          <w:szCs w:val="32"/>
          <w:shd w:val="clear" w:color="auto" w:fill="FFFFFF"/>
          <w:lang w:val="zh-CN"/>
        </w:rPr>
        <w:t>部门（单位）概况</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（一）机构组成。</w:t>
      </w:r>
    </w:p>
    <w:p>
      <w:pPr>
        <w:pStyle w:val="25"/>
        <w:spacing w:line="560" w:lineRule="exact"/>
        <w:ind w:firstLine="640" w:firstLineChars="200"/>
        <w:rPr>
          <w:rFonts w:hint="eastAsia" w:ascii="方正仿宋简体" w:hAnsi="方正仿宋简体" w:eastAsia="方正仿宋简体" w:cs="方正仿宋简体"/>
          <w:color w:val="auto"/>
          <w:sz w:val="32"/>
          <w:szCs w:val="32"/>
          <w:lang w:val="zh-CN"/>
        </w:rPr>
      </w:pPr>
      <w:r>
        <w:rPr>
          <w:rFonts w:hint="eastAsia" w:ascii="方正仿宋简体" w:hAnsi="方正仿宋简体" w:eastAsia="方正仿宋简体" w:cs="方正仿宋简体"/>
          <w:color w:val="auto"/>
          <w:sz w:val="32"/>
          <w:szCs w:val="32"/>
        </w:rPr>
        <w:t>河西街道办事处辖</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个行政村、</w:t>
      </w: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sz w:val="32"/>
          <w:szCs w:val="32"/>
        </w:rPr>
        <w:t>个社区、</w:t>
      </w:r>
      <w:r>
        <w:rPr>
          <w:rFonts w:hint="eastAsia" w:ascii="方正仿宋简体" w:hAnsi="方正仿宋简体" w:eastAsia="方正仿宋简体" w:cs="方正仿宋简体"/>
          <w:color w:val="auto"/>
          <w:sz w:val="32"/>
          <w:szCs w:val="32"/>
          <w:lang w:val="en-US" w:eastAsia="zh-CN"/>
        </w:rPr>
        <w:t>80</w:t>
      </w:r>
      <w:r>
        <w:rPr>
          <w:rFonts w:hint="eastAsia" w:ascii="方正仿宋简体" w:hAnsi="方正仿宋简体" w:eastAsia="方正仿宋简体" w:cs="方正仿宋简体"/>
          <w:color w:val="auto"/>
          <w:sz w:val="32"/>
          <w:szCs w:val="32"/>
        </w:rPr>
        <w:t>个零星小组，幅员面积</w:t>
      </w:r>
      <w:r>
        <w:rPr>
          <w:rFonts w:hint="eastAsia" w:ascii="方正仿宋简体" w:hAnsi="方正仿宋简体" w:eastAsia="方正仿宋简体" w:cs="方正仿宋简体"/>
          <w:color w:val="auto"/>
          <w:sz w:val="32"/>
          <w:szCs w:val="32"/>
          <w:lang w:val="en-US" w:eastAsia="zh-CN"/>
        </w:rPr>
        <w:t>55</w:t>
      </w:r>
      <w:r>
        <w:rPr>
          <w:rFonts w:hint="eastAsia" w:ascii="方正仿宋简体" w:hAnsi="方正仿宋简体" w:eastAsia="方正仿宋简体" w:cs="方正仿宋简体"/>
          <w:color w:val="auto"/>
          <w:sz w:val="32"/>
          <w:szCs w:val="32"/>
        </w:rPr>
        <w:t>平方公里，总人口</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万余人。河西街道办事处是利州区人民政府派出机构，属于行政机关单位，经费来源属于全额拨款，</w:t>
      </w:r>
      <w:r>
        <w:rPr>
          <w:rFonts w:hint="eastAsia" w:ascii="方正仿宋简体" w:hAnsi="方正仿宋简体" w:eastAsia="方正仿宋简体" w:cs="方正仿宋简体"/>
          <w:color w:val="auto"/>
          <w:sz w:val="32"/>
          <w:szCs w:val="32"/>
          <w:lang w:eastAsia="zh-CN"/>
        </w:rPr>
        <w:t>内设七办三中心</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七</w:t>
      </w:r>
      <w:r>
        <w:rPr>
          <w:rFonts w:hint="eastAsia" w:ascii="方正仿宋简体" w:hAnsi="方正仿宋简体" w:eastAsia="方正仿宋简体" w:cs="方正仿宋简体"/>
          <w:color w:val="auto"/>
          <w:sz w:val="32"/>
          <w:szCs w:val="32"/>
        </w:rPr>
        <w:t>办：党政</w:t>
      </w:r>
      <w:r>
        <w:rPr>
          <w:rFonts w:hint="eastAsia" w:ascii="方正仿宋简体" w:hAnsi="方正仿宋简体" w:eastAsia="方正仿宋简体" w:cs="方正仿宋简体"/>
          <w:color w:val="auto"/>
          <w:sz w:val="32"/>
          <w:szCs w:val="32"/>
          <w:lang w:val="en-US" w:eastAsia="zh-CN"/>
        </w:rPr>
        <w:t>综合</w:t>
      </w:r>
      <w:r>
        <w:rPr>
          <w:rFonts w:hint="eastAsia" w:ascii="方正仿宋简体" w:hAnsi="方正仿宋简体" w:eastAsia="方正仿宋简体" w:cs="方正仿宋简体"/>
          <w:color w:val="auto"/>
          <w:sz w:val="32"/>
          <w:szCs w:val="32"/>
        </w:rPr>
        <w:t>办、</w:t>
      </w:r>
      <w:r>
        <w:rPr>
          <w:rFonts w:hint="eastAsia" w:ascii="方正仿宋简体" w:hAnsi="方正仿宋简体" w:eastAsia="方正仿宋简体" w:cs="方正仿宋简体"/>
          <w:color w:val="auto"/>
          <w:sz w:val="32"/>
          <w:szCs w:val="32"/>
          <w:lang w:val="en-US" w:eastAsia="zh-CN"/>
        </w:rPr>
        <w:t>党建办，公共服务办、发展保障办、综合执法办（物业管理办）</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综合治理办、应急管理办，三</w:t>
      </w:r>
      <w:r>
        <w:rPr>
          <w:rFonts w:hint="eastAsia" w:ascii="方正仿宋简体" w:hAnsi="方正仿宋简体" w:eastAsia="方正仿宋简体" w:cs="方正仿宋简体"/>
          <w:color w:val="auto"/>
          <w:sz w:val="32"/>
          <w:szCs w:val="32"/>
        </w:rPr>
        <w:t>中心：</w:t>
      </w:r>
      <w:r>
        <w:rPr>
          <w:rFonts w:hint="eastAsia" w:ascii="方正仿宋简体" w:hAnsi="方正仿宋简体" w:eastAsia="方正仿宋简体" w:cs="方正仿宋简体"/>
          <w:color w:val="auto"/>
          <w:sz w:val="32"/>
          <w:szCs w:val="32"/>
          <w:lang w:val="en-US" w:eastAsia="zh-CN"/>
        </w:rPr>
        <w:t>党群服务中心</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社区事务中心、农业服务中心，</w:t>
      </w:r>
      <w:r>
        <w:rPr>
          <w:rFonts w:hint="eastAsia" w:ascii="方正仿宋简体" w:hAnsi="方正仿宋简体" w:eastAsia="方正仿宋简体" w:cs="方正仿宋简体"/>
          <w:color w:val="auto"/>
          <w:sz w:val="32"/>
          <w:szCs w:val="32"/>
        </w:rPr>
        <w:t>设立司法所</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个区级部门延伸机构。</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（二）机构职能。</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rPr>
        <w:t>街道党工委是区委派出机关，根据区委的授权，在辖区内发挥总揽全局、协调各方的领导核心作用，对经济建设、政治建设、文化建设、社会建设、生态文明建设全面领导。街道办事处是区政府的派出机关，在街道党工委的领导下，依法在辖区内履行相应的政府服务和管理职能。街道党工委、街道办事处主要职责为：</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1.</w:t>
      </w:r>
      <w:r>
        <w:rPr>
          <w:rFonts w:ascii="方正仿宋简体" w:eastAsia="方正仿宋简体"/>
          <w:color w:val="auto"/>
          <w:sz w:val="32"/>
          <w:szCs w:val="32"/>
        </w:rPr>
        <w:t>加强党的建设。强化党的政治建设、思想建设、组织建设、作风建设、纪律建设，落实基层党建工作责任制，深入推进反腐败斗争，加强基层意识形态工作</w:t>
      </w:r>
      <w:r>
        <w:rPr>
          <w:rFonts w:hint="eastAsia" w:ascii="方正仿宋简体" w:eastAsia="方正仿宋简体"/>
          <w:color w:val="auto"/>
          <w:sz w:val="32"/>
          <w:szCs w:val="32"/>
        </w:rPr>
        <w:t>；</w:t>
      </w:r>
      <w:r>
        <w:rPr>
          <w:rFonts w:ascii="方正仿宋简体" w:eastAsia="方正仿宋简体"/>
          <w:color w:val="auto"/>
          <w:sz w:val="32"/>
          <w:szCs w:val="32"/>
        </w:rPr>
        <w:t>推进街道社区党建、单位党建、行业党建互联互动。</w:t>
      </w:r>
      <w:r>
        <w:rPr>
          <w:rFonts w:hint="eastAsia" w:ascii="方正仿宋简体" w:eastAsia="方正仿宋简体"/>
          <w:color w:val="auto"/>
          <w:sz w:val="32"/>
          <w:szCs w:val="32"/>
        </w:rPr>
        <w:t>加强对街道人大工作机构、人武部、群团组织等的领导。</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2.</w:t>
      </w:r>
      <w:r>
        <w:rPr>
          <w:rFonts w:hint="eastAsia" w:ascii="方正仿宋简体" w:eastAsia="方正仿宋简体"/>
          <w:color w:val="auto"/>
          <w:sz w:val="32"/>
          <w:szCs w:val="32"/>
        </w:rPr>
        <w:t>统筹区域发展。统筹落实辖区发展的重大决策，参与辖区建设规划和公共服务设施布局，推动辖区健康、有序、可持续发展。涉农街道要加强农业农村工作。</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3.</w:t>
      </w:r>
      <w:r>
        <w:rPr>
          <w:rFonts w:hint="eastAsia" w:ascii="方正仿宋简体" w:eastAsia="方正仿宋简体"/>
          <w:color w:val="auto"/>
          <w:sz w:val="32"/>
          <w:szCs w:val="32"/>
        </w:rPr>
        <w:t>组织公共服务。组织实施与居民生活密切相关的各项公共服务，落实民生保障政策，加强社区服务配套设施和综合服务平台建设，完善社区综合服务功能。</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4.</w:t>
      </w:r>
      <w:r>
        <w:rPr>
          <w:rFonts w:hint="eastAsia" w:ascii="方正仿宋简体" w:eastAsia="方正仿宋简体"/>
          <w:color w:val="auto"/>
          <w:sz w:val="32"/>
          <w:szCs w:val="32"/>
        </w:rPr>
        <w:t>优化营商环境。优化投资、经营环境，推进重点项目建设和发展；联系和服务驻辖区单位、企业及市场主体，保护各种经济组织的合法权益。</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5.</w:t>
      </w:r>
      <w:r>
        <w:rPr>
          <w:rFonts w:hint="eastAsia" w:ascii="方正仿宋简体" w:eastAsia="方正仿宋简体"/>
          <w:color w:val="auto"/>
          <w:sz w:val="32"/>
          <w:szCs w:val="32"/>
        </w:rPr>
        <w:t>实施综合治理。组织领导、推进实施、综合协调辖区内城市管理、人口管理等综合性工作；组织开展辖区内环境综合治理，协助相关部门做好绿化美化、市政公共设施维护管理等工作。</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6.</w:t>
      </w:r>
      <w:r>
        <w:rPr>
          <w:rFonts w:hint="eastAsia" w:ascii="方正仿宋简体" w:eastAsia="方正仿宋简体"/>
          <w:color w:val="auto"/>
          <w:sz w:val="32"/>
          <w:szCs w:val="32"/>
        </w:rPr>
        <w:t>动员社会参与。动员指导辖区内各类单位、社会组织和社区居民等社会力量参与社会治理，引导辖区单位履行社会责任，整合辖区内各种社会力量资源为街道社区发展服务。</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7.</w:t>
      </w:r>
      <w:r>
        <w:rPr>
          <w:rFonts w:hint="eastAsia" w:ascii="方正仿宋简体" w:eastAsia="方正仿宋简体"/>
          <w:color w:val="auto"/>
          <w:sz w:val="32"/>
          <w:szCs w:val="32"/>
        </w:rPr>
        <w:t>领导基层自治。完善党组织主导的基层民主选举、民主决策、民主管理、民主监督的规则、程序、办法；建立党建引领下的社区居民委员会、业主委员会、业主监督委员会、物业服务企业协调运行机制。</w:t>
      </w:r>
    </w:p>
    <w:p>
      <w:pPr>
        <w:overflowPunct w:val="0"/>
        <w:autoSpaceDE w:val="0"/>
        <w:autoSpaceDN w:val="0"/>
        <w:spacing w:line="560" w:lineRule="exact"/>
        <w:ind w:firstLine="640" w:firstLineChars="200"/>
        <w:rPr>
          <w:rFonts w:hint="eastAsia" w:ascii="方正仿宋简体" w:eastAsia="方正仿宋简体"/>
          <w:color w:val="auto"/>
          <w:sz w:val="32"/>
          <w:szCs w:val="32"/>
        </w:rPr>
      </w:pPr>
      <w:r>
        <w:rPr>
          <w:rFonts w:hint="eastAsia" w:ascii="方正仿宋简体" w:eastAsia="方正仿宋简体"/>
          <w:color w:val="auto"/>
          <w:sz w:val="32"/>
          <w:szCs w:val="32"/>
          <w:lang w:val="en-US" w:eastAsia="zh-CN"/>
        </w:rPr>
        <w:t>8.</w:t>
      </w:r>
      <w:r>
        <w:rPr>
          <w:rFonts w:hint="eastAsia" w:ascii="方正仿宋简体" w:eastAsia="方正仿宋简体"/>
          <w:color w:val="auto"/>
          <w:sz w:val="32"/>
          <w:szCs w:val="32"/>
        </w:rPr>
        <w:t>维护安全稳定。负责辖区平安建设、社会治安综合治理、公共安全及安全生产监管等相关工作，处理群众来信来访，化解矛盾纠纷。</w:t>
      </w:r>
    </w:p>
    <w:p>
      <w:pPr>
        <w:overflowPunct w:val="0"/>
        <w:autoSpaceDE w:val="0"/>
        <w:autoSpaceDN w:val="0"/>
        <w:spacing w:line="560" w:lineRule="exact"/>
        <w:ind w:firstLine="640" w:firstLineChars="200"/>
        <w:rPr>
          <w:rFonts w:hint="eastAsia" w:ascii="仿宋" w:hAnsi="仿宋" w:eastAsia="仿宋"/>
          <w:bCs/>
          <w:color w:val="auto"/>
          <w:sz w:val="32"/>
          <w:szCs w:val="32"/>
        </w:rPr>
      </w:pPr>
      <w:r>
        <w:rPr>
          <w:rFonts w:hint="eastAsia" w:ascii="方正仿宋简体" w:eastAsia="方正仿宋简体"/>
          <w:color w:val="auto"/>
          <w:sz w:val="32"/>
          <w:szCs w:val="32"/>
          <w:lang w:val="en-US" w:eastAsia="zh-CN"/>
        </w:rPr>
        <w:t>9.</w:t>
      </w:r>
      <w:r>
        <w:rPr>
          <w:rFonts w:hint="eastAsia" w:ascii="方正仿宋简体" w:eastAsia="方正仿宋简体"/>
          <w:color w:val="auto"/>
          <w:sz w:val="32"/>
          <w:szCs w:val="32"/>
        </w:rPr>
        <w:t>完成区委、区政府交办的其他事项。</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（三）人员概况。</w:t>
      </w:r>
    </w:p>
    <w:p>
      <w:pPr>
        <w:pStyle w:val="25"/>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2020年末在职职工69人，其中：公务员24人、工勤人员3人、事业人员42人，离退休53人，其中：退休公务员37人，退休事业人员16人，</w:t>
      </w:r>
      <w:r>
        <w:rPr>
          <w:rFonts w:hint="eastAsia" w:ascii="方正仿宋简体" w:hAnsi="方正仿宋简体" w:eastAsia="方正仿宋简体" w:cs="方正仿宋简体"/>
          <w:color w:val="auto"/>
          <w:sz w:val="32"/>
          <w:szCs w:val="32"/>
          <w:lang w:eastAsia="zh-CN"/>
        </w:rPr>
        <w:t>遗属</w:t>
      </w:r>
      <w:r>
        <w:rPr>
          <w:rFonts w:hint="eastAsia" w:ascii="方正仿宋简体" w:hAnsi="方正仿宋简体" w:eastAsia="方正仿宋简体" w:cs="方正仿宋简体"/>
          <w:color w:val="auto"/>
          <w:sz w:val="32"/>
          <w:szCs w:val="32"/>
        </w:rPr>
        <w:t>13人。当年事业干部退休1人（黎春华20年5月退休），死亡行政退休人员3人（2020年2月卢万学去世，周秉富4月去世，杨春信11月去世），由于行政区划改革调整，河西、回龙河、杨家岩三个办事处合并为一个，保留河西办事处，林业站、劳动保障所、农技站人员全部划到河西，公务员、事业干部调动比较多。</w:t>
      </w:r>
    </w:p>
    <w:p>
      <w:pPr>
        <w:widowControl/>
        <w:adjustRightInd w:val="0"/>
        <w:snapToGrid w:val="0"/>
        <w:spacing w:line="58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二、部门财政资金收支情况</w:t>
      </w:r>
    </w:p>
    <w:p>
      <w:pPr>
        <w:spacing w:line="580" w:lineRule="exact"/>
        <w:ind w:firstLine="640" w:firstLineChars="200"/>
        <w:rPr>
          <w:rFonts w:hint="eastAsia" w:ascii="仿宋" w:hAnsi="仿宋" w:eastAsia="仿宋"/>
          <w:color w:val="auto"/>
          <w:sz w:val="32"/>
          <w:szCs w:val="32"/>
          <w:lang w:eastAsia="zh-CN"/>
        </w:rPr>
      </w:pPr>
      <w:r>
        <w:rPr>
          <w:rFonts w:hint="eastAsia" w:ascii="方正楷体简体" w:hAnsi="方正楷体简体" w:eastAsia="方正楷体简体" w:cs="方正楷体简体"/>
          <w:color w:val="auto"/>
          <w:kern w:val="0"/>
          <w:sz w:val="32"/>
          <w:szCs w:val="32"/>
          <w:lang w:val="zh-CN" w:eastAsia="zh-CN" w:bidi="ar-SA"/>
        </w:rPr>
        <w:t>（一）部门财政资金收入情况。</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年本年决算收入</w:t>
      </w:r>
      <w:r>
        <w:rPr>
          <w:rFonts w:hint="eastAsia" w:ascii="仿宋_GB2312" w:hAnsi="宋体" w:eastAsia="仿宋_GB2312" w:cs="宋体"/>
          <w:color w:val="auto"/>
          <w:kern w:val="0"/>
          <w:sz w:val="32"/>
          <w:szCs w:val="32"/>
          <w:lang w:val="en-US" w:eastAsia="zh-CN"/>
        </w:rPr>
        <w:t>1932.04</w:t>
      </w:r>
      <w:r>
        <w:rPr>
          <w:rFonts w:hint="eastAsia" w:ascii="仿宋_GB2312" w:hAnsi="宋体" w:eastAsia="仿宋_GB2312" w:cs="宋体"/>
          <w:color w:val="auto"/>
          <w:kern w:val="0"/>
          <w:sz w:val="32"/>
          <w:szCs w:val="32"/>
        </w:rPr>
        <w:t>万元，其中</w:t>
      </w:r>
      <w:r>
        <w:rPr>
          <w:rFonts w:hint="eastAsia" w:ascii="仿宋_GB2312" w:hAnsi="宋体" w:eastAsia="仿宋_GB2312" w:cs="宋体"/>
          <w:color w:val="auto"/>
          <w:kern w:val="0"/>
          <w:sz w:val="32"/>
          <w:szCs w:val="32"/>
          <w:lang w:eastAsia="zh-CN"/>
        </w:rPr>
        <w:t>一般公共预算</w:t>
      </w:r>
      <w:r>
        <w:rPr>
          <w:rFonts w:hint="eastAsia" w:ascii="仿宋_GB2312" w:hAnsi="宋体" w:eastAsia="仿宋_GB2312" w:cs="宋体"/>
          <w:color w:val="auto"/>
          <w:kern w:val="0"/>
          <w:sz w:val="32"/>
          <w:szCs w:val="32"/>
        </w:rPr>
        <w:t>财政拨款</w:t>
      </w:r>
      <w:r>
        <w:rPr>
          <w:rFonts w:hint="eastAsia" w:ascii="仿宋_GB2312" w:hAnsi="宋体" w:eastAsia="仿宋_GB2312" w:cs="宋体"/>
          <w:color w:val="auto"/>
          <w:kern w:val="0"/>
          <w:sz w:val="32"/>
          <w:szCs w:val="32"/>
          <w:lang w:val="en-US" w:eastAsia="zh-CN"/>
        </w:rPr>
        <w:t>1832.04</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，政府性基金财政拨款</w:t>
      </w:r>
      <w:r>
        <w:rPr>
          <w:rFonts w:hint="eastAsia" w:ascii="仿宋_GB2312" w:hAnsi="宋体" w:eastAsia="仿宋_GB2312" w:cs="宋体"/>
          <w:color w:val="auto"/>
          <w:kern w:val="0"/>
          <w:sz w:val="32"/>
          <w:szCs w:val="32"/>
          <w:lang w:val="en-US" w:eastAsia="zh-CN"/>
        </w:rPr>
        <w:t>100万元</w:t>
      </w:r>
      <w:r>
        <w:rPr>
          <w:rFonts w:hint="eastAsia" w:ascii="仿宋" w:hAnsi="仿宋" w:eastAsia="仿宋"/>
          <w:color w:val="auto"/>
          <w:sz w:val="32"/>
          <w:szCs w:val="32"/>
          <w:lang w:eastAsia="zh-CN"/>
        </w:rPr>
        <w:t>。</w:t>
      </w:r>
    </w:p>
    <w:p>
      <w:pPr>
        <w:widowControl/>
        <w:shd w:val="clear" w:color="auto" w:fill="FFFFFF"/>
        <w:spacing w:line="576" w:lineRule="exact"/>
        <w:ind w:firstLine="640" w:firstLineChars="200"/>
        <w:jc w:val="left"/>
        <w:rPr>
          <w:rFonts w:ascii="仿宋_GB2312" w:hAnsi="宋体" w:eastAsia="仿宋_GB2312" w:cs="宋体"/>
          <w:color w:val="auto"/>
          <w:kern w:val="0"/>
          <w:sz w:val="32"/>
          <w:szCs w:val="32"/>
          <w:shd w:val="clear" w:color="auto" w:fill="FFFFFF"/>
          <w:lang w:val="zh-CN"/>
        </w:rPr>
      </w:pPr>
      <w:r>
        <w:rPr>
          <w:rFonts w:hint="eastAsia" w:ascii="方正楷体简体" w:hAnsi="方正楷体简体" w:eastAsia="方正楷体简体" w:cs="方正楷体简体"/>
          <w:color w:val="auto"/>
          <w:kern w:val="0"/>
          <w:sz w:val="32"/>
          <w:szCs w:val="32"/>
          <w:lang w:val="zh-CN" w:eastAsia="zh-CN" w:bidi="ar-SA"/>
        </w:rPr>
        <w:t>（二）部门财政资金支出情况。</w:t>
      </w:r>
      <w:r>
        <w:rPr>
          <w:rFonts w:hint="eastAsia" w:ascii="仿宋_GB2312" w:hAnsi="宋体" w:eastAsia="仿宋_GB2312" w:cs="宋体"/>
          <w:color w:val="auto"/>
          <w:kern w:val="0"/>
          <w:sz w:val="32"/>
          <w:szCs w:val="32"/>
        </w:rPr>
        <w:t>2020年本年支出合计2072</w:t>
      </w:r>
      <w:r>
        <w:rPr>
          <w:rFonts w:hint="eastAsia" w:ascii="仿宋_GB2312" w:hAnsi="宋体" w:eastAsia="仿宋_GB2312" w:cs="宋体"/>
          <w:color w:val="auto"/>
          <w:kern w:val="0"/>
          <w:sz w:val="32"/>
          <w:szCs w:val="32"/>
        </w:rPr>
        <w:t>.5439万元，其中：一般公共预算基本支出1616.1028万元，占77.98%；一般公共预算项目支出356.4411万元，占17.2%，政府基金预算支出100万元，占4.82%。</w:t>
      </w:r>
    </w:p>
    <w:p>
      <w:pPr>
        <w:widowControl/>
        <w:adjustRightInd w:val="0"/>
        <w:snapToGrid w:val="0"/>
        <w:spacing w:line="58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三、部门整体预算绩效管理情况</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（一）部门预算管理。</w:t>
      </w:r>
    </w:p>
    <w:p>
      <w:pPr>
        <w:shd w:val="clear" w:color="auto" w:fill="FFFFFF"/>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年初预算时制定总体</w:t>
      </w:r>
      <w:r>
        <w:rPr>
          <w:rFonts w:ascii="仿宋" w:hAnsi="仿宋" w:eastAsia="仿宋" w:cs="仿宋_GB2312"/>
          <w:color w:val="auto"/>
          <w:sz w:val="32"/>
          <w:szCs w:val="32"/>
        </w:rPr>
        <w:t>绩效目标、</w:t>
      </w:r>
      <w:r>
        <w:rPr>
          <w:rFonts w:hint="eastAsia" w:ascii="仿宋" w:hAnsi="仿宋" w:eastAsia="仿宋" w:cs="仿宋_GB2312"/>
          <w:color w:val="auto"/>
          <w:sz w:val="32"/>
          <w:szCs w:val="32"/>
        </w:rPr>
        <w:t>人员经费</w:t>
      </w:r>
      <w:r>
        <w:rPr>
          <w:rFonts w:hint="eastAsia" w:ascii="仿宋" w:hAnsi="仿宋" w:eastAsia="仿宋" w:cs="仿宋_GB2312"/>
          <w:color w:val="auto"/>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color w:val="auto"/>
          <w:sz w:val="32"/>
          <w:szCs w:val="32"/>
        </w:rPr>
        <w:t>预算编制准确</w:t>
      </w:r>
      <w:r>
        <w:rPr>
          <w:rFonts w:hint="eastAsia" w:ascii="仿宋" w:hAnsi="仿宋" w:eastAsia="仿宋" w:cs="仿宋_GB2312"/>
          <w:color w:val="auto"/>
          <w:sz w:val="32"/>
          <w:szCs w:val="32"/>
          <w:lang w:eastAsia="zh-CN"/>
        </w:rPr>
        <w:t>。严格</w:t>
      </w:r>
      <w:r>
        <w:rPr>
          <w:rFonts w:ascii="仿宋" w:hAnsi="仿宋" w:eastAsia="仿宋" w:cs="仿宋_GB2312"/>
          <w:color w:val="auto"/>
          <w:sz w:val="32"/>
          <w:szCs w:val="32"/>
        </w:rPr>
        <w:t>支出控制、</w:t>
      </w:r>
      <w:r>
        <w:rPr>
          <w:rFonts w:hint="eastAsia" w:ascii="仿宋" w:hAnsi="仿宋" w:eastAsia="仿宋" w:cs="仿宋_GB2312"/>
          <w:color w:val="auto"/>
          <w:sz w:val="32"/>
          <w:szCs w:val="32"/>
          <w:lang w:eastAsia="zh-CN"/>
        </w:rPr>
        <w:t>层层把关审核。做好</w:t>
      </w:r>
      <w:r>
        <w:rPr>
          <w:rFonts w:ascii="仿宋" w:hAnsi="仿宋" w:eastAsia="仿宋" w:cs="仿宋_GB2312"/>
          <w:color w:val="auto"/>
          <w:sz w:val="32"/>
          <w:szCs w:val="32"/>
        </w:rPr>
        <w:t>预算动态调整、执行进度、预算完成情况和违规记录</w:t>
      </w:r>
      <w:r>
        <w:rPr>
          <w:rFonts w:hint="eastAsia" w:ascii="仿宋" w:hAnsi="仿宋" w:eastAsia="仿宋" w:cs="仿宋_GB2312"/>
          <w:color w:val="auto"/>
          <w:sz w:val="32"/>
          <w:szCs w:val="32"/>
          <w:lang w:eastAsia="zh-CN"/>
        </w:rPr>
        <w:t>等</w:t>
      </w:r>
      <w:r>
        <w:rPr>
          <w:rFonts w:ascii="仿宋" w:hAnsi="仿宋" w:eastAsia="仿宋" w:cs="仿宋_GB2312"/>
          <w:color w:val="auto"/>
          <w:sz w:val="32"/>
          <w:szCs w:val="32"/>
        </w:rPr>
        <w:t>。</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（二）结果应用情况。</w:t>
      </w:r>
    </w:p>
    <w:p>
      <w:pPr>
        <w:shd w:val="clear" w:color="auto" w:fill="FFFFFF"/>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2020年河西街道整体绩效较为良好，</w:t>
      </w:r>
      <w:r>
        <w:rPr>
          <w:rFonts w:hint="eastAsia" w:ascii="仿宋" w:hAnsi="仿宋" w:eastAsia="仿宋" w:cs="仿宋_GB2312"/>
          <w:color w:val="auto"/>
          <w:sz w:val="32"/>
          <w:szCs w:val="32"/>
          <w:lang w:eastAsia="zh-CN"/>
        </w:rPr>
        <w:t>财政支出严格按照规程执行</w:t>
      </w:r>
      <w:r>
        <w:rPr>
          <w:rFonts w:hint="eastAsia" w:ascii="仿宋" w:hAnsi="仿宋" w:eastAsia="仿宋" w:cs="仿宋_GB2312"/>
          <w:color w:val="auto"/>
          <w:sz w:val="32"/>
          <w:szCs w:val="32"/>
          <w:lang w:val="en-US" w:eastAsia="zh-CN"/>
        </w:rPr>
        <w:t>达到预期的绩效目标。</w:t>
      </w:r>
    </w:p>
    <w:p>
      <w:pPr>
        <w:widowControl/>
        <w:adjustRightInd w:val="0"/>
        <w:snapToGrid w:val="0"/>
        <w:spacing w:line="58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四、评价结论及建议</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（一）评价结论。</w:t>
      </w:r>
    </w:p>
    <w:p>
      <w:pPr>
        <w:spacing w:line="580" w:lineRule="exact"/>
        <w:ind w:firstLine="640" w:firstLineChars="200"/>
        <w:rPr>
          <w:rFonts w:ascii="仿宋" w:hAnsi="仿宋" w:eastAsia="仿宋" w:cs="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年我</w:t>
      </w:r>
      <w:r>
        <w:rPr>
          <w:rFonts w:hint="eastAsia" w:ascii="仿宋_GB2312" w:eastAsia="仿宋_GB2312"/>
          <w:color w:val="auto"/>
          <w:sz w:val="32"/>
          <w:szCs w:val="32"/>
          <w:lang w:eastAsia="zh-CN"/>
        </w:rPr>
        <w:t>办</w:t>
      </w:r>
      <w:r>
        <w:rPr>
          <w:rFonts w:hint="eastAsia" w:ascii="仿宋_GB2312" w:eastAsia="仿宋_GB2312"/>
          <w:color w:val="auto"/>
          <w:sz w:val="32"/>
          <w:szCs w:val="32"/>
        </w:rPr>
        <w:t>部门整体支出绩效评价自查自评结果良好，按照预算绩效管理要求，本部门对20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年整体支出开展绩效自评，自评得分</w:t>
      </w:r>
      <w:r>
        <w:rPr>
          <w:rFonts w:hint="eastAsia" w:ascii="仿宋_GB2312" w:eastAsia="仿宋_GB2312"/>
          <w:color w:val="auto"/>
          <w:sz w:val="32"/>
          <w:szCs w:val="32"/>
          <w:lang w:val="en-US" w:eastAsia="zh-CN"/>
        </w:rPr>
        <w:t>94</w:t>
      </w:r>
      <w:r>
        <w:rPr>
          <w:rFonts w:hint="eastAsia" w:ascii="仿宋_GB2312" w:eastAsia="仿宋_GB2312"/>
          <w:color w:val="auto"/>
          <w:sz w:val="32"/>
          <w:szCs w:val="32"/>
        </w:rPr>
        <w:t>分</w:t>
      </w:r>
      <w:r>
        <w:rPr>
          <w:rFonts w:hint="eastAsia" w:ascii="仿宋_GB2312" w:eastAsia="仿宋_GB2312"/>
          <w:color w:val="auto"/>
          <w:sz w:val="32"/>
          <w:szCs w:val="32"/>
          <w:lang w:eastAsia="zh-CN"/>
        </w:rPr>
        <w:t>，基本支出</w:t>
      </w:r>
      <w:r>
        <w:rPr>
          <w:rFonts w:hint="eastAsia" w:ascii="仿宋_GB2312" w:eastAsia="仿宋_GB2312"/>
          <w:color w:val="auto"/>
          <w:sz w:val="32"/>
          <w:szCs w:val="32"/>
        </w:rPr>
        <w:t>保证了部门的正常运行和日常工作的正常开展，项目支出</w:t>
      </w:r>
      <w:r>
        <w:rPr>
          <w:rFonts w:hint="eastAsia" w:ascii="仿宋_GB2312" w:eastAsia="仿宋_GB2312"/>
          <w:color w:val="auto"/>
          <w:sz w:val="32"/>
          <w:szCs w:val="32"/>
          <w:lang w:eastAsia="zh-CN"/>
        </w:rPr>
        <w:t>能够</w:t>
      </w:r>
      <w:r>
        <w:rPr>
          <w:rFonts w:hint="eastAsia" w:ascii="仿宋_GB2312" w:eastAsia="仿宋_GB2312"/>
          <w:color w:val="auto"/>
          <w:sz w:val="32"/>
          <w:szCs w:val="32"/>
        </w:rPr>
        <w:t>保障重点工作的开展，达到预期</w:t>
      </w:r>
      <w:r>
        <w:rPr>
          <w:rFonts w:hint="eastAsia" w:ascii="仿宋_GB2312" w:eastAsia="仿宋_GB2312"/>
          <w:color w:val="auto"/>
          <w:sz w:val="32"/>
          <w:szCs w:val="32"/>
          <w:lang w:eastAsia="zh-CN"/>
        </w:rPr>
        <w:t>了</w:t>
      </w:r>
      <w:r>
        <w:rPr>
          <w:rFonts w:hint="eastAsia" w:ascii="仿宋_GB2312" w:eastAsia="仿宋_GB2312"/>
          <w:color w:val="auto"/>
          <w:sz w:val="32"/>
          <w:szCs w:val="32"/>
        </w:rPr>
        <w:t>绩效目标。</w:t>
      </w:r>
    </w:p>
    <w:p>
      <w:pPr>
        <w:spacing w:line="580" w:lineRule="exact"/>
        <w:ind w:firstLine="640" w:firstLineChars="200"/>
        <w:rPr>
          <w:rFonts w:ascii="仿宋" w:hAnsi="仿宋" w:eastAsia="仿宋" w:cs="仿宋_GB2312"/>
          <w:color w:val="auto"/>
          <w:sz w:val="32"/>
          <w:szCs w:val="32"/>
        </w:rPr>
      </w:pPr>
      <w:r>
        <w:rPr>
          <w:rFonts w:hint="eastAsia" w:ascii="方正楷体简体" w:hAnsi="方正楷体简体" w:eastAsia="方正楷体简体" w:cs="方正楷体简体"/>
          <w:color w:val="auto"/>
          <w:kern w:val="0"/>
          <w:sz w:val="32"/>
          <w:szCs w:val="32"/>
          <w:lang w:val="zh-CN" w:eastAsia="zh-CN" w:bidi="ar-SA"/>
        </w:rPr>
        <w:t>（二）存在问题。</w:t>
      </w:r>
      <w:r>
        <w:rPr>
          <w:rFonts w:hint="eastAsia" w:ascii="仿宋_GB2312" w:eastAsia="仿宋_GB2312"/>
          <w:color w:val="auto"/>
          <w:sz w:val="32"/>
          <w:szCs w:val="32"/>
        </w:rPr>
        <w:t>内控</w:t>
      </w:r>
      <w:r>
        <w:rPr>
          <w:rFonts w:hint="eastAsia" w:ascii="仿宋_GB2312" w:eastAsia="仿宋_GB2312"/>
          <w:color w:val="auto"/>
          <w:sz w:val="32"/>
          <w:szCs w:val="32"/>
          <w:lang w:eastAsia="zh-CN"/>
        </w:rPr>
        <w:t>信息化</w:t>
      </w:r>
      <w:r>
        <w:rPr>
          <w:rFonts w:hint="eastAsia" w:ascii="仿宋_GB2312" w:eastAsia="仿宋_GB2312"/>
          <w:color w:val="auto"/>
          <w:sz w:val="32"/>
          <w:szCs w:val="32"/>
        </w:rPr>
        <w:t>建设不够完善</w:t>
      </w:r>
      <w:r>
        <w:rPr>
          <w:rFonts w:hint="eastAsia" w:ascii="仿宋_GB2312" w:eastAsia="仿宋_GB2312"/>
          <w:color w:val="auto"/>
          <w:sz w:val="32"/>
          <w:szCs w:val="32"/>
          <w:lang w:eastAsia="zh-CN"/>
        </w:rPr>
        <w:t>，预算项目不够全面，预算资金额度不够。</w:t>
      </w:r>
    </w:p>
    <w:p>
      <w:pPr>
        <w:spacing w:line="600" w:lineRule="exact"/>
        <w:ind w:firstLine="640" w:firstLineChars="200"/>
        <w:rPr>
          <w:rFonts w:hint="eastAsia" w:ascii="仿宋_GB2312" w:eastAsia="仿宋_GB2312"/>
          <w:color w:val="auto"/>
          <w:sz w:val="32"/>
          <w:szCs w:val="32"/>
          <w:lang w:eastAsia="zh-CN"/>
        </w:rPr>
      </w:pPr>
      <w:r>
        <w:rPr>
          <w:rFonts w:hint="eastAsia" w:ascii="方正楷体简体" w:hAnsi="方正楷体简体" w:eastAsia="方正楷体简体" w:cs="方正楷体简体"/>
          <w:color w:val="auto"/>
          <w:kern w:val="0"/>
          <w:sz w:val="32"/>
          <w:szCs w:val="32"/>
          <w:lang w:val="zh-CN" w:eastAsia="zh-CN" w:bidi="ar-SA"/>
        </w:rPr>
        <w:t>（三）改进建议。</w:t>
      </w:r>
      <w:r>
        <w:rPr>
          <w:rFonts w:hint="eastAsia" w:ascii="仿宋_GB2312" w:eastAsia="仿宋_GB2312"/>
          <w:color w:val="auto"/>
          <w:sz w:val="32"/>
          <w:szCs w:val="32"/>
        </w:rPr>
        <w:t>一是在完善内控制度工作基础上，我</w:t>
      </w:r>
      <w:r>
        <w:rPr>
          <w:rFonts w:hint="eastAsia" w:ascii="仿宋_GB2312" w:eastAsia="仿宋_GB2312"/>
          <w:color w:val="auto"/>
          <w:sz w:val="32"/>
          <w:szCs w:val="32"/>
          <w:lang w:eastAsia="zh-CN"/>
        </w:rPr>
        <w:t>办</w:t>
      </w:r>
      <w:r>
        <w:rPr>
          <w:rFonts w:hint="eastAsia" w:ascii="仿宋_GB2312" w:eastAsia="仿宋_GB2312"/>
          <w:color w:val="auto"/>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_GB2312"/>
          <w:color w:val="auto"/>
          <w:sz w:val="32"/>
          <w:szCs w:val="32"/>
          <w:lang w:eastAsia="zh-CN"/>
        </w:rPr>
        <w:t>，四是加强预算项目的前瞻性，确保预算项目的全面性。</w:t>
      </w:r>
    </w:p>
    <w:p>
      <w:pPr>
        <w:spacing w:line="600" w:lineRule="exact"/>
        <w:ind w:firstLine="640" w:firstLineChars="200"/>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spacing w:line="580" w:lineRule="exact"/>
        <w:ind w:firstLine="640" w:firstLineChars="200"/>
        <w:rPr>
          <w:rFonts w:ascii="仿宋_GB2312" w:hAnsi="仿宋_GB2312" w:eastAsia="仿宋_GB2312" w:cs="仿宋_GB2312"/>
          <w:color w:val="auto"/>
          <w:sz w:val="32"/>
          <w:szCs w:val="32"/>
        </w:rPr>
      </w:pPr>
    </w:p>
    <w:p>
      <w:pPr>
        <w:spacing w:line="600" w:lineRule="exact"/>
        <w:jc w:val="center"/>
        <w:rPr>
          <w:rFonts w:ascii="方正小标宋简体" w:hAnsi="宋体" w:eastAsia="方正小标宋简体"/>
          <w:color w:val="auto"/>
          <w:kern w:val="0"/>
          <w:sz w:val="44"/>
          <w:szCs w:val="44"/>
          <w:lang w:val="zh-CN"/>
        </w:rPr>
      </w:pPr>
      <w:r>
        <w:rPr>
          <w:rFonts w:hint="eastAsia" w:ascii="方正小标宋简体" w:hAnsi="宋体" w:eastAsia="方正小标宋简体"/>
          <w:color w:val="auto"/>
          <w:kern w:val="0"/>
          <w:sz w:val="44"/>
          <w:szCs w:val="44"/>
          <w:lang w:eastAsia="zh-CN"/>
        </w:rPr>
        <w:t>农村义务兵优待金</w:t>
      </w:r>
      <w:r>
        <w:rPr>
          <w:rFonts w:hint="eastAsia" w:ascii="方正小标宋简体" w:hAnsi="宋体" w:eastAsia="方正小标宋简体"/>
          <w:color w:val="auto"/>
          <w:kern w:val="0"/>
          <w:sz w:val="44"/>
          <w:szCs w:val="44"/>
          <w:lang w:val="zh-CN"/>
        </w:rPr>
        <w:t>项目</w:t>
      </w:r>
      <w:r>
        <w:rPr>
          <w:rFonts w:hint="eastAsia" w:ascii="方正小标宋简体" w:hAnsi="宋体" w:eastAsia="方正小标宋简体"/>
          <w:color w:val="auto"/>
          <w:kern w:val="0"/>
          <w:sz w:val="44"/>
          <w:szCs w:val="44"/>
        </w:rPr>
        <w:t>20</w:t>
      </w:r>
      <w:r>
        <w:rPr>
          <w:rFonts w:hint="eastAsia" w:ascii="方正小标宋简体" w:hAnsi="宋体" w:eastAsia="方正小标宋简体"/>
          <w:color w:val="auto"/>
          <w:kern w:val="0"/>
          <w:sz w:val="44"/>
          <w:szCs w:val="44"/>
          <w:lang w:val="en-US" w:eastAsia="zh-CN"/>
        </w:rPr>
        <w:t>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spacing w:line="600" w:lineRule="exact"/>
        <w:rPr>
          <w:rFonts w:ascii="宋体" w:hAnsi="宋体"/>
          <w:color w:val="auto"/>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（一）项目基本情况。</w:t>
      </w:r>
    </w:p>
    <w:p>
      <w:pPr>
        <w:spacing w:line="580" w:lineRule="exact"/>
        <w:ind w:firstLine="640" w:firstLineChars="200"/>
        <w:rPr>
          <w:rFonts w:hint="eastAsia" w:ascii="仿宋" w:hAnsi="仿宋" w:eastAsia="仿宋" w:cs="仿宋"/>
          <w:color w:val="auto"/>
          <w:sz w:val="32"/>
          <w:szCs w:val="32"/>
          <w:lang w:val="zh-CN"/>
        </w:rPr>
      </w:pPr>
      <w:r>
        <w:rPr>
          <w:rFonts w:hint="eastAsia" w:ascii="仿宋_GB2312" w:hAnsi="宋体" w:eastAsia="仿宋_GB2312"/>
          <w:color w:val="auto"/>
          <w:sz w:val="32"/>
          <w:szCs w:val="32"/>
          <w:lang w:val="en-US" w:eastAsia="zh-CN"/>
        </w:rPr>
        <w:t>1.基本情况。</w:t>
      </w:r>
      <w:r>
        <w:rPr>
          <w:rFonts w:hint="eastAsia" w:ascii="仿宋_GB2312" w:hAnsi="宋体" w:eastAsia="仿宋_GB2312"/>
          <w:color w:val="auto"/>
          <w:sz w:val="32"/>
          <w:szCs w:val="32"/>
          <w:lang w:val="zh-CN"/>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lang w:val="zh-CN"/>
        </w:rPr>
        <w:t>年</w:t>
      </w:r>
      <w:r>
        <w:rPr>
          <w:rFonts w:hint="eastAsia" w:ascii="仿宋_GB2312" w:hAnsi="宋体" w:eastAsia="仿宋_GB2312"/>
          <w:color w:val="auto"/>
          <w:sz w:val="32"/>
          <w:szCs w:val="32"/>
          <w:lang w:val="zh-CN" w:eastAsia="zh-CN"/>
        </w:rPr>
        <w:t>街道</w:t>
      </w:r>
      <w:r>
        <w:rPr>
          <w:rFonts w:hint="eastAsia" w:ascii="仿宋_GB2312" w:hAnsi="宋体" w:eastAsia="仿宋_GB2312"/>
          <w:color w:val="auto"/>
          <w:sz w:val="32"/>
          <w:szCs w:val="32"/>
          <w:lang w:val="zh-CN"/>
        </w:rPr>
        <w:t>发放201</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lang w:val="zh-CN"/>
        </w:rPr>
        <w:t>年</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val="zh-CN"/>
        </w:rPr>
        <w:t>201</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lang w:val="zh-CN"/>
        </w:rPr>
        <w:t>年入伍</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lang w:val="zh-CN"/>
        </w:rPr>
        <w:t>名义务兵二年一次性家庭优待金，共计</w:t>
      </w:r>
      <w:r>
        <w:rPr>
          <w:rFonts w:hint="eastAsia" w:ascii="仿宋_GB2312" w:hAnsi="仿宋_GB2312" w:eastAsia="仿宋_GB2312" w:cs="仿宋_GB2312"/>
          <w:color w:val="auto"/>
          <w:sz w:val="32"/>
          <w:szCs w:val="32"/>
          <w:lang w:val="en-US" w:eastAsia="zh-CN"/>
        </w:rPr>
        <w:t>16.63</w:t>
      </w:r>
      <w:r>
        <w:rPr>
          <w:rFonts w:hint="eastAsia" w:ascii="仿宋_GB2312" w:hAnsi="宋体" w:eastAsia="仿宋_GB2312"/>
          <w:color w:val="auto"/>
          <w:sz w:val="32"/>
          <w:szCs w:val="32"/>
          <w:lang w:val="zh-CN"/>
        </w:rPr>
        <w:t>万元。其中，省级资金</w:t>
      </w:r>
      <w:r>
        <w:rPr>
          <w:rFonts w:hint="eastAsia" w:ascii="仿宋_GB2312" w:hAnsi="仿宋_GB2312" w:eastAsia="仿宋_GB2312" w:cs="仿宋_GB2312"/>
          <w:color w:val="auto"/>
          <w:sz w:val="32"/>
          <w:szCs w:val="32"/>
          <w:lang w:val="en-US" w:eastAsia="zh-CN"/>
        </w:rPr>
        <w:t>16.63</w:t>
      </w:r>
      <w:r>
        <w:rPr>
          <w:rFonts w:hint="eastAsia" w:ascii="仿宋_GB2312" w:hAnsi="宋体" w:eastAsia="仿宋_GB2312"/>
          <w:color w:val="auto"/>
          <w:sz w:val="32"/>
          <w:szCs w:val="32"/>
          <w:lang w:val="zh-CN"/>
        </w:rPr>
        <w:t>万元。</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2．项目立项、资金申报的依据。</w:t>
      </w:r>
      <w:r>
        <w:rPr>
          <w:rFonts w:hint="eastAsia" w:ascii="仿宋" w:hAnsi="仿宋" w:eastAsia="仿宋" w:cs="仿宋"/>
          <w:color w:val="auto"/>
          <w:sz w:val="32"/>
          <w:szCs w:val="32"/>
        </w:rPr>
        <w:t>按</w:t>
      </w:r>
      <w:r>
        <w:rPr>
          <w:rFonts w:hint="eastAsia" w:ascii="仿宋_GB2312" w:hAnsi="宋体" w:eastAsia="仿宋_GB2312"/>
          <w:color w:val="auto"/>
          <w:sz w:val="32"/>
          <w:szCs w:val="32"/>
          <w:lang w:val="en-US" w:eastAsia="zh-CN"/>
        </w:rPr>
        <w:t>文件要求，</w:t>
      </w:r>
      <w:r>
        <w:rPr>
          <w:rFonts w:hint="eastAsia" w:ascii="仿宋_GB2312" w:hAnsi="宋体" w:eastAsia="仿宋_GB2312"/>
          <w:color w:val="auto"/>
          <w:sz w:val="32"/>
          <w:szCs w:val="32"/>
          <w:lang w:val="zh-CN"/>
        </w:rPr>
        <w:t>先由街道退役军人事务服务站办向区退役军人管理局提供入伍后人员名单，区退役军人管理局根据人员名单向区财政局提供预算资金数据，区财政局审批后，上预算平台，再</w:t>
      </w:r>
      <w:r>
        <w:rPr>
          <w:rFonts w:hint="eastAsia" w:ascii="仿宋_GB2312" w:hAnsi="宋体" w:eastAsia="仿宋_GB2312"/>
          <w:color w:val="auto"/>
          <w:sz w:val="32"/>
          <w:szCs w:val="32"/>
          <w:lang w:val="en-US" w:eastAsia="zh-CN"/>
        </w:rPr>
        <w:t>由财政所打卡发放到义务兵家庭手中。</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eastAsia="zh-CN"/>
        </w:rPr>
        <w:t>3．资金管</w:t>
      </w:r>
      <w:r>
        <w:rPr>
          <w:rFonts w:hint="eastAsia" w:ascii="仿宋_GB2312" w:hAnsi="宋体" w:eastAsia="仿宋_GB2312"/>
          <w:color w:val="auto"/>
          <w:sz w:val="32"/>
          <w:szCs w:val="32"/>
          <w:lang w:val="zh-CN"/>
        </w:rPr>
        <w:t>理办法一般实行专款专用，不得挪作他用，</w:t>
      </w:r>
      <w:r>
        <w:rPr>
          <w:rFonts w:hint="eastAsia" w:ascii="仿宋" w:hAnsi="仿宋" w:eastAsia="仿宋" w:cs="仿宋"/>
          <w:color w:val="auto"/>
          <w:sz w:val="32"/>
          <w:szCs w:val="32"/>
        </w:rPr>
        <w:t>义务兵家庭优待金由省、</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配套，</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财政统一管理，</w:t>
      </w:r>
      <w:r>
        <w:rPr>
          <w:rFonts w:hint="eastAsia" w:ascii="仿宋" w:hAnsi="仿宋" w:eastAsia="仿宋" w:cs="仿宋"/>
          <w:color w:val="auto"/>
          <w:sz w:val="32"/>
          <w:szCs w:val="32"/>
          <w:lang w:eastAsia="zh-CN"/>
        </w:rPr>
        <w:t>财政所</w:t>
      </w:r>
      <w:r>
        <w:rPr>
          <w:rFonts w:hint="eastAsia" w:ascii="仿宋" w:hAnsi="仿宋" w:eastAsia="仿宋" w:cs="仿宋"/>
          <w:color w:val="auto"/>
          <w:sz w:val="32"/>
          <w:szCs w:val="32"/>
        </w:rPr>
        <w:t>打卡发放到义务兵家庭个人账户，由个人支配使用</w:t>
      </w:r>
      <w:r>
        <w:rPr>
          <w:rFonts w:hint="eastAsia" w:ascii="仿宋_GB2312" w:hAnsi="宋体" w:eastAsia="仿宋_GB2312"/>
          <w:color w:val="auto"/>
          <w:sz w:val="32"/>
          <w:szCs w:val="32"/>
          <w:lang w:val="zh-CN"/>
        </w:rPr>
        <w:t>。</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（二）项目绩效目标。</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zh-CN"/>
        </w:rPr>
      </w:pPr>
      <w:r>
        <w:rPr>
          <w:rFonts w:hint="eastAsia" w:ascii="方正仿宋简体" w:hAnsi="方正仿宋简体" w:eastAsia="方正仿宋简体" w:cs="方正仿宋简体"/>
          <w:color w:val="auto"/>
          <w:sz w:val="32"/>
          <w:szCs w:val="32"/>
        </w:rPr>
        <w:t>义务兵家庭优待金的发放是落实《军人抚恤优待条例》的重要举措，体现了地方人民政府爱军拥军的优良传统，对国防建设的支持以及对能进一步团结巩固军政军民关系，营造浓厚的双拥环境，提高全民国防意识，激励广大有志青年踊跃参军报国，激励现役军人现身国防、在军营建功立业。</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lang w:eastAsia="zh-CN"/>
        </w:rPr>
        <w:t>二</w:t>
      </w:r>
      <w:r>
        <w:rPr>
          <w:rFonts w:hint="eastAsia" w:ascii="黑体" w:hAnsi="宋体" w:eastAsia="黑体"/>
          <w:color w:val="auto"/>
          <w:sz w:val="32"/>
          <w:szCs w:val="32"/>
        </w:rPr>
        <w:t>、项目实施及管理情况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楷体简体" w:hAnsi="方正楷体简体" w:eastAsia="方正楷体简体" w:cs="方正楷体简体"/>
          <w:color w:val="auto"/>
          <w:kern w:val="0"/>
          <w:sz w:val="32"/>
          <w:szCs w:val="32"/>
          <w:lang w:val="zh-CN" w:eastAsia="zh-CN" w:bidi="ar-SA"/>
        </w:rPr>
        <w:t>（一）实施流程。</w:t>
      </w:r>
      <w:r>
        <w:rPr>
          <w:rFonts w:hint="eastAsia" w:ascii="方正仿宋简体" w:hAnsi="方正仿宋简体" w:eastAsia="方正仿宋简体" w:cs="方正仿宋简体"/>
          <w:color w:val="auto"/>
          <w:sz w:val="32"/>
          <w:szCs w:val="32"/>
        </w:rPr>
        <w:t>按要求及时拨付到义务兵家庭手中</w:t>
      </w:r>
      <w:r>
        <w:rPr>
          <w:rFonts w:hint="eastAsia" w:ascii="方正仿宋简体" w:hAnsi="方正仿宋简体" w:eastAsia="方正仿宋简体" w:cs="方正仿宋简体"/>
          <w:color w:val="auto"/>
          <w:sz w:val="32"/>
          <w:szCs w:val="32"/>
          <w:lang w:eastAsia="zh-CN"/>
        </w:rPr>
        <w:t>。</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zh-CN"/>
        </w:rPr>
      </w:pPr>
      <w:r>
        <w:rPr>
          <w:rFonts w:hint="eastAsia" w:ascii="方正楷体简体" w:hAnsi="方正楷体简体" w:eastAsia="方正楷体简体" w:cs="方正楷体简体"/>
          <w:color w:val="auto"/>
          <w:kern w:val="0"/>
          <w:sz w:val="32"/>
          <w:szCs w:val="32"/>
          <w:lang w:val="zh-CN" w:eastAsia="zh-CN" w:bidi="ar-SA"/>
        </w:rPr>
        <w:t>（二）项目监管情况。</w:t>
      </w:r>
      <w:r>
        <w:rPr>
          <w:rFonts w:hint="eastAsia" w:ascii="方正仿宋简体" w:hAnsi="方正仿宋简体" w:eastAsia="方正仿宋简体" w:cs="方正仿宋简体"/>
          <w:color w:val="auto"/>
          <w:sz w:val="32"/>
          <w:szCs w:val="32"/>
          <w:lang w:val="zh-CN"/>
        </w:rPr>
        <w:t>农村青年服兵役后，街道武装部对应征青年建立台账，定期走访、摸排，发现问题及时处理，以保障青年入伍后的后顾之忧，让他们安心服役，资金兑现采取电话抽查及现场核实。</w:t>
      </w:r>
    </w:p>
    <w:p>
      <w:pPr>
        <w:adjustRightInd w:val="0"/>
        <w:snapToGrid w:val="0"/>
        <w:spacing w:line="600" w:lineRule="exact"/>
        <w:ind w:firstLine="720"/>
        <w:rPr>
          <w:rFonts w:hint="eastAsia" w:ascii="方正小标宋简体" w:hAnsi="方正小标宋简体" w:eastAsia="方正小标宋简体" w:cs="方正小标宋简体"/>
          <w:color w:val="auto"/>
          <w:sz w:val="32"/>
          <w:szCs w:val="32"/>
          <w:lang w:val="zh-CN"/>
        </w:rPr>
      </w:pPr>
      <w:r>
        <w:rPr>
          <w:rFonts w:hint="eastAsia" w:ascii="方正小标宋简体" w:hAnsi="方正小标宋简体" w:eastAsia="方正小标宋简体" w:cs="方正小标宋简体"/>
          <w:color w:val="auto"/>
          <w:sz w:val="32"/>
          <w:szCs w:val="32"/>
          <w:lang w:eastAsia="zh-CN"/>
        </w:rPr>
        <w:t>三</w:t>
      </w:r>
      <w:r>
        <w:rPr>
          <w:rFonts w:hint="eastAsia" w:ascii="方正小标宋简体" w:hAnsi="方正小标宋简体" w:eastAsia="方正小标宋简体" w:cs="方正小标宋简体"/>
          <w:color w:val="auto"/>
          <w:sz w:val="32"/>
          <w:szCs w:val="32"/>
        </w:rPr>
        <w:t>、项目绩效情况</w:t>
      </w:r>
      <w:r>
        <w:rPr>
          <w:rFonts w:hint="eastAsia" w:ascii="方正小标宋简体" w:hAnsi="方正小标宋简体" w:eastAsia="方正小标宋简体" w:cs="方正小标宋简体"/>
          <w:color w:val="auto"/>
          <w:sz w:val="32"/>
          <w:szCs w:val="32"/>
          <w:lang w:val="zh-CN"/>
        </w:rPr>
        <w:tab/>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（一）项目完成情况。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2020年共发放2018-2019年农村籍义务兵优待金12人16.63万元，每人补助金额13558元。</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（二）项目效益情况。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项目目标完成情况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2020年共发放2018-2019年农村籍义务兵优待金12人16.63万元，每人补助金额13558元。</w:t>
      </w:r>
      <w:r>
        <w:rPr>
          <w:rFonts w:hint="eastAsia" w:ascii="方正仿宋简体" w:hAnsi="方正仿宋简体" w:eastAsia="方正仿宋简体" w:cs="方正仿宋简体"/>
          <w:color w:val="auto"/>
          <w:sz w:val="32"/>
          <w:szCs w:val="32"/>
          <w:lang w:eastAsia="zh-CN"/>
        </w:rPr>
        <w:t>确保辖区内符合条件的</w:t>
      </w:r>
      <w:r>
        <w:rPr>
          <w:rFonts w:hint="eastAsia" w:ascii="方正仿宋简体" w:hAnsi="方正仿宋简体" w:eastAsia="方正仿宋简体" w:cs="方正仿宋简体"/>
          <w:color w:val="auto"/>
          <w:sz w:val="32"/>
          <w:szCs w:val="32"/>
        </w:rPr>
        <w:t>农村义务兵</w:t>
      </w:r>
      <w:r>
        <w:rPr>
          <w:rFonts w:hint="eastAsia" w:ascii="方正仿宋简体" w:hAnsi="方正仿宋简体" w:eastAsia="方正仿宋简体" w:cs="方正仿宋简体"/>
          <w:color w:val="auto"/>
          <w:sz w:val="32"/>
          <w:szCs w:val="32"/>
          <w:lang w:eastAsia="zh-CN"/>
        </w:rPr>
        <w:t>生活补助按时，按标准发放，提高农村义务兵家庭生活质量，保证服役人员安心保家卫国。</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zh-CN"/>
        </w:rPr>
      </w:pPr>
      <w:r>
        <w:rPr>
          <w:rFonts w:hint="eastAsia" w:ascii="方正仿宋简体" w:hAnsi="方正仿宋简体" w:eastAsia="方正仿宋简体" w:cs="方正仿宋简体"/>
          <w:color w:val="auto"/>
          <w:sz w:val="32"/>
          <w:szCs w:val="32"/>
        </w:rPr>
        <w:t>项目效益情况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义务兵家庭优待金的发放是落实《军人抚恤优待条例》的重要举措，体现了地方人民政府爱军拥军的优良传统，对国防建设的支持以及对能进一步团结巩固军政军民关系，营造浓厚的双拥环境，提高全民国防意识，激励广大有志青年踊跃参军报国，激励现役军人现身国防、在军营建功立业。</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lang w:eastAsia="zh-CN"/>
        </w:rPr>
        <w:t>四</w:t>
      </w:r>
      <w:r>
        <w:rPr>
          <w:rFonts w:hint="eastAsia" w:ascii="黑体" w:hAnsi="宋体" w:eastAsia="黑体"/>
          <w:color w:val="auto"/>
          <w:sz w:val="32"/>
          <w:szCs w:val="32"/>
        </w:rPr>
        <w:t>、评价结论及建议</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（一）评价结论。</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项目绩效评价总体结论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义务兵家庭优待金发放情况很好，无截留、挤占和挪作他用。</w:t>
      </w:r>
    </w:p>
    <w:p>
      <w:pPr>
        <w:pStyle w:val="25"/>
        <w:spacing w:line="560" w:lineRule="exact"/>
        <w:ind w:firstLine="640" w:firstLineChars="20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（二）存在的问题及建议。</w:t>
      </w:r>
    </w:p>
    <w:p>
      <w:pPr>
        <w:spacing w:line="580" w:lineRule="exact"/>
        <w:ind w:firstLine="64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无。</w:t>
      </w:r>
    </w:p>
    <w:p>
      <w:pPr>
        <w:spacing w:line="580" w:lineRule="exact"/>
        <w:ind w:firstLine="640"/>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spacing w:line="600" w:lineRule="exact"/>
        <w:jc w:val="center"/>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pStyle w:val="2"/>
        <w:rPr>
          <w:rFonts w:hint="eastAsia" w:ascii="仿宋_GB2312" w:hAnsi="仿宋_GB2312" w:eastAsia="仿宋_GB2312" w:cs="仿宋_GB2312"/>
          <w:color w:val="auto"/>
          <w:sz w:val="32"/>
          <w:szCs w:val="32"/>
          <w:shd w:val="clear" w:color="auto" w:fill="FFFFFF"/>
          <w:lang w:eastAsia="zh-CN"/>
        </w:rPr>
      </w:pP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文明劝导员补助</w:t>
      </w:r>
      <w:r>
        <w:rPr>
          <w:rFonts w:hint="eastAsia" w:ascii="方正小标宋简体" w:hAnsi="方正小标宋简体" w:eastAsia="方正小标宋简体" w:cs="方正小标宋简体"/>
          <w:color w:val="auto"/>
          <w:sz w:val="44"/>
          <w:szCs w:val="44"/>
        </w:rPr>
        <w:t>项目20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年绩效评价报告</w:t>
      </w:r>
    </w:p>
    <w:p>
      <w:pPr>
        <w:spacing w:line="580" w:lineRule="exact"/>
        <w:ind w:firstLine="640"/>
        <w:rPr>
          <w:rFonts w:hint="eastAsia" w:ascii="黑体" w:hAnsi="黑体" w:eastAsia="黑体" w:cs="方正小标宋简体"/>
          <w:color w:val="auto"/>
          <w:sz w:val="44"/>
          <w:szCs w:val="44"/>
        </w:rPr>
      </w:pP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评价工作开展及项目情况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项目评价实施方案情况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加强文明劝导，提升市民文明素养和城市文明程度，为广元市创建全国文明城市奠定坚实基础</w:t>
      </w:r>
      <w:r>
        <w:rPr>
          <w:rFonts w:hint="eastAsia" w:ascii="方正仿宋简体" w:hAnsi="方正仿宋简体" w:eastAsia="方正仿宋简体" w:cs="方正仿宋简体"/>
          <w:color w:val="auto"/>
          <w:sz w:val="32"/>
          <w:szCs w:val="32"/>
          <w:lang w:eastAsia="zh-CN"/>
        </w:rPr>
        <w:t>，为确保辖区交通有序，行人文明安全出行，发挥城市文明劝导员作用，城市文明劝导员生活补助按时，按标准发放，提高群众交通安全意识，降低交通安全事故。</w:t>
      </w:r>
    </w:p>
    <w:p>
      <w:pPr>
        <w:adjustRightInd w:val="0"/>
        <w:snapToGrid w:val="0"/>
        <w:spacing w:line="600" w:lineRule="exact"/>
        <w:ind w:firstLine="72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评价指标</w:t>
      </w:r>
      <w:r>
        <w:rPr>
          <w:rFonts w:hint="eastAsia" w:ascii="方正仿宋简体" w:hAnsi="方正仿宋简体" w:eastAsia="方正仿宋简体" w:cs="方正仿宋简体"/>
          <w:color w:val="auto"/>
          <w:sz w:val="32"/>
          <w:szCs w:val="32"/>
          <w:lang w:eastAsia="zh-CN"/>
        </w:rPr>
        <w:t>：补助是否按时，按标准发放到位。覆盖率是否</w:t>
      </w:r>
      <w:r>
        <w:rPr>
          <w:rFonts w:hint="eastAsia" w:ascii="方正仿宋简体" w:hAnsi="方正仿宋简体" w:eastAsia="方正仿宋简体" w:cs="方正仿宋简体"/>
          <w:color w:val="auto"/>
          <w:sz w:val="32"/>
          <w:szCs w:val="32"/>
          <w:lang w:val="en-US" w:eastAsia="zh-CN"/>
        </w:rPr>
        <w:t>100%。</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评价方法</w:t>
      </w:r>
      <w:r>
        <w:rPr>
          <w:rFonts w:hint="eastAsia" w:ascii="方正仿宋简体" w:hAnsi="方正仿宋简体" w:eastAsia="方正仿宋简体" w:cs="方正仿宋简体"/>
          <w:color w:val="auto"/>
          <w:sz w:val="32"/>
          <w:szCs w:val="32"/>
          <w:lang w:eastAsia="zh-CN"/>
        </w:rPr>
        <w:t>：支付凭证资料查阅，电话抽查是否真实发放到位。</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二、评价结论及绩效分析</w:t>
      </w:r>
    </w:p>
    <w:p>
      <w:pPr>
        <w:adjustRightInd w:val="0"/>
        <w:snapToGrid w:val="0"/>
        <w:spacing w:line="600" w:lineRule="exact"/>
        <w:ind w:firstLine="72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（一）评价结论</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zh-CN"/>
        </w:rPr>
      </w:pPr>
      <w:r>
        <w:rPr>
          <w:rFonts w:hint="eastAsia" w:ascii="方正仿宋简体" w:hAnsi="方正仿宋简体" w:eastAsia="方正仿宋简体" w:cs="方正仿宋简体"/>
          <w:color w:val="auto"/>
          <w:sz w:val="32"/>
          <w:szCs w:val="32"/>
        </w:rPr>
        <w:t>项目支出报账实行严格审批制度,先报预算经会议讨论通过,报账时经领导集体签字审批，不得超预算开支。项目资金总额</w:t>
      </w:r>
      <w:r>
        <w:rPr>
          <w:rFonts w:hint="eastAsia" w:ascii="方正仿宋简体" w:hAnsi="方正仿宋简体" w:eastAsia="方正仿宋简体" w:cs="方正仿宋简体"/>
          <w:color w:val="auto"/>
          <w:sz w:val="32"/>
          <w:szCs w:val="32"/>
          <w:lang w:val="en-US" w:eastAsia="zh-CN"/>
        </w:rPr>
        <w:t>37</w:t>
      </w:r>
      <w:r>
        <w:rPr>
          <w:rFonts w:hint="eastAsia" w:ascii="方正仿宋简体" w:hAnsi="方正仿宋简体" w:eastAsia="方正仿宋简体" w:cs="方正仿宋简体"/>
          <w:color w:val="auto"/>
          <w:sz w:val="32"/>
          <w:szCs w:val="32"/>
        </w:rPr>
        <w:t>万元,严格按照相关文件精神办理,支付方式为财政国库集中支</w:t>
      </w:r>
      <w:r>
        <w:rPr>
          <w:rFonts w:hint="eastAsia" w:ascii="方正仿宋简体" w:hAnsi="方正仿宋简体" w:eastAsia="方正仿宋简体" w:cs="方正仿宋简体"/>
          <w:color w:val="auto"/>
          <w:sz w:val="32"/>
          <w:szCs w:val="32"/>
          <w:lang w:val="zh-CN"/>
        </w:rPr>
        <w:t>付,确保财政资金专款专用。</w:t>
      </w:r>
    </w:p>
    <w:p>
      <w:pPr>
        <w:adjustRightInd w:val="0"/>
        <w:snapToGrid w:val="0"/>
        <w:spacing w:line="600" w:lineRule="exact"/>
        <w:ind w:firstLine="720"/>
        <w:rPr>
          <w:rFonts w:hint="eastAsia" w:ascii="方正楷体简体" w:hAnsi="方正楷体简体" w:eastAsia="方正楷体简体" w:cs="方正楷体简体"/>
          <w:color w:val="auto"/>
          <w:sz w:val="32"/>
          <w:szCs w:val="32"/>
          <w:lang w:val="zh-CN"/>
        </w:rPr>
      </w:pPr>
      <w:r>
        <w:rPr>
          <w:rFonts w:hint="eastAsia" w:ascii="方正楷体简体" w:hAnsi="方正楷体简体" w:eastAsia="方正楷体简体" w:cs="方正楷体简体"/>
          <w:color w:val="auto"/>
          <w:sz w:val="32"/>
          <w:szCs w:val="32"/>
          <w:lang w:val="zh-CN"/>
        </w:rPr>
        <w:t>（二）绩效分析</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1、项目决策</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通过文明城市义务监督员在主要街道、交通路口对不文明现象开展文明劝导，提升市民文明素质和城市文明程度，为创建全国文明城市打下坚实的基础。</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2、项目管理</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年度，该项资金预算</w:t>
      </w:r>
      <w:r>
        <w:rPr>
          <w:rFonts w:hint="eastAsia" w:ascii="方正仿宋简体" w:hAnsi="方正仿宋简体" w:eastAsia="方正仿宋简体" w:cs="方正仿宋简体"/>
          <w:color w:val="auto"/>
          <w:sz w:val="32"/>
          <w:szCs w:val="32"/>
          <w:lang w:val="en-US" w:eastAsia="zh-CN"/>
        </w:rPr>
        <w:t>37</w:t>
      </w:r>
      <w:r>
        <w:rPr>
          <w:rFonts w:hint="eastAsia" w:ascii="方正仿宋简体" w:hAnsi="方正仿宋简体" w:eastAsia="方正仿宋简体" w:cs="方正仿宋简体"/>
          <w:color w:val="auto"/>
          <w:sz w:val="32"/>
          <w:szCs w:val="32"/>
        </w:rPr>
        <w:t>万元，实际支出</w:t>
      </w:r>
      <w:r>
        <w:rPr>
          <w:rFonts w:hint="eastAsia" w:ascii="方正仿宋简体" w:hAnsi="方正仿宋简体" w:eastAsia="方正仿宋简体" w:cs="方正仿宋简体"/>
          <w:color w:val="auto"/>
          <w:sz w:val="32"/>
          <w:szCs w:val="32"/>
          <w:lang w:val="en-US" w:eastAsia="zh-CN"/>
        </w:rPr>
        <w:t>37</w:t>
      </w:r>
      <w:r>
        <w:rPr>
          <w:rFonts w:hint="eastAsia" w:ascii="方正仿宋简体" w:hAnsi="方正仿宋简体" w:eastAsia="方正仿宋简体" w:cs="方正仿宋简体"/>
          <w:color w:val="auto"/>
          <w:sz w:val="32"/>
          <w:szCs w:val="32"/>
        </w:rPr>
        <w:t>万元。</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3、项目绩效</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辖区</w:t>
      </w:r>
      <w:r>
        <w:rPr>
          <w:rFonts w:hint="eastAsia" w:ascii="方正仿宋简体" w:hAnsi="方正仿宋简体" w:eastAsia="方正仿宋简体" w:cs="方正仿宋简体"/>
          <w:color w:val="auto"/>
          <w:sz w:val="32"/>
          <w:szCs w:val="32"/>
          <w:lang w:val="en-US" w:eastAsia="zh-CN"/>
        </w:rPr>
        <w:t>50</w:t>
      </w:r>
      <w:r>
        <w:rPr>
          <w:rFonts w:hint="eastAsia" w:ascii="方正仿宋简体" w:hAnsi="方正仿宋简体" w:eastAsia="方正仿宋简体" w:cs="方正仿宋简体"/>
          <w:color w:val="auto"/>
          <w:sz w:val="32"/>
          <w:szCs w:val="32"/>
        </w:rPr>
        <w:t>名文明劝导员坚守岗位、尽职尽责开展文明劝导活动，辖区内闯红灯、翻越隔离栏、乱扔垃圾等不文明现象大幅减少，社会文明程度明显提升。</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五、存在的问题和建议</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问题</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未建立相应的考核制度，文明劝导质量有待提高。</w:t>
      </w:r>
    </w:p>
    <w:p>
      <w:pPr>
        <w:adjustRightInd w:val="0"/>
        <w:snapToGrid w:val="0"/>
        <w:spacing w:line="600" w:lineRule="exact"/>
        <w:ind w:firstLine="720"/>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（二）建议</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建议</w:t>
      </w:r>
      <w:r>
        <w:rPr>
          <w:rFonts w:hint="eastAsia" w:ascii="方正仿宋简体" w:hAnsi="方正仿宋简体" w:eastAsia="方正仿宋简体" w:cs="方正仿宋简体"/>
          <w:color w:val="auto"/>
          <w:sz w:val="32"/>
          <w:szCs w:val="32"/>
          <w:lang w:eastAsia="zh-CN"/>
        </w:rPr>
        <w:t>建立相应考核制度</w:t>
      </w:r>
      <w:r>
        <w:rPr>
          <w:rFonts w:hint="eastAsia" w:ascii="方正仿宋简体" w:hAnsi="方正仿宋简体" w:eastAsia="方正仿宋简体" w:cs="方正仿宋简体"/>
          <w:color w:val="auto"/>
          <w:sz w:val="32"/>
          <w:szCs w:val="32"/>
        </w:rPr>
        <w:t>。</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基层武装专项经费</w:t>
      </w:r>
      <w:r>
        <w:rPr>
          <w:rFonts w:hint="eastAsia" w:ascii="方正仿宋简体" w:hAnsi="方正仿宋简体" w:eastAsia="方正仿宋简体" w:cs="方正仿宋简体"/>
          <w:color w:val="auto"/>
          <w:sz w:val="32"/>
          <w:szCs w:val="32"/>
        </w:rPr>
        <w:t>项目20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年绩效评价报告</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一、评价工作开展及项目情况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项目评价实施方案情况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万元，执行数为</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万元，完成预算的</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%。通过项目实施，保障民兵训练工作顺利开展，</w:t>
      </w:r>
      <w:r>
        <w:rPr>
          <w:rFonts w:hint="eastAsia" w:ascii="方正仿宋简体" w:hAnsi="方正仿宋简体" w:eastAsia="方正仿宋简体" w:cs="方正仿宋简体"/>
          <w:color w:val="auto"/>
          <w:sz w:val="32"/>
          <w:szCs w:val="32"/>
          <w:lang w:eastAsia="zh-CN"/>
        </w:rPr>
        <w:t>全年</w:t>
      </w:r>
      <w:r>
        <w:rPr>
          <w:rFonts w:hint="eastAsia" w:ascii="方正仿宋简体" w:hAnsi="方正仿宋简体" w:eastAsia="方正仿宋简体" w:cs="方正仿宋简体"/>
          <w:color w:val="auto"/>
          <w:sz w:val="32"/>
          <w:szCs w:val="32"/>
        </w:rPr>
        <w:t>民兵训练不少于</w:t>
      </w:r>
      <w:r>
        <w:rPr>
          <w:rFonts w:hint="eastAsia" w:ascii="方正仿宋简体" w:hAnsi="方正仿宋简体" w:eastAsia="方正仿宋简体" w:cs="方正仿宋简体"/>
          <w:color w:val="auto"/>
          <w:sz w:val="32"/>
          <w:szCs w:val="32"/>
          <w:lang w:val="en-US" w:eastAsia="zh-CN"/>
        </w:rPr>
        <w:t>41</w:t>
      </w:r>
      <w:r>
        <w:rPr>
          <w:rFonts w:hint="eastAsia" w:ascii="方正仿宋简体" w:hAnsi="方正仿宋简体" w:eastAsia="方正仿宋简体" w:cs="方正仿宋简体"/>
          <w:color w:val="auto"/>
          <w:sz w:val="32"/>
          <w:szCs w:val="32"/>
        </w:rPr>
        <w:t>人次</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eastAsia="zh-CN"/>
        </w:rPr>
        <w:t>高质量完成基层民兵训练。</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评价指标</w:t>
      </w:r>
      <w:r>
        <w:rPr>
          <w:rFonts w:hint="eastAsia" w:ascii="方正仿宋简体" w:hAnsi="方正仿宋简体" w:eastAsia="方正仿宋简体" w:cs="方正仿宋简体"/>
          <w:color w:val="auto"/>
          <w:sz w:val="32"/>
          <w:szCs w:val="32"/>
          <w:lang w:eastAsia="zh-CN"/>
        </w:rPr>
        <w:t>：是否及时开展基层民兵训练。</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评价方法</w:t>
      </w:r>
      <w:r>
        <w:rPr>
          <w:rFonts w:hint="eastAsia" w:ascii="方正仿宋简体" w:hAnsi="方正仿宋简体" w:eastAsia="方正仿宋简体" w:cs="方正仿宋简体"/>
          <w:color w:val="auto"/>
          <w:sz w:val="32"/>
          <w:szCs w:val="32"/>
          <w:lang w:eastAsia="zh-CN"/>
        </w:rPr>
        <w:t>：支付凭证资料查阅，相关训练资料翻阅。</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二、评价结论及绩效分析</w:t>
      </w:r>
    </w:p>
    <w:p>
      <w:pPr>
        <w:adjustRightInd w:val="0"/>
        <w:snapToGrid w:val="0"/>
        <w:spacing w:line="600" w:lineRule="exact"/>
        <w:ind w:firstLine="720"/>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（一）评价结论</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项目绩效评价总体结论</w:t>
      </w:r>
      <w:r>
        <w:rPr>
          <w:rFonts w:hint="eastAsia" w:ascii="方正仿宋简体" w:hAnsi="方正仿宋简体" w:eastAsia="方正仿宋简体" w:cs="方正仿宋简体"/>
          <w:color w:val="auto"/>
          <w:sz w:val="32"/>
          <w:szCs w:val="32"/>
          <w:lang w:eastAsia="zh-CN"/>
        </w:rPr>
        <w:t>：该项目总体实践较好，</w:t>
      </w:r>
      <w:r>
        <w:rPr>
          <w:rFonts w:hint="eastAsia" w:ascii="方正仿宋简体" w:hAnsi="方正仿宋简体" w:eastAsia="方正仿宋简体" w:cs="方正仿宋简体"/>
          <w:color w:val="auto"/>
          <w:sz w:val="32"/>
          <w:szCs w:val="32"/>
        </w:rPr>
        <w:t>通过项目实施，保障民兵训练工作顺利开展，</w:t>
      </w:r>
      <w:r>
        <w:rPr>
          <w:rFonts w:hint="eastAsia" w:ascii="方正仿宋简体" w:hAnsi="方正仿宋简体" w:eastAsia="方正仿宋简体" w:cs="方正仿宋简体"/>
          <w:color w:val="auto"/>
          <w:sz w:val="32"/>
          <w:szCs w:val="32"/>
          <w:lang w:eastAsia="zh-CN"/>
        </w:rPr>
        <w:t>全年</w:t>
      </w:r>
      <w:r>
        <w:rPr>
          <w:rFonts w:hint="eastAsia" w:ascii="方正仿宋简体" w:hAnsi="方正仿宋简体" w:eastAsia="方正仿宋简体" w:cs="方正仿宋简体"/>
          <w:color w:val="auto"/>
          <w:sz w:val="32"/>
          <w:szCs w:val="32"/>
        </w:rPr>
        <w:t>民兵训练不少于</w:t>
      </w:r>
      <w:r>
        <w:rPr>
          <w:rFonts w:hint="eastAsia" w:ascii="方正仿宋简体" w:hAnsi="方正仿宋简体" w:eastAsia="方正仿宋简体" w:cs="方正仿宋简体"/>
          <w:color w:val="auto"/>
          <w:sz w:val="32"/>
          <w:szCs w:val="32"/>
          <w:lang w:val="en-US" w:eastAsia="zh-CN"/>
        </w:rPr>
        <w:t>41</w:t>
      </w:r>
      <w:r>
        <w:rPr>
          <w:rFonts w:hint="eastAsia" w:ascii="方正仿宋简体" w:hAnsi="方正仿宋简体" w:eastAsia="方正仿宋简体" w:cs="方正仿宋简体"/>
          <w:color w:val="auto"/>
          <w:sz w:val="32"/>
          <w:szCs w:val="32"/>
        </w:rPr>
        <w:t>人次</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eastAsia="zh-CN"/>
        </w:rPr>
        <w:t>高质量完成基层民兵训练</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rPr>
        <w:t>(按照项目总体目标简要描述项目成效）</w:t>
      </w:r>
    </w:p>
    <w:p>
      <w:pPr>
        <w:adjustRightInd w:val="0"/>
        <w:snapToGrid w:val="0"/>
        <w:spacing w:line="600" w:lineRule="exact"/>
        <w:ind w:firstLine="720"/>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（二）绩效分析</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1、项目决策</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必要性和可行性分析</w:t>
      </w:r>
      <w:r>
        <w:rPr>
          <w:rFonts w:hint="eastAsia" w:ascii="方正仿宋简体" w:hAnsi="方正仿宋简体" w:eastAsia="方正仿宋简体" w:cs="方正仿宋简体"/>
          <w:color w:val="auto"/>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adjustRightInd w:val="0"/>
        <w:snapToGrid w:val="0"/>
        <w:spacing w:line="600" w:lineRule="exact"/>
        <w:ind w:firstLine="72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绩效目标设置情况</w:t>
      </w:r>
      <w:r>
        <w:rPr>
          <w:rFonts w:hint="eastAsia" w:ascii="方正仿宋简体" w:hAnsi="方正仿宋简体" w:eastAsia="方正仿宋简体" w:cs="方正仿宋简体"/>
          <w:color w:val="auto"/>
          <w:sz w:val="32"/>
          <w:szCs w:val="32"/>
          <w:lang w:eastAsia="zh-CN"/>
        </w:rPr>
        <w:t>：全年民兵训练次数最少</w:t>
      </w:r>
      <w:r>
        <w:rPr>
          <w:rFonts w:hint="eastAsia" w:ascii="方正仿宋简体" w:hAnsi="方正仿宋简体" w:eastAsia="方正仿宋简体" w:cs="方正仿宋简体"/>
          <w:color w:val="auto"/>
          <w:sz w:val="32"/>
          <w:szCs w:val="32"/>
          <w:lang w:val="en-US" w:eastAsia="zh-CN"/>
        </w:rPr>
        <w:t>2次，民兵人数41人次以上。</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2、项目管理</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资金分配情况</w:t>
      </w:r>
      <w:r>
        <w:rPr>
          <w:rFonts w:hint="eastAsia" w:ascii="方正仿宋简体" w:hAnsi="方正仿宋简体" w:eastAsia="方正仿宋简体" w:cs="方正仿宋简体"/>
          <w:color w:val="auto"/>
          <w:sz w:val="32"/>
          <w:szCs w:val="32"/>
          <w:lang w:eastAsia="zh-CN"/>
        </w:rPr>
        <w:t>：该项目</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，用于民兵训练生活补助及部分物资购买。</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资金使用情况</w:t>
      </w:r>
      <w:r>
        <w:rPr>
          <w:rFonts w:hint="eastAsia" w:ascii="方正仿宋简体" w:hAnsi="方正仿宋简体" w:eastAsia="方正仿宋简体" w:cs="方正仿宋简体"/>
          <w:color w:val="auto"/>
          <w:sz w:val="32"/>
          <w:szCs w:val="32"/>
          <w:lang w:eastAsia="zh-CN"/>
        </w:rPr>
        <w:t>：该项目共计使用</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，用于民兵训练生活补助及部分民兵训练服等物资购买。</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3、项目绩效</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项目目标完成情况</w:t>
      </w:r>
      <w:r>
        <w:rPr>
          <w:rFonts w:hint="eastAsia" w:ascii="方正仿宋简体" w:hAnsi="方正仿宋简体" w:eastAsia="方正仿宋简体" w:cs="方正仿宋简体"/>
          <w:color w:val="auto"/>
          <w:sz w:val="32"/>
          <w:szCs w:val="32"/>
          <w:lang w:eastAsia="zh-CN"/>
        </w:rPr>
        <w:t>：该项目实施较好，</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万元，执行数为</w:t>
      </w: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万元，完成预算的</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w:t>
      </w:r>
    </w:p>
    <w:p>
      <w:pPr>
        <w:adjustRightInd w:val="0"/>
        <w:snapToGrid w:val="0"/>
        <w:spacing w:line="600" w:lineRule="exact"/>
        <w:ind w:firstLine="72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项目效益情况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通过项目实施，</w:t>
      </w:r>
      <w:r>
        <w:rPr>
          <w:rFonts w:hint="eastAsia" w:ascii="方正仿宋简体" w:hAnsi="方正仿宋简体" w:eastAsia="方正仿宋简体" w:cs="方正仿宋简体"/>
          <w:color w:val="auto"/>
          <w:sz w:val="32"/>
          <w:szCs w:val="32"/>
          <w:lang w:eastAsia="zh-CN"/>
        </w:rPr>
        <w:t>全年民兵训练</w:t>
      </w:r>
      <w:r>
        <w:rPr>
          <w:rFonts w:hint="eastAsia" w:ascii="方正仿宋简体" w:hAnsi="方正仿宋简体" w:eastAsia="方正仿宋简体" w:cs="方正仿宋简体"/>
          <w:color w:val="auto"/>
          <w:sz w:val="32"/>
          <w:szCs w:val="32"/>
          <w:lang w:val="en-US" w:eastAsia="zh-CN"/>
        </w:rPr>
        <w:t>3次，参加区级民兵训练3次。</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存在主要问题：</w:t>
      </w:r>
      <w:r>
        <w:rPr>
          <w:rFonts w:hint="eastAsia" w:ascii="方正仿宋简体" w:hAnsi="方正仿宋简体" w:eastAsia="方正仿宋简体" w:cs="方正仿宋简体"/>
          <w:color w:val="auto"/>
          <w:sz w:val="32"/>
          <w:szCs w:val="32"/>
          <w:lang w:eastAsia="zh-CN"/>
        </w:rPr>
        <w:t>群众对基层武装训练知晓度低，民兵训练次数多但因预算经费有限。</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相关措施建议</w:t>
      </w:r>
      <w:r>
        <w:rPr>
          <w:rFonts w:hint="eastAsia" w:ascii="方正黑体简体" w:hAnsi="方正黑体简体" w:eastAsia="方正黑体简体" w:cs="方正黑体简体"/>
          <w:color w:val="auto"/>
          <w:sz w:val="32"/>
          <w:szCs w:val="32"/>
          <w:lang w:eastAsia="zh-CN"/>
        </w:rPr>
        <w:t>：提高基层武装经费预算，加强民兵思想学习，确保民兵训练经费保证，提高基层武装力量。</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adjustRightInd w:val="0"/>
        <w:snapToGrid w:val="0"/>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森林防火专项经费项目20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lang w:eastAsia="zh-CN"/>
        </w:rPr>
        <w:t>年绩效评价报告</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一、评价工作开展及项目情况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项目评价实施方案情况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rPr>
        <w:t>万元，执行数为</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rPr>
        <w:t>万元，完成预算的</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%。通过项目实施，</w:t>
      </w:r>
      <w:r>
        <w:rPr>
          <w:rFonts w:hint="eastAsia" w:ascii="方正仿宋简体" w:hAnsi="方正仿宋简体" w:eastAsia="方正仿宋简体" w:cs="方正仿宋简体"/>
          <w:color w:val="auto"/>
          <w:sz w:val="32"/>
          <w:szCs w:val="32"/>
          <w:lang w:eastAsia="zh-CN"/>
        </w:rPr>
        <w:t>有效防范辖区森林火灾的发生，保护珍稀植物，保障森林防火宣传，提高群众森林防火意识，绿化面积逐年提升。</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评价指标</w:t>
      </w:r>
      <w:r>
        <w:rPr>
          <w:rFonts w:hint="eastAsia" w:ascii="方正仿宋简体" w:hAnsi="方正仿宋简体" w:eastAsia="方正仿宋简体" w:cs="方正仿宋简体"/>
          <w:color w:val="auto"/>
          <w:sz w:val="32"/>
          <w:szCs w:val="32"/>
          <w:lang w:eastAsia="zh-CN"/>
        </w:rPr>
        <w:t>：森林防火措施是否有效，相关宣传是否到位。绿化面积是否提高。</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评价方法</w:t>
      </w:r>
      <w:r>
        <w:rPr>
          <w:rFonts w:hint="eastAsia" w:ascii="方正仿宋简体" w:hAnsi="方正仿宋简体" w:eastAsia="方正仿宋简体" w:cs="方正仿宋简体"/>
          <w:color w:val="auto"/>
          <w:sz w:val="32"/>
          <w:szCs w:val="32"/>
          <w:lang w:eastAsia="zh-CN"/>
        </w:rPr>
        <w:t>：支付凭证资料查阅，相关资料翻阅，森林火灾发生控制率。</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二、评价结论及绩效分析</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（一）评价结论</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项目绩效评价总体结论</w:t>
      </w:r>
      <w:r>
        <w:rPr>
          <w:rFonts w:hint="eastAsia" w:ascii="方正仿宋简体" w:hAnsi="方正仿宋简体" w:eastAsia="方正仿宋简体" w:cs="方正仿宋简体"/>
          <w:color w:val="auto"/>
          <w:sz w:val="32"/>
          <w:szCs w:val="32"/>
          <w:lang w:eastAsia="zh-CN"/>
        </w:rPr>
        <w:t>：该项目总体实践较好，有效防范辖区森林火灾的发生，保护珍稀植物，保障森林防火宣传，提高群众森林防火意识，绿化面积逐年提升。</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（二）绩效分析</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1、项目决策</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必要性和可行性分析</w:t>
      </w:r>
      <w:r>
        <w:rPr>
          <w:rFonts w:hint="eastAsia" w:ascii="方正仿宋简体" w:hAnsi="方正仿宋简体" w:eastAsia="方正仿宋简体" w:cs="方正仿宋简体"/>
          <w:color w:val="auto"/>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绩效目标设置情况</w:t>
      </w:r>
      <w:r>
        <w:rPr>
          <w:rFonts w:hint="eastAsia" w:ascii="方正仿宋简体" w:hAnsi="方正仿宋简体" w:eastAsia="方正仿宋简体" w:cs="方正仿宋简体"/>
          <w:color w:val="auto"/>
          <w:sz w:val="32"/>
          <w:szCs w:val="32"/>
          <w:lang w:eastAsia="zh-CN"/>
        </w:rPr>
        <w:t>：防范森林火灾，保护珍稀植物，增强群众防火意识。</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2、项目管理</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资金分配情况</w:t>
      </w:r>
      <w:r>
        <w:rPr>
          <w:rFonts w:hint="eastAsia" w:ascii="方正仿宋简体" w:hAnsi="方正仿宋简体" w:eastAsia="方正仿宋简体" w:cs="方正仿宋简体"/>
          <w:color w:val="auto"/>
          <w:sz w:val="32"/>
          <w:szCs w:val="32"/>
          <w:lang w:eastAsia="zh-CN"/>
        </w:rPr>
        <w:t>：该项目</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，主要用于防火宣传标示标牌的制作和安装，防火物资的采购储备，安装防火报警装置等。</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资金使用情况：该项目共计使用</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lang w:eastAsia="zh-CN"/>
        </w:rPr>
        <w:t>万元，用于防火宣传标示标牌的制作和安装，防火物资的采购储备、安装防火报警装置等。</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3、项目绩效</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项目目标完成情况</w:t>
      </w:r>
      <w:r>
        <w:rPr>
          <w:rFonts w:hint="eastAsia" w:ascii="方正仿宋简体" w:hAnsi="方正仿宋简体" w:eastAsia="方正仿宋简体" w:cs="方正仿宋简体"/>
          <w:color w:val="auto"/>
          <w:sz w:val="32"/>
          <w:szCs w:val="32"/>
          <w:lang w:eastAsia="zh-CN"/>
        </w:rPr>
        <w:t>：该项目实施较好，</w:t>
      </w:r>
      <w:r>
        <w:rPr>
          <w:rFonts w:hint="eastAsia" w:ascii="方正仿宋简体" w:hAnsi="方正仿宋简体" w:eastAsia="方正仿宋简体" w:cs="方正仿宋简体"/>
          <w:color w:val="auto"/>
          <w:sz w:val="32"/>
          <w:szCs w:val="32"/>
        </w:rPr>
        <w:t>全年预算数</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rPr>
        <w:t>万元，执行数为</w:t>
      </w:r>
      <w:r>
        <w:rPr>
          <w:rFonts w:hint="eastAsia" w:ascii="方正仿宋简体" w:hAnsi="方正仿宋简体" w:eastAsia="方正仿宋简体" w:cs="方正仿宋简体"/>
          <w:color w:val="auto"/>
          <w:sz w:val="32"/>
          <w:szCs w:val="32"/>
          <w:lang w:val="en-US" w:eastAsia="zh-CN"/>
        </w:rPr>
        <w:t>5.07</w:t>
      </w:r>
      <w:r>
        <w:rPr>
          <w:rFonts w:hint="eastAsia" w:ascii="方正仿宋简体" w:hAnsi="方正仿宋简体" w:eastAsia="方正仿宋简体" w:cs="方正仿宋简体"/>
          <w:color w:val="auto"/>
          <w:sz w:val="32"/>
          <w:szCs w:val="32"/>
        </w:rPr>
        <w:t>万元，完成预算的</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项目效益情况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通过项目实施，</w:t>
      </w:r>
      <w:r>
        <w:rPr>
          <w:rFonts w:hint="eastAsia" w:ascii="方正仿宋简体" w:hAnsi="方正仿宋简体" w:eastAsia="方正仿宋简体" w:cs="方正仿宋简体"/>
          <w:color w:val="auto"/>
          <w:sz w:val="32"/>
          <w:szCs w:val="32"/>
          <w:lang w:eastAsia="zh-CN"/>
        </w:rPr>
        <w:t>有效防范辖区森林火灾的发生，保护珍稀植物，保障森林防火宣传，提高群众森林防火意识，绿化面积逐年提升。</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存在主要问题：</w:t>
      </w:r>
      <w:r>
        <w:rPr>
          <w:rFonts w:hint="eastAsia" w:ascii="方正黑体简体" w:hAnsi="方正黑体简体" w:eastAsia="方正黑体简体" w:cs="方正黑体简体"/>
          <w:color w:val="auto"/>
          <w:sz w:val="32"/>
          <w:szCs w:val="32"/>
          <w:lang w:eastAsia="zh-CN"/>
        </w:rPr>
        <w:t>群众森林防火意识需进一步加强。</w:t>
      </w:r>
    </w:p>
    <w:p>
      <w:pPr>
        <w:adjustRightInd w:val="0"/>
        <w:snapToGrid w:val="0"/>
        <w:spacing w:line="600" w:lineRule="exact"/>
        <w:ind w:firstLine="720"/>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相关措施建议</w:t>
      </w:r>
      <w:r>
        <w:rPr>
          <w:rFonts w:hint="eastAsia" w:ascii="方正黑体简体" w:hAnsi="方正黑体简体" w:eastAsia="方正黑体简体" w:cs="方正黑体简体"/>
          <w:color w:val="auto"/>
          <w:sz w:val="32"/>
          <w:szCs w:val="32"/>
          <w:lang w:eastAsia="zh-CN"/>
        </w:rPr>
        <w:t>：加强森林防火宣传，创新宣传方式方法。</w:t>
      </w:r>
    </w:p>
    <w:p>
      <w:pPr>
        <w:adjustRightInd w:val="0"/>
        <w:snapToGrid w:val="0"/>
        <w:spacing w:line="600" w:lineRule="exact"/>
        <w:ind w:firstLine="7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大调解</w:t>
      </w:r>
      <w:r>
        <w:rPr>
          <w:rFonts w:hint="eastAsia" w:ascii="方正小标宋简体" w:hAnsi="方正小标宋简体" w:eastAsia="方正小标宋简体" w:cs="方正小标宋简体"/>
          <w:color w:val="auto"/>
          <w:sz w:val="44"/>
          <w:szCs w:val="44"/>
        </w:rPr>
        <w:t>经费项目20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年绩效评价报告</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一、评价工作开展及项目情况</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eastAsia="zh-CN"/>
        </w:rPr>
        <w:t>大调解</w:t>
      </w:r>
      <w:r>
        <w:rPr>
          <w:rFonts w:hint="eastAsia" w:ascii="方正仿宋简体" w:hAnsi="方正仿宋简体" w:eastAsia="方正仿宋简体" w:cs="方正仿宋简体"/>
          <w:color w:val="auto"/>
          <w:sz w:val="32"/>
          <w:szCs w:val="32"/>
        </w:rPr>
        <w:t>工作经费项目支出</w:t>
      </w: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万元,主要用于街道辖区内</w:t>
      </w:r>
      <w:r>
        <w:rPr>
          <w:rFonts w:hint="eastAsia" w:ascii="方正仿宋简体" w:hAnsi="方正仿宋简体" w:eastAsia="方正仿宋简体" w:cs="方正仿宋简体"/>
          <w:color w:val="auto"/>
          <w:sz w:val="32"/>
          <w:szCs w:val="32"/>
          <w:lang w:eastAsia="zh-CN"/>
        </w:rPr>
        <w:t>群众矛盾调解及</w:t>
      </w:r>
      <w:r>
        <w:rPr>
          <w:rFonts w:hint="eastAsia" w:ascii="方正仿宋简体" w:hAnsi="方正仿宋简体" w:eastAsia="方正仿宋简体" w:cs="方正仿宋简体"/>
          <w:color w:val="auto"/>
          <w:sz w:val="32"/>
          <w:szCs w:val="32"/>
        </w:rPr>
        <w:t>相关制度的制定和宣传等。</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二、评价结论及绩效分析</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（一）评价结论</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项目支出报账实行严格审批制度,先报预算经会议讨论通过,报账时经领导集体签字审批，不得超预算开支。项目资金总额</w:t>
      </w: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万元,严格按照相关文件精神办理,支付方式为财政国库集中支付,确保财政资金专款专用。</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（二）绩效分析</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1、项目决策</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增强群众法律意识，通过法律及其他相关知识，积极化解群众矛盾纠纷，</w:t>
      </w:r>
      <w:r>
        <w:rPr>
          <w:rFonts w:hint="eastAsia" w:ascii="方正仿宋简体" w:hAnsi="方正仿宋简体" w:eastAsia="方正仿宋简体" w:cs="方正仿宋简体"/>
          <w:color w:val="auto"/>
          <w:sz w:val="32"/>
          <w:szCs w:val="32"/>
        </w:rPr>
        <w:t>维护社会和谐稳定</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rPr>
        <w:t>将矛盾化解在基层，</w:t>
      </w:r>
      <w:r>
        <w:rPr>
          <w:rFonts w:hint="eastAsia" w:ascii="方正仿宋简体" w:hAnsi="方正仿宋简体" w:eastAsia="方正仿宋简体" w:cs="方正仿宋简体"/>
          <w:color w:val="auto"/>
          <w:sz w:val="32"/>
          <w:szCs w:val="32"/>
          <w:lang w:eastAsia="zh-CN"/>
        </w:rPr>
        <w:t>减轻政府负担。</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2、项目管理</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年度，该项资金预算</w:t>
      </w: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万元，实际支出</w:t>
      </w: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万元。</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3、项目绩效</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现在群众的矛盾层出不穷，加强干部职工业务能力势在必行，通过干部职工的法律手段等群众矛盾纠纷业务能力知识提升培训和学习，创新方式方法，让每一位干部职工都能熟悉应对突发群众矛盾纠纷化解工作，把矛盾化解在基层，从而维护社会和谐稳定。</w:t>
      </w:r>
    </w:p>
    <w:p>
      <w:pPr>
        <w:adjustRightInd w:val="0"/>
        <w:snapToGrid w:val="0"/>
        <w:spacing w:line="600" w:lineRule="exact"/>
        <w:ind w:firstLine="72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五、存在的问题和建议</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问题</w:t>
      </w:r>
    </w:p>
    <w:p>
      <w:pPr>
        <w:adjustRightInd w:val="0"/>
        <w:snapToGrid w:val="0"/>
        <w:spacing w:line="600" w:lineRule="exact"/>
        <w:ind w:firstLine="72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1、</w:t>
      </w:r>
      <w:r>
        <w:rPr>
          <w:rFonts w:hint="eastAsia" w:ascii="方正仿宋简体" w:hAnsi="方正仿宋简体" w:eastAsia="方正仿宋简体" w:cs="方正仿宋简体"/>
          <w:color w:val="auto"/>
          <w:sz w:val="32"/>
          <w:szCs w:val="32"/>
          <w:lang w:eastAsia="zh-CN"/>
        </w:rPr>
        <w:t>干部调解群众方式方法单一，需要创新。</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sz w:val="32"/>
          <w:szCs w:val="32"/>
          <w:lang w:eastAsia="zh-CN"/>
        </w:rPr>
        <w:t>经费不足，每年用于矛盾调解资金远远大于预算金额</w:t>
      </w:r>
      <w:r>
        <w:rPr>
          <w:rFonts w:hint="eastAsia" w:ascii="方正仿宋简体" w:hAnsi="方正仿宋简体" w:eastAsia="方正仿宋简体" w:cs="方正仿宋简体"/>
          <w:color w:val="auto"/>
          <w:sz w:val="32"/>
          <w:szCs w:val="32"/>
        </w:rPr>
        <w:t>。</w:t>
      </w:r>
    </w:p>
    <w:p>
      <w:pPr>
        <w:adjustRightInd w:val="0"/>
        <w:snapToGrid w:val="0"/>
        <w:spacing w:line="600" w:lineRule="exact"/>
        <w:ind w:firstLine="72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（二）建议</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加大预算投入，加强干部职工化解矛盾纠纷培训，创新化解方式。</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p>
      <w:pPr>
        <w:spacing w:line="600" w:lineRule="exact"/>
        <w:jc w:val="center"/>
        <w:outlineLvl w:val="0"/>
        <w:rPr>
          <w:rStyle w:val="27"/>
          <w:rFonts w:ascii="黑体" w:hAnsi="黑体" w:eastAsia="黑体"/>
          <w:b w:val="0"/>
          <w:color w:val="auto"/>
        </w:rPr>
      </w:pPr>
    </w:p>
    <w:p>
      <w:pPr>
        <w:spacing w:line="580" w:lineRule="exact"/>
        <w:jc w:val="center"/>
        <w:rPr>
          <w:rStyle w:val="27"/>
          <w:rFonts w:ascii="黑体" w:hAnsi="黑体" w:eastAsia="黑体"/>
          <w:b w:val="0"/>
          <w:color w:val="auto"/>
        </w:rPr>
      </w:pPr>
    </w:p>
    <w:p>
      <w:pPr>
        <w:spacing w:line="580" w:lineRule="exact"/>
        <w:jc w:val="center"/>
        <w:rPr>
          <w:rFonts w:hint="eastAsia" w:ascii="方正小标宋简体" w:hAnsi="方正小标宋简体" w:eastAsia="方正小标宋简体" w:cs="方正小标宋简体"/>
          <w:color w:val="auto"/>
          <w:sz w:val="44"/>
          <w:szCs w:val="44"/>
        </w:rPr>
      </w:pPr>
      <w:bookmarkStart w:id="59" w:name="_Toc15396618"/>
      <w:r>
        <w:rPr>
          <w:rFonts w:hint="eastAsia" w:ascii="方正小标宋简体" w:hAnsi="方正小标宋简体" w:eastAsia="方正小标宋简体" w:cs="方正小标宋简体"/>
          <w:color w:val="auto"/>
          <w:sz w:val="44"/>
          <w:szCs w:val="44"/>
        </w:rPr>
        <w:t>第五部分 附表</w:t>
      </w:r>
      <w:bookmarkEnd w:id="57"/>
      <w:bookmarkEnd w:id="59"/>
    </w:p>
    <w:p>
      <w:pPr>
        <w:spacing w:line="600" w:lineRule="exact"/>
        <w:jc w:val="center"/>
        <w:outlineLvl w:val="0"/>
        <w:rPr>
          <w:rFonts w:ascii="仿宋" w:hAnsi="仿宋" w:eastAsia="仿宋"/>
          <w:b/>
          <w:color w:val="auto"/>
          <w:sz w:val="44"/>
          <w:szCs w:val="44"/>
        </w:rPr>
      </w:pP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0" w:name="_Toc15396619"/>
      <w:r>
        <w:rPr>
          <w:rFonts w:hint="eastAsia" w:ascii="方正仿宋简体" w:hAnsi="方正仿宋简体" w:eastAsia="方正仿宋简体" w:cs="方正仿宋简体"/>
          <w:color w:val="auto"/>
          <w:sz w:val="32"/>
          <w:szCs w:val="32"/>
        </w:rPr>
        <w:t>一、收入支出决算总表</w:t>
      </w:r>
      <w:bookmarkEnd w:id="60"/>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1" w:name="_Toc15396620"/>
      <w:r>
        <w:rPr>
          <w:rFonts w:hint="eastAsia" w:ascii="方正仿宋简体" w:hAnsi="方正仿宋简体" w:eastAsia="方正仿宋简体" w:cs="方正仿宋简体"/>
          <w:color w:val="auto"/>
          <w:sz w:val="32"/>
          <w:szCs w:val="32"/>
        </w:rPr>
        <w:t>二、收入决算表</w:t>
      </w:r>
      <w:bookmarkEnd w:id="61"/>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2" w:name="_Toc15396621"/>
      <w:r>
        <w:rPr>
          <w:rFonts w:hint="eastAsia" w:ascii="方正仿宋简体" w:hAnsi="方正仿宋简体" w:eastAsia="方正仿宋简体" w:cs="方正仿宋简体"/>
          <w:color w:val="auto"/>
          <w:sz w:val="32"/>
          <w:szCs w:val="32"/>
        </w:rPr>
        <w:t>三、支出决算表</w:t>
      </w:r>
      <w:bookmarkEnd w:id="62"/>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3" w:name="_Toc15396622"/>
      <w:r>
        <w:rPr>
          <w:rFonts w:hint="eastAsia" w:ascii="方正仿宋简体" w:hAnsi="方正仿宋简体" w:eastAsia="方正仿宋简体" w:cs="方正仿宋简体"/>
          <w:color w:val="auto"/>
          <w:sz w:val="32"/>
          <w:szCs w:val="32"/>
        </w:rPr>
        <w:t>四、财政拨款收入支出决算总表</w:t>
      </w:r>
      <w:bookmarkEnd w:id="63"/>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4" w:name="_Toc15396623"/>
      <w:r>
        <w:rPr>
          <w:rFonts w:hint="eastAsia" w:ascii="方正仿宋简体" w:hAnsi="方正仿宋简体" w:eastAsia="方正仿宋简体" w:cs="方正仿宋简体"/>
          <w:color w:val="auto"/>
          <w:sz w:val="32"/>
          <w:szCs w:val="32"/>
        </w:rPr>
        <w:t>五、财政拨款支出决算明细表</w:t>
      </w:r>
      <w:bookmarkEnd w:id="64"/>
      <w:bookmarkStart w:id="65" w:name="_Toc15396624"/>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六、一般公共预算财政拨款支出决算表</w:t>
      </w:r>
      <w:bookmarkEnd w:id="65"/>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6" w:name="_Toc15396625"/>
      <w:r>
        <w:rPr>
          <w:rFonts w:hint="eastAsia" w:ascii="方正仿宋简体" w:hAnsi="方正仿宋简体" w:eastAsia="方正仿宋简体" w:cs="方正仿宋简体"/>
          <w:color w:val="auto"/>
          <w:sz w:val="32"/>
          <w:szCs w:val="32"/>
        </w:rPr>
        <w:t>七、一般公共预算财政拨款支出决算明细表</w:t>
      </w:r>
      <w:bookmarkEnd w:id="66"/>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7" w:name="_Toc15396626"/>
      <w:r>
        <w:rPr>
          <w:rFonts w:hint="eastAsia" w:ascii="方正仿宋简体" w:hAnsi="方正仿宋简体" w:eastAsia="方正仿宋简体" w:cs="方正仿宋简体"/>
          <w:color w:val="auto"/>
          <w:sz w:val="32"/>
          <w:szCs w:val="32"/>
        </w:rPr>
        <w:t>八、一般公共预算财政拨款基本支出决算表</w:t>
      </w:r>
      <w:bookmarkEnd w:id="67"/>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8" w:name="_Toc15396627"/>
      <w:r>
        <w:rPr>
          <w:rFonts w:hint="eastAsia" w:ascii="方正仿宋简体" w:hAnsi="方正仿宋简体" w:eastAsia="方正仿宋简体" w:cs="方正仿宋简体"/>
          <w:color w:val="auto"/>
          <w:sz w:val="32"/>
          <w:szCs w:val="32"/>
        </w:rPr>
        <w:t>九、一般公共预算财政拨款项目支出决算表</w:t>
      </w:r>
      <w:bookmarkEnd w:id="68"/>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69" w:name="_Toc15396628"/>
      <w:r>
        <w:rPr>
          <w:rFonts w:hint="eastAsia" w:ascii="方正仿宋简体" w:hAnsi="方正仿宋简体" w:eastAsia="方正仿宋简体" w:cs="方正仿宋简体"/>
          <w:color w:val="auto"/>
          <w:sz w:val="32"/>
          <w:szCs w:val="32"/>
        </w:rPr>
        <w:t>十、一般公共预算财政拨款“三公”经费支出决算表</w:t>
      </w:r>
      <w:bookmarkEnd w:id="69"/>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70" w:name="_Toc15396629"/>
      <w:r>
        <w:rPr>
          <w:rFonts w:hint="eastAsia" w:ascii="方正仿宋简体" w:hAnsi="方正仿宋简体" w:eastAsia="方正仿宋简体" w:cs="方正仿宋简体"/>
          <w:color w:val="auto"/>
          <w:sz w:val="32"/>
          <w:szCs w:val="32"/>
        </w:rPr>
        <w:t>十一、政府性基金预算财政拨款收入支出决算表</w:t>
      </w:r>
      <w:bookmarkEnd w:id="70"/>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bookmarkStart w:id="71" w:name="_Toc15396630"/>
      <w:r>
        <w:rPr>
          <w:rFonts w:hint="eastAsia" w:ascii="方正仿宋简体" w:hAnsi="方正仿宋简体" w:eastAsia="方正仿宋简体" w:cs="方正仿宋简体"/>
          <w:color w:val="auto"/>
          <w:sz w:val="32"/>
          <w:szCs w:val="32"/>
        </w:rPr>
        <w:t>十二、政府性基金预算财政拨款“三公”经费支出决算表</w:t>
      </w:r>
      <w:bookmarkEnd w:id="71"/>
    </w:p>
    <w:p>
      <w:pPr>
        <w:pStyle w:val="13"/>
        <w:adjustRightInd w:val="0"/>
        <w:snapToGrid w:val="0"/>
        <w:spacing w:line="440" w:lineRule="exact"/>
        <w:ind w:firstLine="320" w:firstLineChars="1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十三、国有资本经营预算财政拨款收入支出决算表</w:t>
      </w:r>
    </w:p>
    <w:p>
      <w:pPr>
        <w:pStyle w:val="13"/>
        <w:adjustRightInd w:val="0"/>
        <w:snapToGrid w:val="0"/>
        <w:spacing w:line="440" w:lineRule="exact"/>
        <w:ind w:firstLine="320" w:firstLineChars="1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十四、国有资本经营预算财政拨款支出决算表</w:t>
      </w:r>
    </w:p>
    <w:p>
      <w:pPr>
        <w:adjustRightInd w:val="0"/>
        <w:snapToGrid w:val="0"/>
        <w:spacing w:line="600" w:lineRule="exact"/>
        <w:ind w:firstLine="720"/>
        <w:rPr>
          <w:rFonts w:hint="eastAsia" w:ascii="方正仿宋简体" w:hAnsi="方正仿宋简体" w:eastAsia="方正仿宋简体" w:cs="方正仿宋简体"/>
          <w:color w:val="auto"/>
          <w:sz w:val="32"/>
          <w:szCs w:val="32"/>
        </w:rPr>
      </w:pPr>
    </w:p>
    <w:sectPr>
      <w:footerReference r:id="rId9" w:type="default"/>
      <w:pgSz w:w="11906" w:h="16838"/>
      <w:pgMar w:top="2098" w:right="1531" w:bottom="1984"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2760E"/>
    <w:rsid w:val="03C048A7"/>
    <w:rsid w:val="08212596"/>
    <w:rsid w:val="08E6267C"/>
    <w:rsid w:val="091B78EA"/>
    <w:rsid w:val="0931628D"/>
    <w:rsid w:val="0BA9338D"/>
    <w:rsid w:val="0BAF0914"/>
    <w:rsid w:val="0BC35D09"/>
    <w:rsid w:val="0C804EA3"/>
    <w:rsid w:val="0D0D4DB4"/>
    <w:rsid w:val="0FCD4259"/>
    <w:rsid w:val="10C055FF"/>
    <w:rsid w:val="14003433"/>
    <w:rsid w:val="167722B1"/>
    <w:rsid w:val="16A13AAA"/>
    <w:rsid w:val="16BB723D"/>
    <w:rsid w:val="16BD10BA"/>
    <w:rsid w:val="18A559ED"/>
    <w:rsid w:val="18B52B2D"/>
    <w:rsid w:val="1ABE755C"/>
    <w:rsid w:val="1BF25380"/>
    <w:rsid w:val="1E8F7484"/>
    <w:rsid w:val="1FBA16BB"/>
    <w:rsid w:val="20C44305"/>
    <w:rsid w:val="214C17E6"/>
    <w:rsid w:val="22D20584"/>
    <w:rsid w:val="23F20907"/>
    <w:rsid w:val="240371BF"/>
    <w:rsid w:val="24D1799F"/>
    <w:rsid w:val="24ED446E"/>
    <w:rsid w:val="260D2E5D"/>
    <w:rsid w:val="2616216A"/>
    <w:rsid w:val="266874EE"/>
    <w:rsid w:val="267C20E4"/>
    <w:rsid w:val="281F04CE"/>
    <w:rsid w:val="28456AD3"/>
    <w:rsid w:val="298A170D"/>
    <w:rsid w:val="29FD04D3"/>
    <w:rsid w:val="2A85177A"/>
    <w:rsid w:val="2A8A1278"/>
    <w:rsid w:val="2B3F587F"/>
    <w:rsid w:val="2BE2580A"/>
    <w:rsid w:val="2C5C436C"/>
    <w:rsid w:val="2D5A77D8"/>
    <w:rsid w:val="2DB27AF8"/>
    <w:rsid w:val="2EBB7118"/>
    <w:rsid w:val="2F697DFB"/>
    <w:rsid w:val="319F7F4E"/>
    <w:rsid w:val="31C367AC"/>
    <w:rsid w:val="340019D3"/>
    <w:rsid w:val="3403002D"/>
    <w:rsid w:val="353E67AD"/>
    <w:rsid w:val="35783B92"/>
    <w:rsid w:val="35A75925"/>
    <w:rsid w:val="3694551D"/>
    <w:rsid w:val="395305C4"/>
    <w:rsid w:val="3BE25C09"/>
    <w:rsid w:val="3C6755D7"/>
    <w:rsid w:val="3CD6078F"/>
    <w:rsid w:val="3EC05F3D"/>
    <w:rsid w:val="3EF8637D"/>
    <w:rsid w:val="3FF93FBE"/>
    <w:rsid w:val="42776570"/>
    <w:rsid w:val="42937D9A"/>
    <w:rsid w:val="43266501"/>
    <w:rsid w:val="43412DEE"/>
    <w:rsid w:val="438A7922"/>
    <w:rsid w:val="4457256E"/>
    <w:rsid w:val="462A3437"/>
    <w:rsid w:val="478350B9"/>
    <w:rsid w:val="4AC234EB"/>
    <w:rsid w:val="4AFF24C0"/>
    <w:rsid w:val="4B151C0B"/>
    <w:rsid w:val="4B9F1A37"/>
    <w:rsid w:val="4BC2650D"/>
    <w:rsid w:val="4CD11A11"/>
    <w:rsid w:val="4CF459BE"/>
    <w:rsid w:val="4D187A23"/>
    <w:rsid w:val="4E9D2CCB"/>
    <w:rsid w:val="4ECE2238"/>
    <w:rsid w:val="4FF34C0B"/>
    <w:rsid w:val="52930A98"/>
    <w:rsid w:val="537723FB"/>
    <w:rsid w:val="55A8072B"/>
    <w:rsid w:val="560C5FC3"/>
    <w:rsid w:val="56256CB2"/>
    <w:rsid w:val="56CA30FA"/>
    <w:rsid w:val="58082398"/>
    <w:rsid w:val="587C4E7A"/>
    <w:rsid w:val="58EA660C"/>
    <w:rsid w:val="5A220DE1"/>
    <w:rsid w:val="5A7F2DA8"/>
    <w:rsid w:val="5ACC237B"/>
    <w:rsid w:val="5C79137F"/>
    <w:rsid w:val="5D2548C9"/>
    <w:rsid w:val="5E921B84"/>
    <w:rsid w:val="60F069D1"/>
    <w:rsid w:val="61012596"/>
    <w:rsid w:val="66543FB7"/>
    <w:rsid w:val="666E1D8A"/>
    <w:rsid w:val="66BA64D1"/>
    <w:rsid w:val="67230735"/>
    <w:rsid w:val="67662C42"/>
    <w:rsid w:val="69E1052C"/>
    <w:rsid w:val="6A43034B"/>
    <w:rsid w:val="6A82752E"/>
    <w:rsid w:val="6C3550E1"/>
    <w:rsid w:val="6E3D28C1"/>
    <w:rsid w:val="6E485F00"/>
    <w:rsid w:val="71BA3D32"/>
    <w:rsid w:val="725362B8"/>
    <w:rsid w:val="72734D90"/>
    <w:rsid w:val="73190DC3"/>
    <w:rsid w:val="75755C9B"/>
    <w:rsid w:val="75F849F2"/>
    <w:rsid w:val="77470FE1"/>
    <w:rsid w:val="7C4F5675"/>
    <w:rsid w:val="7D7461CB"/>
    <w:rsid w:val="7DF713CA"/>
    <w:rsid w:val="7F4C7A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80" w:firstLineChars="150"/>
    </w:pPr>
    <w:rPr>
      <w:rFonts w:ascii="仿宋_GB2312" w:eastAsia="仿宋_GB2312"/>
      <w:bCs/>
      <w:sz w:val="3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3 Char"/>
    <w:basedOn w:val="15"/>
    <w:link w:val="6"/>
    <w:qFormat/>
    <w:uiPriority w:val="9"/>
    <w:rPr>
      <w:rFonts w:ascii="Times New Roman" w:hAnsi="Times New Roman"/>
      <w:b/>
      <w:bCs/>
      <w:kern w:val="2"/>
      <w:sz w:val="32"/>
      <w:szCs w:val="32"/>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4"/>
    <w:qFormat/>
    <w:uiPriority w:val="9"/>
    <w:rPr>
      <w:rFonts w:ascii="Times New Roman" w:hAnsi="Times New Roman"/>
      <w:b/>
      <w:bCs/>
      <w:kern w:val="44"/>
      <w:sz w:val="44"/>
      <w:szCs w:val="44"/>
    </w:r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MyPC</cp:lastModifiedBy>
  <cp:lastPrinted>2020-07-23T02:58:00Z</cp:lastPrinted>
  <dcterms:modified xsi:type="dcterms:W3CDTF">2021-09-30T08:55:26Z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D555EEE5E1F54309A63C613731C48528</vt:lpwstr>
  </property>
</Properties>
</file>