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D3355">
      <w:pPr>
        <w:widowControl/>
        <w:jc w:val="left"/>
        <w:rPr>
          <w:rFonts w:hint="default"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附件2</w:t>
      </w:r>
    </w:p>
    <w:p w14:paraId="7254B2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6"/>
          <w:szCs w:val="36"/>
          <w:lang w:eastAsia="zh-CN"/>
        </w:rPr>
      </w:pPr>
      <w:r>
        <w:rPr>
          <w:rFonts w:hint="eastAsia" w:ascii="方正小标宋简体" w:hAnsi="方正小标宋简体" w:eastAsia="方正小标宋简体" w:cs="方正小标宋简体"/>
          <w:b/>
          <w:bCs/>
          <w:color w:val="auto"/>
          <w:sz w:val="36"/>
          <w:szCs w:val="36"/>
          <w:lang w:eastAsia="zh-CN"/>
        </w:rPr>
        <w:t>关于调整城镇土地使用税年税额标准和征税范围</w:t>
      </w:r>
    </w:p>
    <w:p w14:paraId="3FCCE6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6"/>
          <w:szCs w:val="36"/>
          <w:lang w:eastAsia="zh-CN"/>
        </w:rPr>
      </w:pPr>
      <w:r>
        <w:rPr>
          <w:rFonts w:hint="eastAsia" w:ascii="方正小标宋简体" w:hAnsi="方正小标宋简体" w:eastAsia="方正小标宋简体" w:cs="方正小标宋简体"/>
          <w:b/>
          <w:bCs/>
          <w:color w:val="auto"/>
          <w:sz w:val="36"/>
          <w:szCs w:val="36"/>
          <w:lang w:eastAsia="zh-CN"/>
        </w:rPr>
        <w:t>对城镇土地使用税收入影响的情况说明</w:t>
      </w:r>
    </w:p>
    <w:p w14:paraId="0C117B77">
      <w:pPr>
        <w:pStyle w:val="2"/>
        <w:rPr>
          <w:rFonts w:hint="eastAsia"/>
          <w:lang w:eastAsia="zh-CN"/>
        </w:rPr>
      </w:pPr>
    </w:p>
    <w:p w14:paraId="247BE231">
      <w:pPr>
        <w:spacing w:line="5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我区拟对城镇土地使用税征税范围和税额标准进行调整，根据前期摸排掌握的税源情况进行测算和分析，调整后对我区城镇土地使用税收入有一定影响，</w:t>
      </w:r>
      <w:r>
        <w:rPr>
          <w:rFonts w:hint="eastAsia" w:ascii="仿宋_GB2312" w:eastAsia="仿宋_GB2312"/>
          <w:color w:val="000000"/>
          <w:sz w:val="32"/>
          <w:szCs w:val="32"/>
          <w:lang w:eastAsia="zh-CN"/>
        </w:rPr>
        <w:t>按照“依法征收”和“平稳过渡”原则，</w:t>
      </w:r>
      <w:r>
        <w:rPr>
          <w:rFonts w:hint="eastAsia" w:ascii="仿宋_GB2312" w:hAnsi="仿宋_GB2312" w:eastAsia="仿宋_GB2312" w:cs="仿宋_GB2312"/>
          <w:sz w:val="32"/>
          <w:szCs w:val="32"/>
          <w:lang w:val="en-US" w:eastAsia="zh-CN"/>
        </w:rPr>
        <w:t>相比2023年入库数有所增长，但与2017年以来城区经济社会取得较大发展有关，具体测算数据见下表。具体测算数据见下表：</w:t>
      </w:r>
    </w:p>
    <w:p w14:paraId="555CBA32">
      <w:pPr>
        <w:widowControl/>
        <w:tabs>
          <w:tab w:val="left" w:pos="420"/>
          <w:tab w:val="left" w:pos="9240"/>
        </w:tabs>
        <w:overflowPunct w:val="0"/>
        <w:autoSpaceDE w:val="0"/>
        <w:autoSpaceDN w:val="0"/>
        <w:adjustRightInd w:val="0"/>
        <w:spacing w:beforeLines="0" w:line="600" w:lineRule="exact"/>
        <w:ind w:firstLine="0" w:firstLineChars="0"/>
        <w:jc w:val="center"/>
        <w:rPr>
          <w:rFonts w:hint="eastAsia" w:ascii="仿宋" w:hAnsi="仿宋" w:eastAsia="仿宋" w:cs="仿宋"/>
          <w:color w:val="000000"/>
          <w:sz w:val="21"/>
          <w:szCs w:val="21"/>
        </w:rPr>
      </w:pPr>
      <w:r>
        <w:rPr>
          <w:rFonts w:hint="eastAsia" w:ascii="方正小标宋简体" w:hAnsi="方正小标宋简体" w:eastAsia="方正小标宋简体" w:cs="方正小标宋简体"/>
          <w:b/>
          <w:bCs/>
          <w:color w:val="000000"/>
          <w:sz w:val="24"/>
          <w:szCs w:val="24"/>
          <w:lang w:eastAsia="zh-CN"/>
        </w:rPr>
        <w:t>利州区</w:t>
      </w:r>
      <w:r>
        <w:rPr>
          <w:rFonts w:hint="eastAsia" w:ascii="方正小标宋简体" w:hAnsi="方正小标宋简体" w:eastAsia="方正小标宋简体" w:cs="方正小标宋简体"/>
          <w:b/>
          <w:bCs/>
          <w:color w:val="000000"/>
          <w:sz w:val="24"/>
          <w:szCs w:val="24"/>
        </w:rPr>
        <w:t>城镇土地使用税</w:t>
      </w:r>
      <w:r>
        <w:rPr>
          <w:rFonts w:hint="eastAsia" w:ascii="方正小标宋简体" w:hAnsi="方正小标宋简体" w:eastAsia="方正小标宋简体" w:cs="方正小标宋简体"/>
          <w:b/>
          <w:bCs/>
          <w:color w:val="000000"/>
          <w:sz w:val="24"/>
          <w:szCs w:val="24"/>
          <w:lang w:eastAsia="zh-CN"/>
        </w:rPr>
        <w:t>土地等级和征收范围</w:t>
      </w:r>
      <w:r>
        <w:rPr>
          <w:rFonts w:hint="eastAsia" w:ascii="方正小标宋简体" w:hAnsi="方正小标宋简体" w:eastAsia="方正小标宋简体" w:cs="方正小标宋简体"/>
          <w:b/>
          <w:bCs/>
          <w:color w:val="000000"/>
          <w:sz w:val="24"/>
          <w:szCs w:val="24"/>
        </w:rPr>
        <w:t>调整后收入测算</w:t>
      </w:r>
      <w:r>
        <w:rPr>
          <w:rFonts w:hint="eastAsia" w:ascii="方正小标宋简体" w:hAnsi="方正小标宋简体" w:eastAsia="方正小标宋简体" w:cs="方正小标宋简体"/>
          <w:b w:val="0"/>
          <w:bCs w:val="0"/>
          <w:color w:val="000000"/>
          <w:sz w:val="24"/>
          <w:szCs w:val="24"/>
          <w:lang w:val="en-US" w:eastAsia="zh-CN"/>
        </w:rPr>
        <w:t xml:space="preserve">  </w:t>
      </w:r>
      <w:r>
        <w:rPr>
          <w:rFonts w:hint="eastAsia" w:ascii="仿宋" w:hAnsi="仿宋" w:eastAsia="仿宋" w:cs="仿宋"/>
          <w:color w:val="000000"/>
          <w:sz w:val="21"/>
          <w:szCs w:val="21"/>
        </w:rPr>
        <w:t>单位：万元</w:t>
      </w:r>
    </w:p>
    <w:tbl>
      <w:tblPr>
        <w:tblStyle w:val="5"/>
        <w:tblpPr w:leftFromText="180" w:rightFromText="180" w:vertAnchor="text" w:horzAnchor="page" w:tblpXSpec="center" w:tblpY="98"/>
        <w:tblOverlap w:val="never"/>
        <w:tblW w:w="7793" w:type="dxa"/>
        <w:jc w:val="center"/>
        <w:tblLayout w:type="fixed"/>
        <w:tblCellMar>
          <w:top w:w="0" w:type="dxa"/>
          <w:left w:w="108" w:type="dxa"/>
          <w:bottom w:w="0" w:type="dxa"/>
          <w:right w:w="108" w:type="dxa"/>
        </w:tblCellMar>
      </w:tblPr>
      <w:tblGrid>
        <w:gridCol w:w="1354"/>
        <w:gridCol w:w="1016"/>
        <w:gridCol w:w="1084"/>
        <w:gridCol w:w="1154"/>
        <w:gridCol w:w="1119"/>
        <w:gridCol w:w="1097"/>
        <w:gridCol w:w="969"/>
      </w:tblGrid>
      <w:tr w14:paraId="43714518">
        <w:tblPrEx>
          <w:tblCellMar>
            <w:top w:w="0" w:type="dxa"/>
            <w:left w:w="108" w:type="dxa"/>
            <w:bottom w:w="0" w:type="dxa"/>
            <w:right w:w="108" w:type="dxa"/>
          </w:tblCellMar>
        </w:tblPrEx>
        <w:trPr>
          <w:trHeight w:val="902" w:hRule="atLeast"/>
          <w:jc w:val="center"/>
        </w:trPr>
        <w:tc>
          <w:tcPr>
            <w:tcW w:w="1354" w:type="dxa"/>
            <w:tcBorders>
              <w:top w:val="single" w:color="auto" w:sz="6" w:space="0"/>
              <w:left w:val="single" w:color="auto" w:sz="6" w:space="0"/>
              <w:bottom w:val="single" w:color="auto" w:sz="6" w:space="0"/>
              <w:right w:val="single" w:color="auto" w:sz="6" w:space="0"/>
            </w:tcBorders>
            <w:noWrap w:val="0"/>
            <w:vAlign w:val="center"/>
          </w:tcPr>
          <w:p w14:paraId="13B0C247">
            <w:pPr>
              <w:keepNext w:val="0"/>
              <w:keepLines w:val="0"/>
              <w:widowControl/>
              <w:suppressLineNumbers w:val="0"/>
              <w:jc w:val="center"/>
              <w:textAlignment w:val="top"/>
              <w:rPr>
                <w:rFonts w:hint="eastAsia" w:ascii="宋体" w:hAnsi="宋体" w:eastAsia="宋体" w:cs="宋体"/>
                <w:b/>
                <w:bCs/>
                <w:i w:val="0"/>
                <w:iCs w:val="0"/>
                <w:color w:val="000000"/>
                <w:w w:val="80"/>
                <w:kern w:val="0"/>
                <w:sz w:val="24"/>
                <w:szCs w:val="24"/>
                <w:u w:val="none"/>
                <w:lang w:val="en-US" w:eastAsia="zh-CN" w:bidi="ar"/>
              </w:rPr>
            </w:pPr>
            <w:r>
              <w:rPr>
                <w:rFonts w:hint="eastAsia" w:ascii="Times New Roman" w:hAnsi="Times New Roman" w:eastAsia="方正仿宋简体" w:cs="Times New Roman"/>
                <w:b/>
                <w:bCs/>
                <w:color w:val="auto"/>
                <w:sz w:val="20"/>
                <w:szCs w:val="20"/>
                <w:lang w:val="en-US" w:eastAsia="zh-CN"/>
              </w:rPr>
              <w:t>年度</w:t>
            </w:r>
          </w:p>
        </w:tc>
        <w:tc>
          <w:tcPr>
            <w:tcW w:w="1016" w:type="dxa"/>
            <w:tcBorders>
              <w:top w:val="single" w:color="auto" w:sz="6" w:space="0"/>
              <w:left w:val="single" w:color="auto" w:sz="6" w:space="0"/>
              <w:bottom w:val="single" w:color="auto" w:sz="6" w:space="0"/>
              <w:right w:val="single" w:color="auto" w:sz="6" w:space="0"/>
            </w:tcBorders>
            <w:noWrap w:val="0"/>
            <w:vAlign w:val="center"/>
          </w:tcPr>
          <w:p w14:paraId="410F44E4">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i w:val="0"/>
                <w:iCs w:val="0"/>
                <w:color w:val="000000"/>
                <w:w w:val="80"/>
                <w:kern w:val="0"/>
                <w:sz w:val="24"/>
                <w:szCs w:val="24"/>
                <w:u w:val="none"/>
                <w:lang w:val="en-US" w:eastAsia="zh-CN" w:bidi="ar"/>
              </w:rPr>
            </w:pPr>
            <w:r>
              <w:rPr>
                <w:rFonts w:hint="eastAsia" w:ascii="Times New Roman" w:hAnsi="Times New Roman" w:eastAsia="方正仿宋简体" w:cs="Times New Roman"/>
                <w:b/>
                <w:bCs/>
                <w:color w:val="auto"/>
                <w:sz w:val="20"/>
                <w:szCs w:val="20"/>
                <w:lang w:eastAsia="zh-CN"/>
              </w:rPr>
              <w:t>城区一</w:t>
            </w:r>
            <w:r>
              <w:rPr>
                <w:rFonts w:hint="default" w:ascii="Times New Roman" w:hAnsi="Times New Roman" w:eastAsia="方正仿宋简体" w:cs="Times New Roman"/>
                <w:b/>
                <w:bCs/>
                <w:color w:val="auto"/>
                <w:sz w:val="20"/>
                <w:szCs w:val="20"/>
              </w:rPr>
              <w:t>级入库数</w:t>
            </w:r>
          </w:p>
        </w:tc>
        <w:tc>
          <w:tcPr>
            <w:tcW w:w="1084" w:type="dxa"/>
            <w:tcBorders>
              <w:top w:val="single" w:color="auto" w:sz="6" w:space="0"/>
              <w:left w:val="single" w:color="auto" w:sz="6" w:space="0"/>
              <w:bottom w:val="single" w:color="auto" w:sz="6" w:space="0"/>
              <w:right w:val="single" w:color="auto" w:sz="6" w:space="0"/>
            </w:tcBorders>
            <w:noWrap w:val="0"/>
            <w:vAlign w:val="center"/>
          </w:tcPr>
          <w:p w14:paraId="082F4640">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i w:val="0"/>
                <w:iCs w:val="0"/>
                <w:color w:val="000000"/>
                <w:w w:val="80"/>
                <w:kern w:val="0"/>
                <w:sz w:val="24"/>
                <w:szCs w:val="24"/>
                <w:u w:val="none"/>
                <w:lang w:val="en-US" w:eastAsia="zh-CN" w:bidi="ar"/>
              </w:rPr>
            </w:pPr>
            <w:r>
              <w:rPr>
                <w:rFonts w:hint="eastAsia" w:ascii="Times New Roman" w:hAnsi="Times New Roman" w:eastAsia="方正仿宋简体" w:cs="Times New Roman"/>
                <w:b/>
                <w:bCs/>
                <w:color w:val="auto"/>
                <w:sz w:val="20"/>
                <w:szCs w:val="20"/>
                <w:lang w:eastAsia="zh-CN"/>
              </w:rPr>
              <w:t>城区</w:t>
            </w:r>
            <w:r>
              <w:rPr>
                <w:rFonts w:hint="default" w:ascii="Times New Roman" w:hAnsi="Times New Roman" w:eastAsia="方正仿宋简体" w:cs="Times New Roman"/>
                <w:b/>
                <w:bCs/>
                <w:color w:val="auto"/>
                <w:sz w:val="20"/>
                <w:szCs w:val="20"/>
                <w:lang w:val="en-US" w:eastAsia="zh-CN"/>
              </w:rPr>
              <w:t>二</w:t>
            </w:r>
            <w:r>
              <w:rPr>
                <w:rFonts w:hint="default" w:ascii="Times New Roman" w:hAnsi="Times New Roman" w:eastAsia="方正仿宋简体" w:cs="Times New Roman"/>
                <w:b/>
                <w:bCs/>
                <w:color w:val="auto"/>
                <w:sz w:val="20"/>
                <w:szCs w:val="20"/>
              </w:rPr>
              <w:t>级入库数</w:t>
            </w:r>
          </w:p>
        </w:tc>
        <w:tc>
          <w:tcPr>
            <w:tcW w:w="1154" w:type="dxa"/>
            <w:tcBorders>
              <w:top w:val="single" w:color="auto" w:sz="6" w:space="0"/>
              <w:left w:val="single" w:color="auto" w:sz="6" w:space="0"/>
              <w:bottom w:val="single" w:color="auto" w:sz="6" w:space="0"/>
              <w:right w:val="single" w:color="auto" w:sz="6" w:space="0"/>
            </w:tcBorders>
            <w:noWrap w:val="0"/>
            <w:vAlign w:val="center"/>
          </w:tcPr>
          <w:p w14:paraId="56811BB8">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i w:val="0"/>
                <w:iCs w:val="0"/>
                <w:color w:val="000000"/>
                <w:w w:val="80"/>
                <w:kern w:val="0"/>
                <w:sz w:val="24"/>
                <w:szCs w:val="24"/>
                <w:u w:val="none"/>
                <w:lang w:val="en-US" w:eastAsia="zh-CN" w:bidi="ar"/>
              </w:rPr>
            </w:pPr>
            <w:r>
              <w:rPr>
                <w:rFonts w:hint="eastAsia" w:ascii="Times New Roman" w:hAnsi="Times New Roman" w:eastAsia="方正仿宋简体" w:cs="Times New Roman"/>
                <w:b/>
                <w:bCs/>
                <w:color w:val="auto"/>
                <w:sz w:val="20"/>
                <w:szCs w:val="20"/>
                <w:lang w:eastAsia="zh-CN"/>
              </w:rPr>
              <w:t>城区</w:t>
            </w:r>
            <w:r>
              <w:rPr>
                <w:rFonts w:hint="default" w:ascii="Times New Roman" w:hAnsi="Times New Roman" w:eastAsia="方正仿宋简体" w:cs="Times New Roman"/>
                <w:b/>
                <w:bCs/>
                <w:color w:val="auto"/>
                <w:sz w:val="20"/>
                <w:szCs w:val="20"/>
                <w:lang w:val="en-US" w:eastAsia="zh-CN"/>
              </w:rPr>
              <w:t>三</w:t>
            </w:r>
            <w:r>
              <w:rPr>
                <w:rFonts w:hint="default" w:ascii="Times New Roman" w:hAnsi="Times New Roman" w:eastAsia="方正仿宋简体" w:cs="Times New Roman"/>
                <w:b/>
                <w:bCs/>
                <w:color w:val="auto"/>
                <w:sz w:val="20"/>
                <w:szCs w:val="20"/>
              </w:rPr>
              <w:t>级入库数</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7B0A95E6">
            <w:pPr>
              <w:keepNext w:val="0"/>
              <w:keepLines w:val="0"/>
              <w:pageBreakBefore w:val="0"/>
              <w:kinsoku/>
              <w:wordWrap/>
              <w:overflowPunct/>
              <w:topLinePunct w:val="0"/>
              <w:autoSpaceDE w:val="0"/>
              <w:autoSpaceDN w:val="0"/>
              <w:bidi w:val="0"/>
              <w:adjustRightInd/>
              <w:snapToGrid/>
              <w:spacing w:line="320" w:lineRule="exact"/>
              <w:jc w:val="center"/>
              <w:rPr>
                <w:rFonts w:hint="eastAsia" w:ascii="宋体" w:hAnsi="宋体" w:eastAsia="宋体" w:cs="宋体"/>
                <w:i w:val="0"/>
                <w:iCs w:val="0"/>
                <w:color w:val="000000"/>
                <w:w w:val="80"/>
                <w:kern w:val="0"/>
                <w:sz w:val="24"/>
                <w:szCs w:val="24"/>
                <w:u w:val="none"/>
                <w:lang w:val="en-US" w:eastAsia="zh-CN" w:bidi="ar"/>
              </w:rPr>
            </w:pPr>
            <w:r>
              <w:rPr>
                <w:rFonts w:hint="eastAsia" w:ascii="Times New Roman" w:hAnsi="Times New Roman" w:eastAsia="方正仿宋简体" w:cs="Times New Roman"/>
                <w:b/>
                <w:bCs/>
                <w:color w:val="auto"/>
                <w:sz w:val="20"/>
                <w:szCs w:val="20"/>
                <w:lang w:eastAsia="zh-CN"/>
              </w:rPr>
              <w:t>城区四</w:t>
            </w:r>
            <w:r>
              <w:rPr>
                <w:rFonts w:hint="default" w:ascii="Times New Roman" w:hAnsi="Times New Roman" w:eastAsia="方正仿宋简体" w:cs="Times New Roman"/>
                <w:b/>
                <w:bCs/>
                <w:color w:val="auto"/>
                <w:sz w:val="20"/>
                <w:szCs w:val="20"/>
              </w:rPr>
              <w:t>级入库数</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28122D56">
            <w:pPr>
              <w:keepNext w:val="0"/>
              <w:keepLines w:val="0"/>
              <w:pageBreakBefore w:val="0"/>
              <w:kinsoku/>
              <w:wordWrap/>
              <w:overflowPunct/>
              <w:topLinePunct w:val="0"/>
              <w:autoSpaceDE w:val="0"/>
              <w:autoSpaceDN w:val="0"/>
              <w:bidi w:val="0"/>
              <w:adjustRightInd/>
              <w:snapToGrid/>
              <w:spacing w:line="320" w:lineRule="exact"/>
              <w:jc w:val="center"/>
              <w:rPr>
                <w:rFonts w:hint="eastAsia" w:ascii="Times New Roman" w:hAnsi="Times New Roman" w:eastAsia="方正仿宋简体" w:cs="Times New Roman"/>
                <w:b/>
                <w:bCs/>
                <w:color w:val="auto"/>
                <w:sz w:val="20"/>
                <w:szCs w:val="20"/>
                <w:lang w:val="en-US" w:eastAsia="zh-CN"/>
              </w:rPr>
            </w:pPr>
            <w:r>
              <w:rPr>
                <w:rFonts w:hint="eastAsia" w:ascii="Times New Roman" w:hAnsi="Times New Roman" w:eastAsia="方正仿宋简体" w:cs="Times New Roman"/>
                <w:b/>
                <w:bCs/>
                <w:color w:val="auto"/>
                <w:sz w:val="20"/>
                <w:szCs w:val="20"/>
                <w:lang w:val="en-US" w:eastAsia="zh-CN"/>
              </w:rPr>
              <w:t>建制镇等记入库数</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41E35C6C">
            <w:pPr>
              <w:keepNext w:val="0"/>
              <w:keepLines w:val="0"/>
              <w:widowControl/>
              <w:suppressLineNumbers w:val="0"/>
              <w:jc w:val="center"/>
              <w:textAlignment w:val="top"/>
              <w:rPr>
                <w:rFonts w:hint="eastAsia" w:ascii="宋体" w:hAnsi="宋体" w:eastAsia="宋体" w:cs="宋体"/>
                <w:b/>
                <w:bCs/>
                <w:i w:val="0"/>
                <w:iCs w:val="0"/>
                <w:color w:val="000000"/>
                <w:w w:val="80"/>
                <w:kern w:val="0"/>
                <w:sz w:val="24"/>
                <w:szCs w:val="24"/>
                <w:u w:val="none"/>
                <w:lang w:val="en-US" w:eastAsia="zh-CN" w:bidi="ar"/>
              </w:rPr>
            </w:pPr>
            <w:r>
              <w:rPr>
                <w:rFonts w:hint="eastAsia" w:ascii="Times New Roman" w:hAnsi="Times New Roman" w:eastAsia="方正仿宋简体" w:cs="Times New Roman"/>
                <w:b/>
                <w:bCs/>
                <w:color w:val="auto"/>
                <w:sz w:val="20"/>
                <w:szCs w:val="20"/>
                <w:lang w:val="en-US" w:eastAsia="zh-CN"/>
              </w:rPr>
              <w:t>合计</w:t>
            </w:r>
          </w:p>
        </w:tc>
      </w:tr>
      <w:tr w14:paraId="1EE09C4A">
        <w:tblPrEx>
          <w:tblCellMar>
            <w:top w:w="0" w:type="dxa"/>
            <w:left w:w="108" w:type="dxa"/>
            <w:bottom w:w="0" w:type="dxa"/>
            <w:right w:w="108" w:type="dxa"/>
          </w:tblCellMar>
        </w:tblPrEx>
        <w:trPr>
          <w:trHeight w:val="545" w:hRule="atLeast"/>
          <w:jc w:val="center"/>
        </w:trPr>
        <w:tc>
          <w:tcPr>
            <w:tcW w:w="1354" w:type="dxa"/>
            <w:tcBorders>
              <w:top w:val="single" w:color="auto" w:sz="6" w:space="0"/>
              <w:left w:val="single" w:color="auto" w:sz="6" w:space="0"/>
              <w:bottom w:val="single" w:color="auto" w:sz="6" w:space="0"/>
              <w:right w:val="single" w:color="auto" w:sz="6" w:space="0"/>
            </w:tcBorders>
            <w:noWrap w:val="0"/>
            <w:vAlign w:val="center"/>
          </w:tcPr>
          <w:p w14:paraId="0AB6297E">
            <w:pPr>
              <w:keepNext w:val="0"/>
              <w:keepLines w:val="0"/>
              <w:widowControl/>
              <w:suppressLineNumbers w:val="0"/>
              <w:jc w:val="center"/>
              <w:textAlignment w:val="top"/>
              <w:rPr>
                <w:rFonts w:hint="default" w:ascii="Times New Roman" w:hAnsi="Times New Roman" w:eastAsia="宋体" w:cs="Times New Roman"/>
                <w:b/>
                <w:bCs/>
                <w:i w:val="0"/>
                <w:iCs w:val="0"/>
                <w:color w:val="000000"/>
                <w:w w:val="80"/>
                <w:kern w:val="0"/>
                <w:sz w:val="24"/>
                <w:szCs w:val="24"/>
                <w:u w:val="none"/>
                <w:lang w:val="en-US" w:eastAsia="zh-CN" w:bidi="ar"/>
              </w:rPr>
            </w:pPr>
            <w:r>
              <w:rPr>
                <w:rFonts w:hint="default" w:ascii="Times New Roman" w:hAnsi="Times New Roman" w:eastAsia="宋体" w:cs="Times New Roman"/>
                <w:b/>
                <w:bCs/>
                <w:i w:val="0"/>
                <w:iCs w:val="0"/>
                <w:color w:val="000000"/>
                <w:w w:val="80"/>
                <w:kern w:val="0"/>
                <w:sz w:val="24"/>
                <w:szCs w:val="24"/>
                <w:u w:val="none"/>
                <w:lang w:val="en-US" w:eastAsia="zh-CN" w:bidi="ar"/>
              </w:rPr>
              <w:t>202</w:t>
            </w:r>
            <w:r>
              <w:rPr>
                <w:rFonts w:hint="eastAsia" w:ascii="Times New Roman" w:hAnsi="Times New Roman" w:cs="Times New Roman"/>
                <w:b/>
                <w:bCs/>
                <w:i w:val="0"/>
                <w:iCs w:val="0"/>
                <w:color w:val="000000"/>
                <w:w w:val="80"/>
                <w:kern w:val="0"/>
                <w:sz w:val="24"/>
                <w:szCs w:val="24"/>
                <w:u w:val="none"/>
                <w:lang w:val="en-US" w:eastAsia="zh-CN" w:bidi="ar"/>
              </w:rPr>
              <w:t>1</w:t>
            </w:r>
            <w:r>
              <w:rPr>
                <w:rFonts w:hint="default" w:ascii="Times New Roman" w:hAnsi="Times New Roman" w:eastAsia="宋体" w:cs="Times New Roman"/>
                <w:b/>
                <w:bCs/>
                <w:i w:val="0"/>
                <w:iCs w:val="0"/>
                <w:color w:val="000000"/>
                <w:w w:val="80"/>
                <w:kern w:val="0"/>
                <w:sz w:val="24"/>
                <w:szCs w:val="24"/>
                <w:u w:val="none"/>
                <w:lang w:val="en-US" w:eastAsia="zh-CN" w:bidi="ar"/>
              </w:rPr>
              <w:t>年</w:t>
            </w:r>
          </w:p>
        </w:tc>
        <w:tc>
          <w:tcPr>
            <w:tcW w:w="1016" w:type="dxa"/>
            <w:tcBorders>
              <w:top w:val="single" w:color="auto" w:sz="6" w:space="0"/>
              <w:left w:val="single" w:color="auto" w:sz="6" w:space="0"/>
              <w:bottom w:val="single" w:color="auto" w:sz="6" w:space="0"/>
              <w:right w:val="single" w:color="auto" w:sz="6" w:space="0"/>
            </w:tcBorders>
            <w:noWrap w:val="0"/>
            <w:vAlign w:val="center"/>
          </w:tcPr>
          <w:p w14:paraId="0EF98CA8">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2647.87</w:t>
            </w:r>
          </w:p>
        </w:tc>
        <w:tc>
          <w:tcPr>
            <w:tcW w:w="1084" w:type="dxa"/>
            <w:tcBorders>
              <w:top w:val="single" w:color="auto" w:sz="6" w:space="0"/>
              <w:left w:val="single" w:color="auto" w:sz="6" w:space="0"/>
              <w:bottom w:val="single" w:color="auto" w:sz="6" w:space="0"/>
              <w:right w:val="single" w:color="auto" w:sz="6" w:space="0"/>
            </w:tcBorders>
            <w:noWrap w:val="0"/>
            <w:vAlign w:val="center"/>
          </w:tcPr>
          <w:p w14:paraId="0C830645">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175.21</w:t>
            </w:r>
          </w:p>
        </w:tc>
        <w:tc>
          <w:tcPr>
            <w:tcW w:w="1154" w:type="dxa"/>
            <w:tcBorders>
              <w:top w:val="single" w:color="auto" w:sz="6" w:space="0"/>
              <w:left w:val="single" w:color="auto" w:sz="6" w:space="0"/>
              <w:bottom w:val="single" w:color="auto" w:sz="6" w:space="0"/>
              <w:right w:val="single" w:color="auto" w:sz="6" w:space="0"/>
            </w:tcBorders>
            <w:noWrap w:val="0"/>
            <w:vAlign w:val="center"/>
          </w:tcPr>
          <w:p w14:paraId="7526752A">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1457.08</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3B51B03E">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2548.24</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299E144C">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128.63</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72BF819A">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6957.03</w:t>
            </w:r>
          </w:p>
        </w:tc>
      </w:tr>
      <w:tr w14:paraId="1223C08A">
        <w:tblPrEx>
          <w:tblCellMar>
            <w:top w:w="0" w:type="dxa"/>
            <w:left w:w="108" w:type="dxa"/>
            <w:bottom w:w="0" w:type="dxa"/>
            <w:right w:w="108" w:type="dxa"/>
          </w:tblCellMar>
        </w:tblPrEx>
        <w:trPr>
          <w:trHeight w:val="545" w:hRule="atLeast"/>
          <w:jc w:val="center"/>
        </w:trPr>
        <w:tc>
          <w:tcPr>
            <w:tcW w:w="1354" w:type="dxa"/>
            <w:tcBorders>
              <w:top w:val="single" w:color="auto" w:sz="6" w:space="0"/>
              <w:left w:val="single" w:color="auto" w:sz="6" w:space="0"/>
              <w:bottom w:val="single" w:color="auto" w:sz="6" w:space="0"/>
              <w:right w:val="single" w:color="auto" w:sz="6" w:space="0"/>
            </w:tcBorders>
            <w:noWrap w:val="0"/>
            <w:vAlign w:val="center"/>
          </w:tcPr>
          <w:p w14:paraId="22F021BF">
            <w:pPr>
              <w:keepNext w:val="0"/>
              <w:keepLines w:val="0"/>
              <w:widowControl/>
              <w:suppressLineNumbers w:val="0"/>
              <w:jc w:val="center"/>
              <w:textAlignment w:val="top"/>
              <w:rPr>
                <w:rFonts w:hint="default" w:ascii="Times New Roman" w:hAnsi="Times New Roman" w:eastAsia="宋体" w:cs="Times New Roman"/>
                <w:b/>
                <w:bCs/>
                <w:i w:val="0"/>
                <w:iCs w:val="0"/>
                <w:color w:val="000000"/>
                <w:w w:val="80"/>
                <w:kern w:val="0"/>
                <w:sz w:val="24"/>
                <w:szCs w:val="24"/>
                <w:u w:val="none"/>
                <w:lang w:val="en-US" w:eastAsia="zh-CN" w:bidi="ar"/>
              </w:rPr>
            </w:pPr>
            <w:r>
              <w:rPr>
                <w:rFonts w:hint="default" w:ascii="Times New Roman" w:hAnsi="Times New Roman" w:eastAsia="宋体" w:cs="Times New Roman"/>
                <w:b/>
                <w:bCs/>
                <w:i w:val="0"/>
                <w:iCs w:val="0"/>
                <w:color w:val="000000"/>
                <w:w w:val="80"/>
                <w:kern w:val="0"/>
                <w:sz w:val="24"/>
                <w:szCs w:val="24"/>
                <w:u w:val="none"/>
                <w:lang w:val="en-US" w:eastAsia="zh-CN" w:bidi="ar"/>
              </w:rPr>
              <w:t>2022年</w:t>
            </w:r>
          </w:p>
        </w:tc>
        <w:tc>
          <w:tcPr>
            <w:tcW w:w="1016" w:type="dxa"/>
            <w:tcBorders>
              <w:top w:val="single" w:color="auto" w:sz="6" w:space="0"/>
              <w:left w:val="single" w:color="auto" w:sz="6" w:space="0"/>
              <w:bottom w:val="single" w:color="auto" w:sz="6" w:space="0"/>
              <w:right w:val="single" w:color="auto" w:sz="6" w:space="0"/>
            </w:tcBorders>
            <w:noWrap w:val="0"/>
            <w:vAlign w:val="center"/>
          </w:tcPr>
          <w:p w14:paraId="6E28BC1A">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2904.67</w:t>
            </w:r>
          </w:p>
        </w:tc>
        <w:tc>
          <w:tcPr>
            <w:tcW w:w="1084" w:type="dxa"/>
            <w:tcBorders>
              <w:top w:val="single" w:color="auto" w:sz="6" w:space="0"/>
              <w:left w:val="single" w:color="auto" w:sz="6" w:space="0"/>
              <w:bottom w:val="single" w:color="auto" w:sz="6" w:space="0"/>
              <w:right w:val="single" w:color="auto" w:sz="6" w:space="0"/>
            </w:tcBorders>
            <w:noWrap w:val="0"/>
            <w:vAlign w:val="center"/>
          </w:tcPr>
          <w:p w14:paraId="7BAFB04D">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217.61</w:t>
            </w:r>
          </w:p>
        </w:tc>
        <w:tc>
          <w:tcPr>
            <w:tcW w:w="1154" w:type="dxa"/>
            <w:tcBorders>
              <w:top w:val="single" w:color="auto" w:sz="6" w:space="0"/>
              <w:left w:val="single" w:color="auto" w:sz="6" w:space="0"/>
              <w:bottom w:val="single" w:color="auto" w:sz="6" w:space="0"/>
              <w:right w:val="single" w:color="auto" w:sz="6" w:space="0"/>
            </w:tcBorders>
            <w:noWrap w:val="0"/>
            <w:vAlign w:val="center"/>
          </w:tcPr>
          <w:p w14:paraId="7777FBBB">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1499.65</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68706FC5">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2443.93</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36D1F01A">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141.09</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5D48DA64">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7206.95</w:t>
            </w:r>
          </w:p>
        </w:tc>
      </w:tr>
      <w:tr w14:paraId="48DEA843">
        <w:tblPrEx>
          <w:tblCellMar>
            <w:top w:w="0" w:type="dxa"/>
            <w:left w:w="108" w:type="dxa"/>
            <w:bottom w:w="0" w:type="dxa"/>
            <w:right w:w="108" w:type="dxa"/>
          </w:tblCellMar>
        </w:tblPrEx>
        <w:trPr>
          <w:trHeight w:val="571" w:hRule="atLeast"/>
          <w:jc w:val="center"/>
        </w:trPr>
        <w:tc>
          <w:tcPr>
            <w:tcW w:w="1354" w:type="dxa"/>
            <w:tcBorders>
              <w:top w:val="single" w:color="auto" w:sz="6" w:space="0"/>
              <w:left w:val="single" w:color="auto" w:sz="6" w:space="0"/>
              <w:bottom w:val="single" w:color="auto" w:sz="6" w:space="0"/>
              <w:right w:val="single" w:color="auto" w:sz="6" w:space="0"/>
            </w:tcBorders>
            <w:noWrap w:val="0"/>
            <w:vAlign w:val="center"/>
          </w:tcPr>
          <w:p w14:paraId="48F4EDF8">
            <w:pPr>
              <w:keepNext w:val="0"/>
              <w:keepLines w:val="0"/>
              <w:widowControl/>
              <w:suppressLineNumbers w:val="0"/>
              <w:jc w:val="center"/>
              <w:textAlignment w:val="top"/>
              <w:rPr>
                <w:rFonts w:hint="default" w:ascii="Times New Roman" w:hAnsi="Times New Roman" w:eastAsia="宋体" w:cs="Times New Roman"/>
                <w:b/>
                <w:bCs/>
                <w:i w:val="0"/>
                <w:iCs w:val="0"/>
                <w:color w:val="000000"/>
                <w:w w:val="80"/>
                <w:kern w:val="0"/>
                <w:sz w:val="24"/>
                <w:szCs w:val="24"/>
                <w:u w:val="none"/>
                <w:lang w:val="en-US" w:eastAsia="zh-CN" w:bidi="ar"/>
              </w:rPr>
            </w:pPr>
            <w:r>
              <w:rPr>
                <w:rFonts w:hint="default" w:ascii="Times New Roman" w:hAnsi="Times New Roman" w:eastAsia="宋体" w:cs="Times New Roman"/>
                <w:b/>
                <w:bCs/>
                <w:i w:val="0"/>
                <w:iCs w:val="0"/>
                <w:color w:val="000000"/>
                <w:w w:val="80"/>
                <w:kern w:val="0"/>
                <w:sz w:val="24"/>
                <w:szCs w:val="24"/>
                <w:u w:val="none"/>
                <w:lang w:val="en-US" w:eastAsia="zh-CN" w:bidi="ar"/>
              </w:rPr>
              <w:t>2023年</w:t>
            </w:r>
          </w:p>
        </w:tc>
        <w:tc>
          <w:tcPr>
            <w:tcW w:w="1016" w:type="dxa"/>
            <w:tcBorders>
              <w:top w:val="single" w:color="auto" w:sz="6" w:space="0"/>
              <w:left w:val="single" w:color="auto" w:sz="6" w:space="0"/>
              <w:bottom w:val="single" w:color="auto" w:sz="6" w:space="0"/>
              <w:right w:val="single" w:color="auto" w:sz="6" w:space="0"/>
            </w:tcBorders>
            <w:noWrap w:val="0"/>
            <w:vAlign w:val="center"/>
          </w:tcPr>
          <w:p w14:paraId="0355E5CE">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2164.37</w:t>
            </w:r>
          </w:p>
        </w:tc>
        <w:tc>
          <w:tcPr>
            <w:tcW w:w="1084" w:type="dxa"/>
            <w:tcBorders>
              <w:top w:val="single" w:color="auto" w:sz="6" w:space="0"/>
              <w:left w:val="single" w:color="auto" w:sz="6" w:space="0"/>
              <w:bottom w:val="single" w:color="auto" w:sz="6" w:space="0"/>
              <w:right w:val="single" w:color="auto" w:sz="6" w:space="0"/>
            </w:tcBorders>
            <w:noWrap w:val="0"/>
            <w:vAlign w:val="center"/>
          </w:tcPr>
          <w:p w14:paraId="133E6473">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174.24</w:t>
            </w:r>
          </w:p>
        </w:tc>
        <w:tc>
          <w:tcPr>
            <w:tcW w:w="1154" w:type="dxa"/>
            <w:tcBorders>
              <w:top w:val="single" w:color="auto" w:sz="6" w:space="0"/>
              <w:left w:val="single" w:color="auto" w:sz="6" w:space="0"/>
              <w:bottom w:val="single" w:color="auto" w:sz="6" w:space="0"/>
              <w:right w:val="single" w:color="auto" w:sz="6" w:space="0"/>
            </w:tcBorders>
            <w:noWrap w:val="0"/>
            <w:vAlign w:val="center"/>
          </w:tcPr>
          <w:p w14:paraId="77D59527">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1411.88</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1A032B56">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2550.62</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24F9CDF1">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116.39</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4C830100">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6417.5</w:t>
            </w:r>
          </w:p>
        </w:tc>
      </w:tr>
      <w:tr w14:paraId="19287B48">
        <w:tblPrEx>
          <w:tblCellMar>
            <w:top w:w="0" w:type="dxa"/>
            <w:left w:w="108" w:type="dxa"/>
            <w:bottom w:w="0" w:type="dxa"/>
            <w:right w:w="108" w:type="dxa"/>
          </w:tblCellMar>
        </w:tblPrEx>
        <w:trPr>
          <w:trHeight w:val="571" w:hRule="atLeast"/>
          <w:jc w:val="center"/>
        </w:trPr>
        <w:tc>
          <w:tcPr>
            <w:tcW w:w="1354" w:type="dxa"/>
            <w:tcBorders>
              <w:top w:val="single" w:color="auto" w:sz="6" w:space="0"/>
              <w:left w:val="single" w:color="auto" w:sz="6" w:space="0"/>
              <w:bottom w:val="single" w:color="auto" w:sz="6" w:space="0"/>
              <w:right w:val="single" w:color="auto" w:sz="6" w:space="0"/>
            </w:tcBorders>
            <w:noWrap w:val="0"/>
            <w:vAlign w:val="center"/>
          </w:tcPr>
          <w:p w14:paraId="67988649">
            <w:pPr>
              <w:keepNext w:val="0"/>
              <w:keepLines w:val="0"/>
              <w:widowControl/>
              <w:suppressLineNumbers w:val="0"/>
              <w:jc w:val="center"/>
              <w:textAlignment w:val="top"/>
              <w:rPr>
                <w:rFonts w:hint="default" w:ascii="Times New Roman" w:hAnsi="Times New Roman" w:eastAsia="宋体" w:cs="Times New Roman"/>
                <w:b/>
                <w:bCs/>
                <w:i w:val="0"/>
                <w:iCs w:val="0"/>
                <w:color w:val="000000"/>
                <w:w w:val="80"/>
                <w:kern w:val="0"/>
                <w:sz w:val="24"/>
                <w:szCs w:val="24"/>
                <w:u w:val="none"/>
                <w:lang w:val="en-US" w:eastAsia="zh-CN" w:bidi="ar"/>
              </w:rPr>
            </w:pPr>
            <w:r>
              <w:rPr>
                <w:rFonts w:hint="eastAsia" w:ascii="Times New Roman" w:hAnsi="Times New Roman" w:cs="Times New Roman"/>
                <w:b/>
                <w:bCs/>
                <w:i w:val="0"/>
                <w:iCs w:val="0"/>
                <w:color w:val="000000"/>
                <w:w w:val="80"/>
                <w:kern w:val="0"/>
                <w:sz w:val="24"/>
                <w:szCs w:val="24"/>
                <w:u w:val="none"/>
                <w:lang w:val="en-US" w:eastAsia="zh-CN" w:bidi="ar"/>
              </w:rPr>
              <w:t>2024年</w:t>
            </w:r>
          </w:p>
        </w:tc>
        <w:tc>
          <w:tcPr>
            <w:tcW w:w="1016" w:type="dxa"/>
            <w:tcBorders>
              <w:top w:val="single" w:color="auto" w:sz="6" w:space="0"/>
              <w:left w:val="single" w:color="auto" w:sz="6" w:space="0"/>
              <w:bottom w:val="single" w:color="auto" w:sz="6" w:space="0"/>
              <w:right w:val="single" w:color="auto" w:sz="6" w:space="0"/>
            </w:tcBorders>
            <w:noWrap w:val="0"/>
            <w:vAlign w:val="center"/>
          </w:tcPr>
          <w:p w14:paraId="2FCD0F91">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2635.19</w:t>
            </w:r>
          </w:p>
        </w:tc>
        <w:tc>
          <w:tcPr>
            <w:tcW w:w="1084" w:type="dxa"/>
            <w:tcBorders>
              <w:top w:val="single" w:color="auto" w:sz="6" w:space="0"/>
              <w:left w:val="single" w:color="auto" w:sz="6" w:space="0"/>
              <w:bottom w:val="single" w:color="auto" w:sz="6" w:space="0"/>
              <w:right w:val="single" w:color="auto" w:sz="6" w:space="0"/>
            </w:tcBorders>
            <w:noWrap w:val="0"/>
            <w:vAlign w:val="center"/>
          </w:tcPr>
          <w:p w14:paraId="54F28A2F">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206.5</w:t>
            </w:r>
          </w:p>
        </w:tc>
        <w:tc>
          <w:tcPr>
            <w:tcW w:w="1154" w:type="dxa"/>
            <w:tcBorders>
              <w:top w:val="single" w:color="auto" w:sz="6" w:space="0"/>
              <w:left w:val="single" w:color="auto" w:sz="6" w:space="0"/>
              <w:bottom w:val="single" w:color="auto" w:sz="6" w:space="0"/>
              <w:right w:val="single" w:color="auto" w:sz="6" w:space="0"/>
            </w:tcBorders>
            <w:noWrap w:val="0"/>
            <w:vAlign w:val="center"/>
          </w:tcPr>
          <w:p w14:paraId="080220C8">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1589.64</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0C6B0B2B">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3204.32</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5A2D5EED">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165.49</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3025EB71">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7801.15</w:t>
            </w:r>
          </w:p>
        </w:tc>
      </w:tr>
      <w:tr w14:paraId="18E3C484">
        <w:tblPrEx>
          <w:tblCellMar>
            <w:top w:w="0" w:type="dxa"/>
            <w:left w:w="108" w:type="dxa"/>
            <w:bottom w:w="0" w:type="dxa"/>
            <w:right w:w="108" w:type="dxa"/>
          </w:tblCellMar>
        </w:tblPrEx>
        <w:trPr>
          <w:trHeight w:val="571" w:hRule="atLeast"/>
          <w:jc w:val="center"/>
        </w:trPr>
        <w:tc>
          <w:tcPr>
            <w:tcW w:w="1354" w:type="dxa"/>
            <w:tcBorders>
              <w:top w:val="single" w:color="auto" w:sz="6" w:space="0"/>
              <w:left w:val="single" w:color="auto" w:sz="6" w:space="0"/>
              <w:bottom w:val="single" w:color="auto" w:sz="6" w:space="0"/>
              <w:right w:val="single" w:color="auto" w:sz="6" w:space="0"/>
            </w:tcBorders>
            <w:noWrap w:val="0"/>
            <w:vAlign w:val="center"/>
          </w:tcPr>
          <w:p w14:paraId="287FC94C">
            <w:pPr>
              <w:keepNext w:val="0"/>
              <w:keepLines w:val="0"/>
              <w:widowControl/>
              <w:suppressLineNumbers w:val="0"/>
              <w:jc w:val="center"/>
              <w:textAlignment w:val="top"/>
              <w:rPr>
                <w:rFonts w:hint="eastAsia" w:ascii="Times New Roman" w:hAnsi="Times New Roman" w:eastAsia="宋体" w:cs="Times New Roman"/>
                <w:b/>
                <w:bCs/>
                <w:i w:val="0"/>
                <w:iCs w:val="0"/>
                <w:color w:val="000000"/>
                <w:w w:val="80"/>
                <w:kern w:val="0"/>
                <w:sz w:val="24"/>
                <w:szCs w:val="24"/>
                <w:u w:val="none"/>
                <w:lang w:val="en-US" w:eastAsia="zh-CN" w:bidi="ar"/>
              </w:rPr>
            </w:pPr>
            <w:r>
              <w:rPr>
                <w:rFonts w:hint="eastAsia" w:ascii="Times New Roman" w:hAnsi="Times New Roman" w:eastAsia="宋体" w:cs="Times New Roman"/>
                <w:b/>
                <w:bCs/>
                <w:i w:val="0"/>
                <w:iCs w:val="0"/>
                <w:color w:val="000000"/>
                <w:w w:val="80"/>
                <w:kern w:val="0"/>
                <w:sz w:val="24"/>
                <w:szCs w:val="24"/>
                <w:u w:val="none"/>
                <w:lang w:val="en-US" w:eastAsia="zh-CN" w:bidi="ar"/>
              </w:rPr>
              <w:t>调整后测算</w:t>
            </w:r>
          </w:p>
        </w:tc>
        <w:tc>
          <w:tcPr>
            <w:tcW w:w="1016" w:type="dxa"/>
            <w:tcBorders>
              <w:top w:val="single" w:color="auto" w:sz="6" w:space="0"/>
              <w:left w:val="single" w:color="auto" w:sz="6" w:space="0"/>
              <w:bottom w:val="single" w:color="auto" w:sz="6" w:space="0"/>
              <w:right w:val="single" w:color="auto" w:sz="6" w:space="0"/>
            </w:tcBorders>
            <w:noWrap w:val="0"/>
            <w:vAlign w:val="center"/>
          </w:tcPr>
          <w:p w14:paraId="629EE8BB">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3025</w:t>
            </w:r>
          </w:p>
        </w:tc>
        <w:tc>
          <w:tcPr>
            <w:tcW w:w="1084" w:type="dxa"/>
            <w:tcBorders>
              <w:top w:val="single" w:color="auto" w:sz="6" w:space="0"/>
              <w:left w:val="single" w:color="auto" w:sz="6" w:space="0"/>
              <w:bottom w:val="single" w:color="auto" w:sz="6" w:space="0"/>
              <w:right w:val="single" w:color="auto" w:sz="6" w:space="0"/>
            </w:tcBorders>
            <w:noWrap w:val="0"/>
            <w:vAlign w:val="center"/>
          </w:tcPr>
          <w:p w14:paraId="4B553F73">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1922</w:t>
            </w:r>
          </w:p>
        </w:tc>
        <w:tc>
          <w:tcPr>
            <w:tcW w:w="1154" w:type="dxa"/>
            <w:tcBorders>
              <w:top w:val="single" w:color="auto" w:sz="6" w:space="0"/>
              <w:left w:val="single" w:color="auto" w:sz="6" w:space="0"/>
              <w:bottom w:val="single" w:color="auto" w:sz="6" w:space="0"/>
              <w:right w:val="single" w:color="auto" w:sz="6" w:space="0"/>
            </w:tcBorders>
            <w:noWrap w:val="0"/>
            <w:vAlign w:val="center"/>
          </w:tcPr>
          <w:p w14:paraId="51E4978D">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1985</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1F6E4FD2">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2886</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2E1EC314">
            <w:pPr>
              <w:widowControl/>
              <w:spacing w:line="320" w:lineRule="exact"/>
              <w:jc w:val="center"/>
              <w:textAlignment w:val="center"/>
              <w:rPr>
                <w:rFonts w:hint="default"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175</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11841DEA">
            <w:pPr>
              <w:widowControl/>
              <w:spacing w:line="320" w:lineRule="exact"/>
              <w:jc w:val="center"/>
              <w:textAlignment w:val="center"/>
              <w:rPr>
                <w:rFonts w:hint="eastAsia" w:ascii="Times New Roman" w:hAnsi="Times New Roman" w:eastAsia="方正仿宋简体" w:cs="Times New Roman"/>
                <w:b/>
                <w:color w:val="000000"/>
                <w:kern w:val="0"/>
                <w:szCs w:val="21"/>
                <w:lang w:val="en-US" w:eastAsia="zh-CN" w:bidi="ar"/>
              </w:rPr>
            </w:pPr>
            <w:r>
              <w:rPr>
                <w:rFonts w:hint="eastAsia" w:ascii="Times New Roman" w:hAnsi="Times New Roman" w:eastAsia="方正仿宋简体" w:cs="Times New Roman"/>
                <w:b/>
                <w:color w:val="000000"/>
                <w:kern w:val="0"/>
                <w:szCs w:val="21"/>
                <w:lang w:val="en-US" w:eastAsia="zh-CN" w:bidi="ar"/>
              </w:rPr>
              <w:t>9986</w:t>
            </w:r>
          </w:p>
        </w:tc>
      </w:tr>
    </w:tbl>
    <w:p w14:paraId="03A00ACB">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textAlignment w:val="auto"/>
        <w:rPr>
          <w:rFonts w:hint="eastAsia" w:ascii="黑体" w:hAnsi="黑体" w:eastAsia="黑体" w:cs="黑体"/>
          <w:color w:val="000000"/>
          <w:sz w:val="32"/>
          <w:szCs w:val="32"/>
          <w:lang w:eastAsia="zh-CN"/>
        </w:rPr>
      </w:pPr>
    </w:p>
    <w:p w14:paraId="2C5225E9">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sz w:val="32"/>
          <w:szCs w:val="32"/>
          <w:lang w:eastAsia="zh-CN"/>
        </w:rPr>
      </w:pPr>
    </w:p>
    <w:p w14:paraId="175EDEB4">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sz w:val="32"/>
          <w:szCs w:val="32"/>
          <w:lang w:eastAsia="zh-CN"/>
        </w:rPr>
      </w:pPr>
    </w:p>
    <w:p w14:paraId="35CB35B2">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sz w:val="32"/>
          <w:szCs w:val="32"/>
          <w:lang w:eastAsia="zh-CN"/>
        </w:rPr>
      </w:pPr>
    </w:p>
    <w:p w14:paraId="43CB6D8E">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sz w:val="32"/>
          <w:szCs w:val="32"/>
          <w:lang w:eastAsia="zh-CN"/>
        </w:rPr>
      </w:pPr>
    </w:p>
    <w:p w14:paraId="55824D85">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textAlignment w:val="auto"/>
        <w:rPr>
          <w:rFonts w:hint="eastAsia" w:ascii="黑体" w:hAnsi="黑体" w:eastAsia="黑体" w:cs="黑体"/>
          <w:color w:val="000000"/>
          <w:sz w:val="32"/>
          <w:szCs w:val="32"/>
          <w:lang w:eastAsia="zh-CN"/>
        </w:rPr>
      </w:pPr>
    </w:p>
    <w:p w14:paraId="69395B74">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sz w:val="32"/>
          <w:szCs w:val="32"/>
          <w:lang w:eastAsia="zh-CN"/>
        </w:rPr>
      </w:pPr>
    </w:p>
    <w:p w14:paraId="165CADEF">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测算</w:t>
      </w:r>
      <w:r>
        <w:rPr>
          <w:rFonts w:hint="eastAsia" w:ascii="黑体" w:hAnsi="黑体" w:eastAsia="黑体" w:cs="黑体"/>
          <w:color w:val="000000"/>
          <w:sz w:val="32"/>
          <w:szCs w:val="32"/>
        </w:rPr>
        <w:t>说明：</w:t>
      </w:r>
    </w:p>
    <w:p w14:paraId="4BF96B86">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一、土地等级调整对城区主要纳税人的影响情况</w:t>
      </w:r>
    </w:p>
    <w:p w14:paraId="49AB0109">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lang w:val="en-US" w:eastAsia="zh-CN"/>
        </w:rPr>
        <w:t>城区内主要</w:t>
      </w:r>
      <w:r>
        <w:rPr>
          <w:rFonts w:hint="eastAsia" w:ascii="仿宋_GB2312" w:eastAsia="仿宋_GB2312" w:cs="宋体"/>
          <w:color w:val="auto"/>
          <w:sz w:val="32"/>
          <w:szCs w:val="32"/>
          <w:lang w:val="en-US" w:eastAsia="zh-CN"/>
        </w:rPr>
        <w:t>将嘉陵片区除城区一级区域以外的土地由原有的城区三级（6元/m</w:t>
      </w:r>
      <w:r>
        <w:rPr>
          <w:rFonts w:hint="eastAsia" w:ascii="仿宋_GB2312" w:eastAsia="仿宋_GB2312" w:cs="宋体"/>
          <w:color w:val="auto"/>
          <w:sz w:val="32"/>
          <w:szCs w:val="32"/>
          <w:vertAlign w:val="superscript"/>
          <w:lang w:val="en-US" w:eastAsia="zh-CN"/>
        </w:rPr>
        <w:t>2</w:t>
      </w:r>
      <w:r>
        <w:rPr>
          <w:rFonts w:hint="eastAsia" w:ascii="仿宋_GB2312" w:eastAsia="仿宋_GB2312" w:cs="宋体"/>
          <w:color w:val="auto"/>
          <w:sz w:val="32"/>
          <w:szCs w:val="32"/>
          <w:lang w:val="en-US" w:eastAsia="zh-CN"/>
        </w:rPr>
        <w:t>）调整到城区二级（12元/m</w:t>
      </w:r>
      <w:r>
        <w:rPr>
          <w:rFonts w:hint="eastAsia" w:ascii="仿宋_GB2312" w:eastAsia="仿宋_GB2312" w:cs="宋体"/>
          <w:color w:val="auto"/>
          <w:sz w:val="32"/>
          <w:szCs w:val="32"/>
          <w:vertAlign w:val="superscript"/>
          <w:lang w:val="en-US" w:eastAsia="zh-CN"/>
        </w:rPr>
        <w:t>2</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将城北片区的土地由原有整体都为城市四级（3元/m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）分区划分为城市二级（12元/m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）、城市三级（6元/m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）、城市四级（3元/m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），将上西片区的原有的城市二级（12元/m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）区域调整为城市一级（18元/m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）和原有的城市四级（3元/m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）调整为城市三级（6元/m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），将下西办事处宝成铁路以南至嘉陵江边已纳入城市控制性详细规划区范围内用地由原有的城市三级（6元/m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）调整为城区二级（12元/m</w:t>
      </w:r>
      <w:r>
        <w:rPr>
          <w:rFonts w:hint="eastAsia" w:ascii="仿宋_GB2312" w:eastAsia="仿宋_GB2312"/>
          <w:color w:val="auto"/>
          <w:sz w:val="32"/>
          <w:szCs w:val="32"/>
          <w:vertAlign w:val="superscript"/>
          <w:lang w:val="en-US" w:eastAsia="zh-CN"/>
        </w:rPr>
        <w:t>2</w:t>
      </w:r>
      <w:r>
        <w:rPr>
          <w:rFonts w:hint="eastAsia" w:ascii="仿宋_GB2312" w:eastAsia="仿宋_GB2312"/>
          <w:color w:val="auto"/>
          <w:sz w:val="32"/>
          <w:szCs w:val="32"/>
          <w:lang w:val="en-US" w:eastAsia="zh-CN"/>
        </w:rPr>
        <w:t>）。</w:t>
      </w:r>
      <w:r>
        <w:rPr>
          <w:rFonts w:hint="default" w:ascii="仿宋_GB2312" w:eastAsia="仿宋_GB2312"/>
          <w:color w:val="auto"/>
          <w:sz w:val="32"/>
          <w:szCs w:val="32"/>
          <w:highlight w:val="none"/>
          <w:lang w:val="en-US" w:eastAsia="zh-CN"/>
        </w:rPr>
        <w:t>影响</w:t>
      </w:r>
      <w:r>
        <w:rPr>
          <w:rFonts w:hint="eastAsia" w:ascii="仿宋_GB2312" w:eastAsia="仿宋_GB2312"/>
          <w:color w:val="auto"/>
          <w:sz w:val="32"/>
          <w:szCs w:val="32"/>
          <w:highlight w:val="none"/>
          <w:lang w:val="en-US" w:eastAsia="zh-CN"/>
        </w:rPr>
        <w:t>较大</w:t>
      </w:r>
      <w:r>
        <w:rPr>
          <w:rFonts w:hint="default" w:ascii="仿宋_GB2312" w:eastAsia="仿宋_GB2312"/>
          <w:color w:val="auto"/>
          <w:sz w:val="32"/>
          <w:szCs w:val="32"/>
          <w:highlight w:val="none"/>
          <w:lang w:val="en-US" w:eastAsia="zh-CN"/>
        </w:rPr>
        <w:t>纳税人</w:t>
      </w:r>
      <w:r>
        <w:rPr>
          <w:rFonts w:hint="eastAsia" w:ascii="仿宋_GB2312" w:eastAsia="仿宋_GB2312"/>
          <w:color w:val="auto"/>
          <w:sz w:val="32"/>
          <w:szCs w:val="32"/>
          <w:highlight w:val="none"/>
          <w:lang w:val="en-US" w:eastAsia="zh-CN"/>
        </w:rPr>
        <w:t>有：广元和信房地产54万、广元市椰岛实业有限责任公司增加52万、广元发展集团有限公司增加21万元、广元广通国际商贸城有限公司增加9万</w:t>
      </w:r>
      <w:r>
        <w:rPr>
          <w:rFonts w:hint="default" w:ascii="仿宋_GB2312" w:eastAsia="仿宋_GB2312"/>
          <w:color w:val="auto"/>
          <w:sz w:val="32"/>
          <w:szCs w:val="32"/>
          <w:highlight w:val="none"/>
          <w:lang w:val="en-US" w:eastAsia="zh-CN"/>
        </w:rPr>
        <w:t>，根据202</w:t>
      </w:r>
      <w:r>
        <w:rPr>
          <w:rFonts w:hint="eastAsia" w:ascii="仿宋_GB2312" w:eastAsia="仿宋_GB2312"/>
          <w:color w:val="auto"/>
          <w:sz w:val="32"/>
          <w:szCs w:val="32"/>
          <w:highlight w:val="none"/>
          <w:lang w:val="en-US" w:eastAsia="zh-CN"/>
        </w:rPr>
        <w:t>4</w:t>
      </w:r>
      <w:r>
        <w:rPr>
          <w:rFonts w:hint="default" w:ascii="仿宋_GB2312" w:eastAsia="仿宋_GB2312"/>
          <w:color w:val="auto"/>
          <w:sz w:val="32"/>
          <w:szCs w:val="32"/>
          <w:highlight w:val="none"/>
          <w:lang w:val="en-US" w:eastAsia="zh-CN"/>
        </w:rPr>
        <w:t>年城镇土地使用税入库数测算，调整后入库数预计增加</w:t>
      </w:r>
      <w:r>
        <w:rPr>
          <w:rFonts w:hint="eastAsia" w:ascii="仿宋_GB2312" w:eastAsia="仿宋_GB2312"/>
          <w:color w:val="auto"/>
          <w:sz w:val="32"/>
          <w:szCs w:val="32"/>
          <w:highlight w:val="none"/>
          <w:lang w:val="en-US" w:eastAsia="zh-CN"/>
        </w:rPr>
        <w:t>136</w:t>
      </w:r>
      <w:r>
        <w:rPr>
          <w:rFonts w:hint="default" w:ascii="仿宋_GB2312" w:eastAsia="仿宋_GB2312"/>
          <w:color w:val="auto"/>
          <w:sz w:val="32"/>
          <w:szCs w:val="32"/>
          <w:highlight w:val="none"/>
          <w:lang w:val="en-US" w:eastAsia="zh-CN"/>
        </w:rPr>
        <w:t>万元。</w:t>
      </w:r>
      <w:r>
        <w:rPr>
          <w:rFonts w:hint="eastAsia" w:ascii="仿宋_GB2312" w:eastAsia="仿宋_GB2312"/>
          <w:color w:val="auto"/>
          <w:sz w:val="32"/>
          <w:szCs w:val="32"/>
          <w:highlight w:val="none"/>
          <w:lang w:val="en-US" w:eastAsia="zh-CN"/>
        </w:rPr>
        <w:t>宝轮镇、大石镇、工农镇及河西片区等级未做调整，但其详规范围有所扩大，预测城镇土地使用税有小幅度增加。</w:t>
      </w:r>
    </w:p>
    <w:p w14:paraId="4BEBBAB6">
      <w:pPr>
        <w:keepNext w:val="0"/>
        <w:keepLines w:val="0"/>
        <w:pageBreakBefore w:val="0"/>
        <w:widowControl/>
        <w:tabs>
          <w:tab w:val="left" w:pos="420"/>
          <w:tab w:val="left" w:pos="9240"/>
        </w:tabs>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二、土地等级调整对建制镇的影响情况</w:t>
      </w:r>
    </w:p>
    <w:p w14:paraId="72058646">
      <w:pPr>
        <w:widowControl/>
        <w:tabs>
          <w:tab w:val="left" w:pos="420"/>
          <w:tab w:val="left" w:pos="9240"/>
        </w:tabs>
        <w:overflowPunct w:val="0"/>
        <w:autoSpaceDE w:val="0"/>
        <w:autoSpaceDN w:val="0"/>
        <w:adjustRightInd w:val="0"/>
        <w:spacing w:line="576"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一是本次调整中，对于唯一未纳入市城区详规范围内的建制镇三堆镇未做等级调整，还保持着原有的建制镇二级和建制镇三级，但其详规范围有所扩大，其整体税款预计会增加10万元左右。</w:t>
      </w:r>
    </w:p>
    <w:p w14:paraId="2163E20B">
      <w:pPr>
        <w:pStyle w:val="2"/>
        <w:rPr>
          <w:rFonts w:hint="eastAsia" w:ascii="仿宋_GB2312" w:eastAsia="仿宋_GB2312"/>
          <w:color w:val="auto"/>
          <w:sz w:val="32"/>
          <w:szCs w:val="32"/>
          <w:lang w:val="en-US" w:eastAsia="zh-CN"/>
        </w:rPr>
      </w:pPr>
    </w:p>
    <w:p w14:paraId="052CE389">
      <w:pPr>
        <w:rPr>
          <w:rFonts w:hint="eastAsia" w:ascii="仿宋_GB2312" w:eastAsia="仿宋_GB2312"/>
          <w:color w:val="auto"/>
          <w:sz w:val="32"/>
          <w:szCs w:val="32"/>
          <w:lang w:val="en-US" w:eastAsia="zh-CN"/>
        </w:rPr>
      </w:pPr>
    </w:p>
    <w:p w14:paraId="40A7B61A">
      <w:pPr>
        <w:pStyle w:val="2"/>
        <w:rPr>
          <w:rFonts w:hint="eastAsia" w:ascii="仿宋_GB2312" w:eastAsia="仿宋_GB2312"/>
          <w:color w:val="auto"/>
          <w:sz w:val="32"/>
          <w:szCs w:val="32"/>
          <w:lang w:val="en-US" w:eastAsia="zh-CN"/>
        </w:rPr>
      </w:pPr>
    </w:p>
    <w:p w14:paraId="4174CCF1">
      <w:pPr>
        <w:rPr>
          <w:rFonts w:hint="eastAsia" w:ascii="仿宋_GB2312" w:eastAsia="仿宋_GB2312"/>
          <w:color w:val="auto"/>
          <w:sz w:val="32"/>
          <w:szCs w:val="32"/>
          <w:lang w:val="en-US" w:eastAsia="zh-CN"/>
        </w:rPr>
      </w:pPr>
    </w:p>
    <w:p w14:paraId="699648AA">
      <w:pPr>
        <w:pStyle w:val="2"/>
        <w:rPr>
          <w:rFonts w:hint="eastAsia" w:ascii="仿宋_GB2312" w:eastAsia="仿宋_GB2312"/>
          <w:color w:val="auto"/>
          <w:sz w:val="32"/>
          <w:szCs w:val="32"/>
          <w:lang w:val="en-US" w:eastAsia="zh-CN"/>
        </w:rPr>
      </w:pPr>
    </w:p>
    <w:p w14:paraId="1B5D96FA">
      <w:pPr>
        <w:pStyle w:val="2"/>
        <w:ind w:left="0" w:leftChars="0" w:firstLine="0" w:firstLineChars="0"/>
        <w:rPr>
          <w:rFonts w:hint="default"/>
          <w:lang w:val="en-US" w:eastAsia="zh-CN"/>
        </w:rPr>
      </w:pPr>
    </w:p>
    <w:p w14:paraId="212501B2"/>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10467"/>
    <w:rsid w:val="009D39AF"/>
    <w:rsid w:val="015A21D6"/>
    <w:rsid w:val="02FE5B02"/>
    <w:rsid w:val="03CF1E4C"/>
    <w:rsid w:val="040D696E"/>
    <w:rsid w:val="04536E14"/>
    <w:rsid w:val="07611FE9"/>
    <w:rsid w:val="09141037"/>
    <w:rsid w:val="09D9594B"/>
    <w:rsid w:val="0A0C22C7"/>
    <w:rsid w:val="0D095A09"/>
    <w:rsid w:val="0EA15BA0"/>
    <w:rsid w:val="101B6F79"/>
    <w:rsid w:val="15DA00EE"/>
    <w:rsid w:val="179554D6"/>
    <w:rsid w:val="1C7D3DE3"/>
    <w:rsid w:val="1CBA1B24"/>
    <w:rsid w:val="1CE01868"/>
    <w:rsid w:val="1E394C8A"/>
    <w:rsid w:val="208E290D"/>
    <w:rsid w:val="20A33EAB"/>
    <w:rsid w:val="22A17858"/>
    <w:rsid w:val="2404506E"/>
    <w:rsid w:val="246B3606"/>
    <w:rsid w:val="2CD37AFC"/>
    <w:rsid w:val="2D4860AB"/>
    <w:rsid w:val="31A16595"/>
    <w:rsid w:val="35584FAC"/>
    <w:rsid w:val="3614549C"/>
    <w:rsid w:val="3AAA3C90"/>
    <w:rsid w:val="3C95017A"/>
    <w:rsid w:val="3E0F1F44"/>
    <w:rsid w:val="3E973452"/>
    <w:rsid w:val="3F410467"/>
    <w:rsid w:val="3FE23D12"/>
    <w:rsid w:val="401D788F"/>
    <w:rsid w:val="404E0A38"/>
    <w:rsid w:val="431176ED"/>
    <w:rsid w:val="43D43163"/>
    <w:rsid w:val="460910BF"/>
    <w:rsid w:val="4AF73D80"/>
    <w:rsid w:val="4C2054F7"/>
    <w:rsid w:val="4CCF4FA5"/>
    <w:rsid w:val="50AA45FD"/>
    <w:rsid w:val="554A2DF0"/>
    <w:rsid w:val="583273F3"/>
    <w:rsid w:val="5A443294"/>
    <w:rsid w:val="5E1B226C"/>
    <w:rsid w:val="5ECC612D"/>
    <w:rsid w:val="604D5F18"/>
    <w:rsid w:val="62122AE1"/>
    <w:rsid w:val="634226BE"/>
    <w:rsid w:val="640D6B13"/>
    <w:rsid w:val="652F1730"/>
    <w:rsid w:val="6671729C"/>
    <w:rsid w:val="67851A5A"/>
    <w:rsid w:val="6C980B8E"/>
    <w:rsid w:val="6DDE74BD"/>
    <w:rsid w:val="6E4C1F5C"/>
    <w:rsid w:val="6E76423B"/>
    <w:rsid w:val="6F7939F9"/>
    <w:rsid w:val="710C3171"/>
    <w:rsid w:val="72FD2E81"/>
    <w:rsid w:val="73AF422D"/>
    <w:rsid w:val="73EB2561"/>
    <w:rsid w:val="7BA832F9"/>
    <w:rsid w:val="7C2053BE"/>
    <w:rsid w:val="7D5E40A2"/>
    <w:rsid w:val="7DDE79F4"/>
    <w:rsid w:val="7E6C7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等线" w:hAnsi="等线" w:eastAsia="等线"/>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2"/>
    <w:basedOn w:val="1"/>
    <w:next w:val="1"/>
    <w:qFormat/>
    <w:uiPriority w:val="0"/>
    <w:pPr>
      <w:keepNext w:val="0"/>
      <w:keepLines w:val="0"/>
      <w:widowControl w:val="0"/>
      <w:suppressLineNumbers w:val="0"/>
      <w:spacing w:before="0" w:beforeAutospacing="0" w:after="0" w:afterAutospacing="0"/>
      <w:ind w:left="0" w:right="0"/>
      <w:jc w:val="both"/>
    </w:pPr>
    <w:rPr>
      <w:rFonts w:hint="eastAsia" w:ascii="仿宋_GB2312"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2661</Words>
  <Characters>2902</Characters>
  <Lines>0</Lines>
  <Paragraphs>0</Paragraphs>
  <TotalTime>0</TotalTime>
  <ScaleCrop>false</ScaleCrop>
  <LinksUpToDate>false</LinksUpToDate>
  <CharactersWithSpaces>2921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2025-04-18T02:09:00Z</dcterms:created>
  <dc:creator>汪俞仪</dc:creator>
  <cp:lastModifiedBy>Administrator</cp:lastModifiedBy>
  <cp:lastPrinted>2025-08-01T00:49:00Z</cp:lastPrinted>
  <dcterms:modified xsi:type="dcterms:W3CDTF">2025-08-13T02:44:35Z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eyJoZGlkIjoiNTM5ZmI5ODgzZGM1M2FkYTYyMTE5YTM4OTQ0YjQwYjcifQ==</vt:lpwstr>
  </property>
  <property fmtid="{D5CDD505-2E9C-101B-9397-08002B2CF9AE}" pid="4" name="ICV">
    <vt:lpwstr>1B1BB53D1D6846BC98F280D705AD9940_12</vt:lpwstr>
  </property>
</Properties>
</file>