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 w:val="0"/>
        <w:suppressAutoHyphens/>
        <w:spacing w:line="500" w:lineRule="exact"/>
        <w:rPr>
          <w:rFonts w:ascii="方正黑体简体" w:eastAsia="方正黑体简体" w:cs="方正黑体简体" w:hAnsi="方正黑体简体"/>
          <w:sz w:val="32"/>
          <w:szCs w:val="32"/>
        </w:rPr>
      </w:pPr>
      <w:r>
        <w:rPr>
          <w:rFonts w:ascii="方正黑体简体" w:eastAsia="方正黑体简体" w:cs="方正黑体简体" w:hAnsi="方正黑体简体" w:hint="eastAsia"/>
          <w:sz w:val="32"/>
          <w:szCs w:val="32"/>
        </w:rPr>
        <w:t>附件2</w:t>
      </w:r>
    </w:p>
    <w:p>
      <w:pPr>
        <w:pStyle w:val="15"/>
        <w:spacing w:line="500" w:lineRule="exact"/>
      </w:pPr>
    </w:p>
    <w:p>
      <w:pPr>
        <w:widowControl w:val="0"/>
        <w:suppressAutoHyphens/>
        <w:spacing w:line="50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广元市利州区自然灾害救助应急预案启动条件及审批权限表</w:t>
      </w:r>
    </w:p>
    <w:p>
      <w:pPr>
        <w:pStyle w:val="15"/>
        <w:spacing w:line="500" w:lineRule="exact"/>
      </w:pPr>
    </w:p>
    <w:tbl>
      <w:tblPr>
        <w:jc w:val="center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1438"/>
        <w:gridCol w:w="2115"/>
        <w:gridCol w:w="2385"/>
        <w:gridCol w:w="1320"/>
        <w:gridCol w:w="1545"/>
        <w:gridCol w:w="4068"/>
      </w:tblGrid>
      <w:tr>
        <w:trPr>
          <w:trHeight w:val="970"/>
        </w:trPr>
        <w:tc>
          <w:tcPr>
            <w:tcW w:w="827" w:type="dxa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启动</w:t>
            </w:r>
          </w:p>
          <w:p>
            <w:pPr>
              <w:widowControl w:val="0"/>
              <w:suppressAutoHyphens/>
              <w:spacing w:line="300" w:lineRule="exact"/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条件</w:t>
            </w:r>
          </w:p>
        </w:tc>
        <w:tc>
          <w:tcPr>
            <w:tcW w:w="12871" w:type="dxa"/>
            <w:gridSpan w:val="6"/>
            <w:vAlign w:val="center"/>
          </w:tcPr>
          <w:p>
            <w:pPr>
              <w:widowControl w:val="0"/>
              <w:suppressAutoHyphens/>
              <w:spacing w:line="300" w:lineRule="exact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一个乡镇（街道）或多个乡镇（街道）行政区域内，一次灾害过程造成或经会商研判可能造成下列情况之一的（本表数据以上含本数，以下不含本数）。</w:t>
            </w:r>
          </w:p>
        </w:tc>
      </w:tr>
      <w:tr>
        <w:trPr>
          <w:trHeight w:val="567"/>
        </w:trPr>
        <w:tc>
          <w:tcPr>
            <w:tcW w:w="827" w:type="dxa"/>
            <w:vMerge w:val="restart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响应</w:t>
            </w:r>
          </w:p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等级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死亡和失踪人口</w:t>
            </w:r>
          </w:p>
          <w:p>
            <w:pPr>
              <w:widowControl w:val="0"/>
              <w:suppressAutoHyphens/>
              <w:spacing w:line="300" w:lineRule="exact"/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（人）</w:t>
            </w:r>
          </w:p>
        </w:tc>
        <w:tc>
          <w:tcPr>
            <w:tcW w:w="2115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紧急转移安置人数和需生活救助人口（万人）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倒塌和严重损坏房屋</w:t>
            </w:r>
          </w:p>
          <w:p>
            <w:pPr>
              <w:widowControl w:val="0"/>
              <w:suppressAutoHyphens/>
              <w:spacing w:line="300" w:lineRule="exact"/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（间、户）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旱灾造成</w:t>
            </w:r>
          </w:p>
        </w:tc>
        <w:tc>
          <w:tcPr>
            <w:tcW w:w="4068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审批人</w:t>
            </w:r>
          </w:p>
        </w:tc>
      </w:tr>
      <w:tr>
        <w:trPr>
          <w:trHeight w:val="567"/>
        </w:trPr>
        <w:tc>
          <w:tcPr>
            <w:tcW w:w="827" w:type="dxa"/>
            <w:vMerge/>
            <w:vAlign w:val="center"/>
          </w:tcPr>
          <w:p/>
        </w:tc>
        <w:tc>
          <w:tcPr>
            <w:tcW w:w="1438" w:type="dxa"/>
            <w:vMerge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2115" w:type="dxa"/>
            <w:vMerge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2385" w:type="dxa"/>
            <w:vMerge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需救助人口占农业人口比例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 w:cs="黑体"/>
                <w:sz w:val="24"/>
              </w:rPr>
            </w:pPr>
            <w:r>
              <w:rPr>
                <w:rFonts w:ascii="宋体" w:cs="黑体" w:hint="eastAsia"/>
                <w:sz w:val="24"/>
              </w:rPr>
              <w:t>需救助人口（万人）</w:t>
            </w:r>
          </w:p>
        </w:tc>
        <w:tc>
          <w:tcPr>
            <w:tcW w:w="4068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680"/>
        </w:trPr>
        <w:tc>
          <w:tcPr>
            <w:tcW w:w="827" w:type="dxa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一级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10人以上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1万人以上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3000间或1000户以上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25</w:t>
            </w:r>
            <w:r>
              <w:rPr>
                <w:rFonts w:ascii="宋体" w:eastAsia="宋体" w:cs="宋体" w:hAnsi="宋体" w:hint="eastAsia"/>
                <w:sz w:val="24"/>
              </w:rPr>
              <w:t>％</w:t>
            </w:r>
            <w:r>
              <w:rPr>
                <w:rFonts w:ascii="宋体" w:hint="eastAsia"/>
                <w:sz w:val="24"/>
              </w:rPr>
              <w:t>以上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3.5万人以上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区防灾减灾救灾委员会主任</w:t>
              <w:br/>
              <w:t>（区政府主要负责同志）</w:t>
            </w:r>
          </w:p>
        </w:tc>
      </w:tr>
      <w:tr>
        <w:trPr>
          <w:trHeight w:val="680"/>
        </w:trPr>
        <w:tc>
          <w:tcPr>
            <w:tcW w:w="827" w:type="dxa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二级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7—10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0.7—1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1500间—3000间或</w:t>
            </w:r>
          </w:p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500—1000户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</w:t>
            </w:r>
            <w:r>
              <w:rPr>
                <w:rFonts w:ascii="宋体" w:eastAsia="宋体" w:cs="宋体" w:hAnsi="宋体" w:hint="eastAsia"/>
                <w:sz w:val="24"/>
              </w:rPr>
              <w:t>％</w:t>
            </w:r>
            <w:r>
              <w:rPr>
                <w:rFonts w:ascii="宋体" w:hint="eastAsia"/>
                <w:sz w:val="24"/>
              </w:rPr>
              <w:t>—25</w:t>
            </w:r>
            <w:r>
              <w:rPr>
                <w:rFonts w:ascii="宋体" w:eastAsia="宋体" w:cs="宋体" w:hAnsi="宋体" w:hint="eastAsia"/>
                <w:sz w:val="24"/>
              </w:rPr>
              <w:t>％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2.8—3.5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区防灾减灾救灾委员会常务副主任（区政府常务副区长）</w:t>
            </w:r>
          </w:p>
        </w:tc>
      </w:tr>
      <w:tr>
        <w:trPr>
          <w:trHeight w:val="680"/>
        </w:trPr>
        <w:tc>
          <w:tcPr>
            <w:tcW w:w="827" w:type="dxa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三级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5—7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0.5—0.7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1000间—1500间或</w:t>
            </w:r>
          </w:p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300—500户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15</w:t>
            </w:r>
            <w:r>
              <w:rPr>
                <w:rFonts w:ascii="宋体" w:eastAsia="宋体" w:cs="宋体" w:hAnsi="宋体" w:hint="eastAsia"/>
                <w:sz w:val="24"/>
              </w:rPr>
              <w:t>％</w:t>
            </w:r>
            <w:r>
              <w:rPr>
                <w:rFonts w:ascii="宋体" w:hint="eastAsia"/>
                <w:sz w:val="24"/>
              </w:rPr>
              <w:t>—20</w:t>
            </w:r>
            <w:r>
              <w:rPr>
                <w:rFonts w:ascii="宋体" w:eastAsia="宋体" w:cs="宋体" w:hAnsi="宋体" w:hint="eastAsia"/>
                <w:sz w:val="24"/>
              </w:rPr>
              <w:t>％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2.1—2.8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区防灾减灾救灾委员会办公室主任</w:t>
            </w:r>
          </w:p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（区应急管理局主要负责同志）</w:t>
            </w:r>
          </w:p>
        </w:tc>
      </w:tr>
      <w:tr>
        <w:trPr>
          <w:trHeight w:val="680"/>
        </w:trPr>
        <w:tc>
          <w:tcPr>
            <w:tcW w:w="827" w:type="dxa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四级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3—5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0.3—0.5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300间—1000间或</w:t>
            </w:r>
          </w:p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100户—300户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</w:t>
            </w:r>
            <w:r>
              <w:rPr>
                <w:rFonts w:ascii="宋体" w:eastAsia="宋体" w:cs="宋体" w:hAnsi="宋体" w:hint="eastAsia"/>
                <w:sz w:val="24"/>
              </w:rPr>
              <w:t>％</w:t>
            </w:r>
            <w:r>
              <w:rPr>
                <w:rFonts w:ascii="宋体" w:hint="eastAsia"/>
                <w:sz w:val="24"/>
              </w:rPr>
              <w:t>—15</w:t>
            </w:r>
            <w:r>
              <w:rPr>
                <w:rFonts w:ascii="宋体" w:eastAsia="宋体" w:cs="宋体" w:hAnsi="宋体" w:hint="eastAsia"/>
                <w:sz w:val="24"/>
              </w:rPr>
              <w:t>％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1.4—2.1</w:t>
            </w:r>
          </w:p>
        </w:tc>
        <w:tc>
          <w:tcPr>
            <w:tcW w:w="4068" w:type="dxa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区防灾减灾救灾委员会办公室副主任（区应急管理局分管负责同志）</w:t>
            </w:r>
          </w:p>
        </w:tc>
      </w:tr>
      <w:tr>
        <w:trPr>
          <w:trHeight w:val="1050"/>
        </w:trPr>
        <w:tc>
          <w:tcPr>
            <w:tcW w:w="827" w:type="dxa"/>
            <w:vAlign w:val="center"/>
          </w:tcPr>
          <w:p>
            <w:pPr>
              <w:widowControl w:val="0"/>
              <w:suppressAutoHyphens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启动条件调整</w:t>
            </w:r>
          </w:p>
        </w:tc>
        <w:tc>
          <w:tcPr>
            <w:tcW w:w="12871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widowControl w:val="0"/>
              <w:suppressAutoHyphens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对灾害发生在敏感地区、敏感时间和救助能力特别薄弱的地区和海拨1200米以上地区，或灾害对受灾乡镇</w:t>
            </w:r>
            <w:r>
              <w:rPr>
                <w:rFonts w:ascii="宋体" w:hint="eastAsia"/>
                <w:bCs/>
                <w:sz w:val="24"/>
              </w:rPr>
              <w:t>（街道）经济社会造成重大影响时，相关应急响应的启动条件可酌情降低。</w:t>
            </w:r>
          </w:p>
        </w:tc>
      </w:tr>
    </w:tbl>
    <w:p>
      <w:pPr>
        <w:widowControl w:val="0"/>
        <w:suppressAutoHyphens/>
        <w:spacing w:line="576" w:lineRule="exact"/>
        <w:rPr>
          <w:rFonts w:ascii="方正仿宋简体" w:eastAsia="方正仿宋简体" w:cs="方正仿宋简体" w:hAnsi="方正仿宋简体"/>
          <w:sz w:val="32"/>
          <w:szCs w:val="32"/>
        </w:rPr>
        <w:sectPr>
          <w:pgSz w:w="16838" w:h="11906" w:orient="landscape"/>
          <w:pgMar w:top="1701" w:right="1474" w:bottom="1701" w:left="1588" w:header="851" w:footer="1531" w:gutter="0"/>
          <w:cols w:num="1" w:space="720"/>
          <w:docGrid w:type="lines" w:linePitch="312" w:charSpace="0"/>
        </w:sectPr>
      </w:pPr>
    </w:p>
    <w:p>
      <w:pPr>
        <w:pStyle w:val="15"/>
        <w:spacing w:line="500" w:lineRule="exact"/>
        <w:rPr>
          <w:rFonts w:ascii="方正仿宋简体" w:eastAsia="方正仿宋简体" w:hint="eastAsia"/>
          <w:b w:val="0"/>
          <w:color w:val="auto"/>
        </w:rPr>
      </w:pPr>
      <w:bookmarkStart w:id="0" w:name="_GoBack"/>
      <w:bookmarkEnd w:id="0"/>
    </w:p>
    <w:sectPr>
      <w:footerReference w:type="default" r:id="rId2"/>
      <w:pgSz w:w="11906" w:h="16838"/>
      <w:pgMar w:top="2098" w:right="1474" w:bottom="1984" w:left="1587" w:header="851" w:footer="159" w:gutter="0"/>
      <w:cols w:num="1" w:space="0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49" name="_x0000_s204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">
                      <w:txbxContent>
                        <w:p>
                          <w:pPr>
                            <w:pStyle w:val="19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 w:cs="宋体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Fonts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_x0000_s2049" o:spid="_x0000_s2" filled="f" stroked="f" style="position:absolute;margin-left:0.0pt;margin-top:0.0pt;width:144.0pt;height:144.0pt;z-index:12;mso-position-horizontal:outside;mso-position-horizontal-relative:margin;mso-position-vertical:absolute;mso-wrap-style:none;">
              <v:stroke/>
              <v:textbox id="868" inset="0mm,0mm,0mm,0mm" o:insetmode="custom" style="layout-flow:horizontal;v-text-anchor:top;mso-fit-shape-to-text:t;">
                <w:txbxContent>
                  <w:p>
                    <w:pPr>
                      <w:pStyle w:val="19"/>
                      <w:tabs>
                        <w:tab w:val="center" w:pos="4153"/>
                        <w:tab w:val="right" w:pos="8306"/>
                      </w:tabs>
                      <w:rPr>
                        <w:rFonts w:eastAsia="宋体" w:cs="宋体"/>
                        <w:sz w:val="28"/>
                        <w:szCs w:val="28"/>
                      </w:rPr>
                    </w:pPr>
                    <w:r>
                      <w:rPr>
                        <w:rFonts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 w:cs="宋体"/>
                        <w:sz w:val="28"/>
                        <w:szCs w:val="28"/>
                      </w:rPr>
                      <w:t>37</w:t>
                    </w:r>
                    <w:r>
                      <w:rPr>
                        <w:rFonts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  <w:docVars>
    <w:docVar w:name="commondata" w:val="eyJoZGlkIjoiY2ViMDdhMDA4NGJjYmZhNTM0N2E2OWQyNDk0NzhjN2M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customStyle="1" w:styleId="15">
    <w:name w:val="样式1"/>
    <w:qFormat/>
    <w:basedOn w:val="0"/>
    <w:rPr>
      <w:b/>
      <w:color w:val="538135"/>
      <w:sz w:val="28"/>
    </w:rPr>
  </w:style>
  <w:style w:type="paragraph" w:styleId="16">
    <w:name w:val="Salutation"/>
    <w:qFormat/>
    <w:basedOn w:val="0"/>
    <w:next w:val="0"/>
    <w:rPr>
      <w:rFonts w:ascii="Calibri" w:eastAsia="宋体" w:cs="Times New Roman" w:hAnsi="Calibri"/>
      <w:szCs w:val="21"/>
    </w:rPr>
  </w:style>
  <w:style w:type="paragraph" w:styleId="17">
    <w:name w:val="Body Text"/>
    <w:qFormat/>
    <w:next w:val="15"/>
    <w:pPr>
      <w:widowControl w:val="0"/>
      <w:spacing w:after="140" w:line="276" w:lineRule="auto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8">
    <w:name w:val="toc 3"/>
    <w:qFormat/>
    <w:basedOn w:val="0"/>
    <w:next w:val="0"/>
    <w:pPr>
      <w:ind w:leftChars="400" w:left="400"/>
    </w:pPr>
  </w:style>
  <w:style w:type="paragraph" w:styleId="19">
    <w:name w:val="footer"/>
    <w:qFormat/>
    <w:basedOn w:val="0"/>
    <w:next w:val="20"/>
    <w:pPr>
      <w:tabs>
        <w:tab w:val="center" w:pos="4153"/>
        <w:tab w:val="right" w:pos="8306"/>
      </w:tabs>
      <w:snapToGrid w:val="0"/>
      <w:jc w:val="left"/>
    </w:pPr>
    <w:rPr>
      <w:rFonts w:ascii="宋体" w:eastAsia="方正仿宋简体" w:cs="Times New Roman" w:hAnsi="宋体"/>
      <w:sz w:val="18"/>
      <w:szCs w:val="18"/>
    </w:rPr>
  </w:style>
  <w:style w:type="paragraph" w:styleId="20">
    <w:name w:val="index 9"/>
    <w:qFormat/>
    <w:basedOn w:val="0"/>
    <w:next w:val="0"/>
    <w:pPr>
      <w:ind w:left="3360"/>
    </w:pPr>
  </w:style>
  <w:style w:type="paragraph" w:styleId="21">
    <w:name w:val="header"/>
    <w:qFormat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2">
    <w:name w:val="toc 1"/>
    <w:qFormat/>
    <w:basedOn w:val="0"/>
    <w:next w:val="0"/>
  </w:style>
  <w:style w:type="paragraph" w:styleId="23">
    <w:name w:val="toc 2"/>
    <w:qFormat/>
    <w:basedOn w:val="0"/>
    <w:next w:val="0"/>
    <w:pPr>
      <w:ind w:leftChars="200" w:left="200"/>
    </w:pPr>
  </w:style>
  <w:style w:type="character" w:styleId="24">
    <w:name w:val="page number"/>
    <w:qFormat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AA2E7EB2-8625-4C68-97E4-3926B7FACB1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38</TotalTime>
  <Application>Yozo_Office9.0.5233.191ZH.S1</Application>
  <Pages>2</Pages>
  <Words>0</Words>
  <Characters>456</Characters>
  <Lines>0</Lines>
  <Paragraphs>7</Paragraphs>
  <CharactersWithSpaces>608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敏敏</dc:creator>
  <cp:lastModifiedBy>user</cp:lastModifiedBy>
  <cp:revision>9</cp:revision>
  <cp:lastPrinted>2025-03-11T03:21:00Z</cp:lastPrinted>
  <dcterms:created xsi:type="dcterms:W3CDTF">2022-05-24T01:17:00Z</dcterms:created>
  <dcterms:modified xsi:type="dcterms:W3CDTF">2025-05-27T02:18:54Z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2052-10.1.0.6690</vt:lpwstr>
  </property>
  <property fmtid="{D5CDD505-2E9C-101B-9397-08002B2CF9AE}" pid="3" name="ICV">
    <vt:lpwstr>0CC78B6687FA455BBC52C3EBE8BB8A4E_13</vt:lpwstr>
  </property>
</Properties>
</file>