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hint="eastAsia" w:ascii="仿宋_GB2312" w:hAnsi="仿宋_GB2312" w:eastAsia="仿宋_GB2312" w:cs="仿宋_GB2312"/>
          <w:b/>
          <w:spacing w:val="16"/>
          <w:w w:val="96"/>
          <w:sz w:val="48"/>
          <w:szCs w:val="48"/>
        </w:rPr>
      </w:pPr>
    </w:p>
    <w:p>
      <w:pPr>
        <w:spacing w:line="360" w:lineRule="auto"/>
        <w:jc w:val="center"/>
        <w:rPr>
          <w:rFonts w:hint="eastAsia" w:ascii="仿宋_GB2312" w:hAnsi="仿宋_GB2312" w:eastAsia="仿宋_GB2312" w:cs="仿宋_GB2312"/>
          <w:sz w:val="60"/>
          <w:szCs w:val="60"/>
        </w:rPr>
      </w:pPr>
    </w:p>
    <w:p>
      <w:pPr>
        <w:spacing w:line="360" w:lineRule="auto"/>
        <w:jc w:val="center"/>
        <w:rPr>
          <w:rFonts w:hint="eastAsia" w:ascii="仿宋_GB2312" w:hAnsi="仿宋_GB2312" w:eastAsia="仿宋_GB2312" w:cs="仿宋_GB2312"/>
          <w:sz w:val="60"/>
          <w:szCs w:val="60"/>
        </w:rPr>
      </w:pPr>
    </w:p>
    <w:p>
      <w:pPr>
        <w:spacing w:line="360" w:lineRule="auto"/>
        <w:jc w:val="center"/>
        <w:rPr>
          <w:rFonts w:hint="eastAsia" w:ascii="仿宋_GB2312" w:hAnsi="仿宋_GB2312" w:eastAsia="仿宋_GB2312" w:cs="仿宋_GB2312"/>
          <w:sz w:val="60"/>
          <w:szCs w:val="60"/>
        </w:rPr>
      </w:pPr>
      <w:bookmarkStart w:id="170" w:name="_GoBack"/>
      <w:bookmarkEnd w:id="170"/>
      <w:r>
        <w:rPr>
          <w:rFonts w:hint="eastAsia" w:ascii="仿宋_GB2312" w:hAnsi="仿宋_GB2312" w:eastAsia="仿宋_GB2312" w:cs="仿宋_GB2312"/>
          <w:sz w:val="60"/>
          <w:szCs w:val="60"/>
        </w:rPr>
        <w:t>广元市利州区“十四五”综合</w:t>
      </w:r>
    </w:p>
    <w:p>
      <w:pPr>
        <w:spacing w:line="360" w:lineRule="auto"/>
        <w:jc w:val="center"/>
        <w:rPr>
          <w:rFonts w:hint="eastAsia" w:ascii="仿宋_GB2312" w:hAnsi="仿宋_GB2312" w:eastAsia="仿宋_GB2312" w:cs="仿宋_GB2312"/>
          <w:sz w:val="60"/>
          <w:szCs w:val="60"/>
        </w:rPr>
      </w:pPr>
      <w:r>
        <w:rPr>
          <w:rFonts w:hint="eastAsia" w:ascii="仿宋_GB2312" w:hAnsi="仿宋_GB2312" w:eastAsia="仿宋_GB2312" w:cs="仿宋_GB2312"/>
          <w:sz w:val="60"/>
          <w:szCs w:val="60"/>
        </w:rPr>
        <w:t>交通运输发展规划</w:t>
      </w:r>
    </w:p>
    <w:p>
      <w:pPr>
        <w:spacing w:line="360" w:lineRule="auto"/>
        <w:jc w:val="center"/>
        <w:rPr>
          <w:rFonts w:hint="eastAsia" w:ascii="仿宋_GB2312" w:hAnsi="仿宋_GB2312" w:eastAsia="仿宋_GB2312" w:cs="仿宋_GB2312"/>
          <w:spacing w:val="16"/>
          <w:w w:val="96"/>
          <w:sz w:val="44"/>
        </w:rPr>
      </w:pPr>
    </w:p>
    <w:p>
      <w:pPr>
        <w:spacing w:line="360" w:lineRule="auto"/>
        <w:jc w:val="center"/>
        <w:rPr>
          <w:rFonts w:hint="eastAsia" w:ascii="仿宋_GB2312" w:hAnsi="仿宋_GB2312" w:eastAsia="仿宋_GB2312" w:cs="仿宋_GB2312"/>
          <w:spacing w:val="16"/>
          <w:w w:val="96"/>
          <w:sz w:val="44"/>
        </w:rPr>
      </w:pPr>
    </w:p>
    <w:p>
      <w:pPr>
        <w:spacing w:line="360" w:lineRule="auto"/>
        <w:jc w:val="center"/>
        <w:rPr>
          <w:rFonts w:hint="eastAsia" w:ascii="仿宋_GB2312" w:hAnsi="仿宋_GB2312" w:eastAsia="仿宋_GB2312" w:cs="仿宋_GB2312"/>
          <w:spacing w:val="16"/>
          <w:w w:val="96"/>
          <w:sz w:val="44"/>
        </w:rPr>
      </w:pPr>
    </w:p>
    <w:p>
      <w:pPr>
        <w:spacing w:line="360" w:lineRule="auto"/>
        <w:jc w:val="center"/>
        <w:rPr>
          <w:rFonts w:hint="eastAsia" w:ascii="仿宋_GB2312" w:hAnsi="仿宋_GB2312" w:eastAsia="仿宋_GB2312" w:cs="仿宋_GB2312"/>
          <w:spacing w:val="16"/>
          <w:w w:val="96"/>
          <w:sz w:val="44"/>
        </w:rPr>
      </w:pPr>
    </w:p>
    <w:p>
      <w:pPr>
        <w:spacing w:line="360" w:lineRule="auto"/>
        <w:jc w:val="center"/>
        <w:rPr>
          <w:rFonts w:hint="eastAsia" w:ascii="仿宋_GB2312" w:hAnsi="仿宋_GB2312" w:eastAsia="仿宋_GB2312" w:cs="仿宋_GB2312"/>
          <w:spacing w:val="16"/>
          <w:w w:val="96"/>
          <w:sz w:val="44"/>
        </w:rPr>
      </w:pPr>
    </w:p>
    <w:p>
      <w:pPr>
        <w:spacing w:line="360" w:lineRule="auto"/>
        <w:jc w:val="center"/>
        <w:rPr>
          <w:rFonts w:hint="eastAsia" w:ascii="仿宋_GB2312" w:hAnsi="仿宋_GB2312" w:eastAsia="仿宋_GB2312" w:cs="仿宋_GB2312"/>
          <w:spacing w:val="16"/>
          <w:w w:val="96"/>
          <w:sz w:val="44"/>
        </w:rPr>
      </w:pPr>
    </w:p>
    <w:p>
      <w:pPr>
        <w:spacing w:line="360" w:lineRule="auto"/>
        <w:jc w:val="center"/>
        <w:rPr>
          <w:rFonts w:hint="eastAsia" w:ascii="仿宋_GB2312" w:hAnsi="仿宋_GB2312" w:eastAsia="仿宋_GB2312" w:cs="仿宋_GB2312"/>
          <w:spacing w:val="16"/>
          <w:w w:val="96"/>
          <w:sz w:val="44"/>
        </w:rPr>
      </w:pPr>
    </w:p>
    <w:p>
      <w:pPr>
        <w:spacing w:line="360" w:lineRule="auto"/>
        <w:jc w:val="center"/>
        <w:rPr>
          <w:rFonts w:hint="eastAsia" w:ascii="仿宋_GB2312" w:hAnsi="仿宋_GB2312" w:eastAsia="仿宋_GB2312" w:cs="仿宋_GB2312"/>
          <w:spacing w:val="16"/>
          <w:w w:val="96"/>
          <w:sz w:val="44"/>
        </w:rPr>
      </w:pPr>
    </w:p>
    <w:p>
      <w:pPr>
        <w:spacing w:line="360" w:lineRule="auto"/>
        <w:jc w:val="center"/>
        <w:rPr>
          <w:rFonts w:hint="eastAsia" w:ascii="仿宋_GB2312" w:hAnsi="仿宋_GB2312" w:eastAsia="仿宋_GB2312" w:cs="仿宋_GB2312"/>
          <w:spacing w:val="16"/>
          <w:w w:val="96"/>
          <w:sz w:val="44"/>
        </w:rPr>
      </w:pPr>
    </w:p>
    <w:p>
      <w:pPr>
        <w:pStyle w:val="2"/>
        <w:rPr>
          <w:rFonts w:hint="eastAsia" w:ascii="仿宋_GB2312" w:hAnsi="仿宋_GB2312" w:eastAsia="仿宋_GB2312" w:cs="仿宋_GB2312"/>
        </w:rPr>
      </w:pPr>
    </w:p>
    <w:p>
      <w:pPr>
        <w:pStyle w:val="2"/>
        <w:rPr>
          <w:rFonts w:hint="eastAsia" w:ascii="仿宋_GB2312" w:hAnsi="仿宋_GB2312" w:eastAsia="仿宋_GB2312" w:cs="仿宋_GB2312"/>
        </w:rPr>
      </w:pPr>
    </w:p>
    <w:p>
      <w:pPr>
        <w:pStyle w:val="2"/>
        <w:rPr>
          <w:rFonts w:hint="eastAsia" w:ascii="仿宋_GB2312" w:hAnsi="仿宋_GB2312" w:eastAsia="仿宋_GB2312" w:cs="仿宋_GB2312"/>
        </w:rPr>
      </w:pPr>
    </w:p>
    <w:p>
      <w:pPr>
        <w:pStyle w:val="2"/>
        <w:rPr>
          <w:rFonts w:hint="eastAsia" w:ascii="仿宋_GB2312" w:hAnsi="仿宋_GB2312" w:eastAsia="仿宋_GB2312" w:cs="仿宋_GB2312"/>
        </w:rPr>
      </w:pPr>
    </w:p>
    <w:p>
      <w:pPr>
        <w:pStyle w:val="2"/>
        <w:jc w:val="center"/>
        <w:rPr>
          <w:rFonts w:hint="eastAsia" w:ascii="仿宋_GB2312" w:hAnsi="仿宋_GB2312" w:eastAsia="仿宋_GB2312" w:cs="仿宋_GB2312"/>
          <w:sz w:val="44"/>
          <w:szCs w:val="44"/>
        </w:rPr>
      </w:pPr>
      <w:r>
        <w:rPr>
          <w:rFonts w:hint="eastAsia" w:ascii="仿宋_GB2312" w:hAnsi="仿宋_GB2312" w:eastAsia="仿宋_GB2312" w:cs="仿宋_GB2312"/>
          <w:sz w:val="44"/>
          <w:szCs w:val="44"/>
        </w:rPr>
        <w:t>2022年9月</w:t>
      </w:r>
    </w:p>
    <w:p>
      <w:pPr>
        <w:pStyle w:val="2"/>
        <w:rPr>
          <w:rFonts w:hint="eastAsia" w:ascii="仿宋_GB2312" w:hAnsi="仿宋_GB2312" w:eastAsia="仿宋_GB2312" w:cs="仿宋_GB2312"/>
        </w:rPr>
        <w:sectPr>
          <w:headerReference r:id="rId4" w:type="default"/>
          <w:footerReference r:id="rId5" w:type="default"/>
          <w:pgSz w:w="11906" w:h="16838"/>
          <w:pgMar w:top="2098" w:right="1474" w:bottom="1985" w:left="1588" w:header="851" w:footer="1588" w:gutter="0"/>
          <w:pgNumType w:start="1"/>
          <w:cols w:space="720" w:num="1"/>
          <w:docGrid w:type="lines" w:linePitch="312" w:charSpace="0"/>
        </w:sectPr>
      </w:pPr>
    </w:p>
    <w:p>
      <w:pPr>
        <w:overflowPunct w:val="0"/>
        <w:spacing w:line="576" w:lineRule="exact"/>
        <w:jc w:val="center"/>
        <w:rPr>
          <w:rFonts w:hint="eastAsia" w:ascii="仿宋_GB2312" w:hAnsi="仿宋_GB2312" w:eastAsia="仿宋_GB2312" w:cs="仿宋_GB2312"/>
          <w:sz w:val="44"/>
        </w:rPr>
      </w:pPr>
      <w:bookmarkStart w:id="0" w:name="_Toc57798835"/>
      <w:bookmarkStart w:id="1" w:name="_Toc111036264"/>
      <w:r>
        <w:rPr>
          <w:rFonts w:hint="eastAsia" w:ascii="仿宋_GB2312" w:hAnsi="仿宋_GB2312" w:eastAsia="仿宋_GB2312" w:cs="仿宋_GB2312"/>
          <w:sz w:val="44"/>
        </w:rPr>
        <w:t>目  录</w:t>
      </w:r>
    </w:p>
    <w:p>
      <w:pPr>
        <w:tabs>
          <w:tab w:val="right" w:leader="middleDot" w:pos="8820"/>
        </w:tabs>
        <w:spacing w:line="576" w:lineRule="exact"/>
        <w:ind w:firstLine="1120"/>
        <w:rPr>
          <w:rFonts w:hint="eastAsia" w:ascii="仿宋_GB2312" w:hAnsi="仿宋_GB2312" w:eastAsia="仿宋_GB2312" w:cs="仿宋_GB2312"/>
          <w:sz w:val="28"/>
          <w:szCs w:val="28"/>
        </w:rPr>
      </w:pPr>
    </w:p>
    <w:p>
      <w:pPr>
        <w:tabs>
          <w:tab w:val="right" w:leader="middleDot" w:pos="8820"/>
        </w:tabs>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前　　言</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1</w:t>
      </w:r>
    </w:p>
    <w:p>
      <w:pPr>
        <w:tabs>
          <w:tab w:val="right" w:leader="middleDot" w:pos="8820"/>
        </w:tabs>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一、概述</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2</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（一）规划背景</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2</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（二）规划范围和期限</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3</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（三）规划依据</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3</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（四）规划结论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4</w:t>
      </w:r>
    </w:p>
    <w:p>
      <w:pPr>
        <w:tabs>
          <w:tab w:val="right" w:leader="middleDot" w:pos="8820"/>
        </w:tabs>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二、发展基础</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4</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（一）经济社会发展概况</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5</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（二）“十三五”发展成就</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6</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（三）存在问题</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9</w:t>
      </w:r>
    </w:p>
    <w:p>
      <w:pPr>
        <w:tabs>
          <w:tab w:val="right" w:leader="middleDot" w:pos="8820"/>
        </w:tabs>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三、形势要求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11</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（一）面临形势</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11</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（二）发展要求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12</w:t>
      </w:r>
    </w:p>
    <w:p>
      <w:pPr>
        <w:tabs>
          <w:tab w:val="right" w:leader="middleDot" w:pos="8820"/>
        </w:tabs>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四、总体思路</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15</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（一）指导思想</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15</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（二）基本原则</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16</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（三）发展思路</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17</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（四）规划目标</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19</w:t>
      </w:r>
    </w:p>
    <w:p>
      <w:pPr>
        <w:tabs>
          <w:tab w:val="right" w:leader="middleDot" w:pos="8820"/>
        </w:tabs>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五、空间布局</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23</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（一）通道布局</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23</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（二）枢纽布局</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27</w:t>
      </w:r>
    </w:p>
    <w:p>
      <w:pPr>
        <w:tabs>
          <w:tab w:val="right" w:leader="middleDot" w:pos="8820"/>
        </w:tabs>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六、发展任务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29</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（一）畅通道扩大辐射范围</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30</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（二）优网络增强承载能力</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31</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（三）强站场提升枢纽能级</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35</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（四）优服务实现便捷高效</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36</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（五）提质量助交通现代化</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38</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（六）深融合打造枢纽经济</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40</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（七）重治理完善行业体系</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41</w:t>
      </w:r>
    </w:p>
    <w:p>
      <w:pPr>
        <w:tabs>
          <w:tab w:val="right" w:leader="middleDot" w:pos="8820"/>
        </w:tabs>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七、资金需求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42</w:t>
      </w:r>
    </w:p>
    <w:p>
      <w:pPr>
        <w:tabs>
          <w:tab w:val="right" w:leader="middleDot" w:pos="8820"/>
        </w:tabs>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八、保障措施</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43</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（一）加强组织领导</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43</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（二）强化资金保障</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44</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（三）落实用地指标</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44</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（四）加强队伍建设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44</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（五）严格监督考核</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44</w:t>
      </w:r>
    </w:p>
    <w:p>
      <w:pPr>
        <w:tabs>
          <w:tab w:val="right" w:leader="middleDot" w:pos="8820"/>
        </w:tabs>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九、环境影响评价专章</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45</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（一）规划分析</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45</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（二）环境影响分析与评价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47</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（三）资源环境承载能力分析</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50</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（四）环境影响减缓措施</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51</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（五）综合评述</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52</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附表1 利州区“十四五”铁路建设项目表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53</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附表2 利州区“十四五”高速公路建设项目表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54</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附表3 利州区“十四五”普通国省道建设项目表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55</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附表4 利</w:t>
      </w:r>
      <w:r>
        <w:rPr>
          <w:rFonts w:hint="eastAsia" w:ascii="仿宋_GB2312" w:hAnsi="仿宋_GB2312" w:eastAsia="仿宋_GB2312" w:cs="仿宋_GB2312"/>
          <w:spacing w:val="-24"/>
          <w:sz w:val="32"/>
          <w:szCs w:val="32"/>
        </w:rPr>
        <w:t>州区“十四五”其他重要干线公路建设项目表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57</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附表5 利州区“十四五”农村公路建设汇总表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58</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附表6 利州区“十四五”内河水运建设项目表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59</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附表7 利州区“十四五”航空建设项目表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62</w:t>
      </w:r>
    </w:p>
    <w:p>
      <w:pPr>
        <w:tabs>
          <w:tab w:val="right" w:leader="middleDot" w:pos="8820"/>
        </w:tabs>
        <w:spacing w:line="576" w:lineRule="exact"/>
        <w:ind w:firstLine="12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附表8利州区“十四五”枢纽站场建设项目表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63</w:t>
      </w:r>
    </w:p>
    <w:p>
      <w:pPr>
        <w:tabs>
          <w:tab w:val="right" w:leader="middleDot" w:pos="8820"/>
        </w:tabs>
        <w:spacing w:line="576" w:lineRule="exact"/>
        <w:ind w:left="2380" w:leftChars="600" w:hanging="1120" w:hangingChars="3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附图1：</w:t>
      </w:r>
      <w:r>
        <w:rPr>
          <w:rFonts w:hint="eastAsia" w:ascii="仿宋_GB2312" w:hAnsi="仿宋_GB2312" w:eastAsia="仿宋_GB2312" w:cs="仿宋_GB2312"/>
          <w:spacing w:val="-6"/>
          <w:sz w:val="32"/>
          <w:szCs w:val="32"/>
        </w:rPr>
        <w:t>广元市利州区“四向五通道”综合运输大通道</w:t>
      </w:r>
      <w:r>
        <w:rPr>
          <w:rFonts w:hint="eastAsia" w:ascii="仿宋_GB2312" w:hAnsi="仿宋_GB2312" w:eastAsia="仿宋_GB2312" w:cs="仿宋_GB2312"/>
          <w:spacing w:val="6"/>
          <w:sz w:val="32"/>
          <w:szCs w:val="32"/>
        </w:rPr>
        <w:t>布局示意</w:t>
      </w:r>
      <w:r>
        <w:rPr>
          <w:rFonts w:hint="eastAsia" w:ascii="仿宋_GB2312" w:hAnsi="仿宋_GB2312" w:eastAsia="仿宋_GB2312" w:cs="仿宋_GB2312"/>
          <w:sz w:val="32"/>
          <w:szCs w:val="32"/>
        </w:rPr>
        <w:t>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65</w:t>
      </w:r>
    </w:p>
    <w:p>
      <w:pPr>
        <w:tabs>
          <w:tab w:val="right" w:leader="middleDot" w:pos="8820"/>
        </w:tabs>
        <w:spacing w:line="576" w:lineRule="exact"/>
        <w:ind w:left="2380" w:leftChars="600" w:hanging="1120" w:hangingChars="3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附图2：广元市利州区综合立体交通网规划布局示意图（2021—2035年）</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66</w:t>
      </w:r>
    </w:p>
    <w:p>
      <w:pPr>
        <w:tabs>
          <w:tab w:val="right" w:leader="middleDot" w:pos="8820"/>
        </w:tabs>
        <w:spacing w:line="576" w:lineRule="exact"/>
        <w:ind w:left="2380" w:leftChars="600" w:hanging="1120" w:hangingChars="3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附图3：广元市利州区“十四五”铁路水运航空建设项目示意图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67</w:t>
      </w:r>
    </w:p>
    <w:p>
      <w:pPr>
        <w:tabs>
          <w:tab w:val="right" w:leader="middleDot" w:pos="8820"/>
        </w:tabs>
        <w:spacing w:line="576" w:lineRule="exact"/>
        <w:ind w:left="2380" w:leftChars="600" w:hanging="1120" w:hangingChars="3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附图4：广元市利州区“十四五”重要干线公路建设项目示意图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68</w:t>
      </w:r>
    </w:p>
    <w:p>
      <w:pPr>
        <w:tabs>
          <w:tab w:val="right" w:leader="middleDot" w:pos="8820"/>
        </w:tabs>
        <w:spacing w:line="576" w:lineRule="exact"/>
        <w:ind w:left="2380" w:leftChars="600" w:hanging="1120" w:hangingChars="350"/>
        <w:rPr>
          <w:rFonts w:hint="eastAsia" w:ascii="仿宋_GB2312" w:hAnsi="仿宋_GB2312" w:eastAsia="仿宋_GB2312" w:cs="仿宋_GB2312"/>
          <w:sz w:val="28"/>
          <w:szCs w:val="28"/>
        </w:rPr>
      </w:pPr>
      <w:r>
        <w:rPr>
          <w:rFonts w:hint="eastAsia" w:ascii="仿宋_GB2312" w:hAnsi="仿宋_GB2312" w:eastAsia="仿宋_GB2312" w:cs="仿宋_GB2312"/>
          <w:sz w:val="32"/>
          <w:szCs w:val="32"/>
        </w:rPr>
        <w:t>附图5：广元市利州区“十四五”枢纽集疏运建设项目示意图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69</w:t>
      </w:r>
    </w:p>
    <w:p>
      <w:pPr>
        <w:pStyle w:val="12"/>
        <w:tabs>
          <w:tab w:val="left" w:pos="840"/>
          <w:tab w:val="right" w:leader="dot" w:pos="8296"/>
        </w:tabs>
        <w:overflowPunct w:val="0"/>
        <w:spacing w:line="576" w:lineRule="exact"/>
        <w:ind w:firstLine="420" w:firstLineChars="200"/>
        <w:rPr>
          <w:rFonts w:hint="eastAsia" w:ascii="仿宋_GB2312" w:hAnsi="仿宋_GB2312" w:eastAsia="仿宋_GB2312" w:cs="仿宋_GB2312"/>
          <w:sz w:val="21"/>
        </w:rPr>
      </w:pPr>
    </w:p>
    <w:p>
      <w:pPr>
        <w:ind w:firstLine="560" w:firstLineChars="200"/>
        <w:rPr>
          <w:rFonts w:hint="eastAsia" w:ascii="仿宋_GB2312" w:hAnsi="仿宋_GB2312" w:eastAsia="仿宋_GB2312" w:cs="仿宋_GB2312"/>
          <w:sz w:val="28"/>
          <w:szCs w:val="28"/>
        </w:rPr>
      </w:pPr>
    </w:p>
    <w:p>
      <w:pPr>
        <w:pStyle w:val="2"/>
        <w:jc w:val="left"/>
        <w:rPr>
          <w:rFonts w:hint="eastAsia" w:ascii="仿宋_GB2312" w:hAnsi="仿宋_GB2312" w:eastAsia="仿宋_GB2312" w:cs="仿宋_GB2312"/>
          <w:b/>
          <w:sz w:val="28"/>
        </w:rPr>
      </w:pPr>
    </w:p>
    <w:p>
      <w:pPr>
        <w:pStyle w:val="2"/>
        <w:rPr>
          <w:rFonts w:hint="eastAsia" w:ascii="仿宋_GB2312" w:hAnsi="仿宋_GB2312" w:eastAsia="仿宋_GB2312" w:cs="仿宋_GB2312"/>
        </w:rPr>
        <w:sectPr>
          <w:footerReference r:id="rId6" w:type="default"/>
          <w:pgSz w:w="11906" w:h="16838"/>
          <w:pgMar w:top="2098" w:right="1474" w:bottom="1985" w:left="1588" w:header="851" w:footer="1588" w:gutter="0"/>
          <w:pgNumType w:start="1"/>
          <w:cols w:space="720" w:num="1"/>
          <w:docGrid w:type="lines" w:linePitch="312" w:charSpace="0"/>
        </w:sectPr>
      </w:pPr>
    </w:p>
    <w:p>
      <w:pPr>
        <w:pStyle w:val="3"/>
        <w:spacing w:before="0" w:after="0" w:line="576" w:lineRule="exact"/>
        <w:jc w:val="center"/>
        <w:rPr>
          <w:rFonts w:hint="eastAsia" w:ascii="仿宋_GB2312" w:hAnsi="仿宋_GB2312" w:eastAsia="仿宋_GB2312" w:cs="仿宋_GB2312"/>
          <w:b w:val="0"/>
        </w:rPr>
        <w:sectPr>
          <w:footerReference r:id="rId7" w:type="default"/>
          <w:pgSz w:w="11906" w:h="16838"/>
          <w:pgMar w:top="2098" w:right="1474" w:bottom="1985" w:left="1588" w:header="851" w:footer="1588" w:gutter="0"/>
          <w:pgNumType w:start="1"/>
          <w:cols w:space="720" w:num="1"/>
          <w:docGrid w:type="lines" w:linePitch="312" w:charSpace="0"/>
        </w:sectPr>
      </w:pPr>
      <w:bookmarkStart w:id="2" w:name="_Toc114070013"/>
    </w:p>
    <w:p>
      <w:pPr>
        <w:pStyle w:val="3"/>
        <w:spacing w:before="0" w:after="0" w:line="576" w:lineRule="exact"/>
        <w:jc w:val="center"/>
        <w:rPr>
          <w:rFonts w:hint="eastAsia" w:ascii="仿宋_GB2312" w:hAnsi="仿宋_GB2312" w:eastAsia="仿宋_GB2312" w:cs="仿宋_GB2312"/>
          <w:b w:val="0"/>
        </w:rPr>
      </w:pPr>
      <w:r>
        <w:rPr>
          <w:rFonts w:hint="eastAsia" w:ascii="仿宋_GB2312" w:hAnsi="仿宋_GB2312" w:eastAsia="仿宋_GB2312" w:cs="仿宋_GB2312"/>
          <w:b w:val="0"/>
        </w:rPr>
        <w:t>前　　言</w:t>
      </w:r>
      <w:bookmarkEnd w:id="0"/>
      <w:bookmarkEnd w:id="1"/>
      <w:bookmarkEnd w:id="2"/>
    </w:p>
    <w:p>
      <w:pPr>
        <w:adjustRightInd w:val="0"/>
        <w:snapToGrid w:val="0"/>
        <w:spacing w:line="576" w:lineRule="exact"/>
        <w:ind w:firstLine="640" w:firstLineChars="200"/>
        <w:rPr>
          <w:rFonts w:hint="eastAsia" w:ascii="仿宋_GB2312" w:hAnsi="仿宋_GB2312" w:eastAsia="仿宋_GB2312" w:cs="仿宋_GB2312"/>
          <w:sz w:val="32"/>
          <w:szCs w:val="32"/>
        </w:rPr>
      </w:pPr>
      <w:bookmarkStart w:id="3" w:name="OLE_LINK2"/>
      <w:bookmarkStart w:id="4" w:name="OLE_LINK1"/>
    </w:p>
    <w:p>
      <w:pPr>
        <w:overflowPunct w:val="0"/>
        <w:adjustRightInd w:val="0"/>
        <w:snapToGrid w:val="0"/>
        <w:spacing w:line="576"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sz w:val="32"/>
          <w:szCs w:val="32"/>
        </w:rPr>
        <w:t>“十四五”时期，是我国由全面建成小康社会向基本实现社会主义现代化迈进的第一个五年，也是四川深入实施成渝地区双城经济圈建设和“一干多支”发展战略的重要时期。利州地处川陕甘三省结合部，是广元加快融入成渝地区双城经济圈的前沿阵地。“十四五”时期，利州经济社会发展将面临成渝地区双城经济圈建设、川陕革命老区振兴发展等多项国家战略机遇，围绕利州区第九次党代会提出“加快建设川陕甘结合部现代化中心城市核心区”的发展任务，加快构建安全、便捷、高效、绿色、经济的现代化综合交通运输体系，对推动利州经济与社会迈向高质量发展</w:t>
      </w:r>
      <w:r>
        <w:rPr>
          <w:rFonts w:hint="eastAsia" w:ascii="仿宋_GB2312" w:hAnsi="仿宋_GB2312" w:eastAsia="仿宋_GB2312" w:cs="仿宋_GB2312"/>
          <w:bCs/>
          <w:sz w:val="32"/>
          <w:szCs w:val="32"/>
        </w:rPr>
        <w:t>具有重大意义。</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综合交通运输是支撑经济与社会发展、构建新型城镇化的先行领域。《广元市利州区“十四五”综合交通运输发展规划》是国民经济和社会发展五年总体规划在综合交通运输领域的具体细化和落实，是统筹指导“十四五”时期全区综合交通运输高质量发展的纲领性文件。</w:t>
      </w:r>
      <w:bookmarkEnd w:id="3"/>
      <w:bookmarkEnd w:id="4"/>
    </w:p>
    <w:p>
      <w:pPr>
        <w:adjustRightInd w:val="0"/>
        <w:snapToGrid w:val="0"/>
        <w:spacing w:line="360" w:lineRule="auto"/>
        <w:ind w:firstLine="640" w:firstLineChars="200"/>
        <w:rPr>
          <w:rFonts w:hint="eastAsia" w:ascii="仿宋_GB2312" w:hAnsi="仿宋_GB2312" w:eastAsia="仿宋_GB2312" w:cs="仿宋_GB2312"/>
          <w:sz w:val="32"/>
          <w:szCs w:val="32"/>
        </w:rPr>
      </w:pPr>
    </w:p>
    <w:p>
      <w:pPr>
        <w:overflowPunct w:val="0"/>
        <w:adjustRightInd w:val="0"/>
        <w:snapToGrid w:val="0"/>
        <w:spacing w:line="576" w:lineRule="exact"/>
        <w:ind w:firstLine="640" w:firstLineChars="200"/>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bookmarkStart w:id="5" w:name="_Toc111036265"/>
      <w:bookmarkStart w:id="6" w:name="_Toc114070014"/>
      <w:r>
        <w:rPr>
          <w:rFonts w:hint="eastAsia" w:ascii="仿宋_GB2312" w:hAnsi="仿宋_GB2312" w:eastAsia="仿宋_GB2312" w:cs="仿宋_GB2312"/>
          <w:sz w:val="32"/>
          <w:szCs w:val="32"/>
        </w:rPr>
        <w:t>一、概述</w:t>
      </w:r>
      <w:bookmarkEnd w:id="5"/>
      <w:bookmarkEnd w:id="6"/>
    </w:p>
    <w:p>
      <w:pPr>
        <w:pStyle w:val="4"/>
        <w:keepNext w:val="0"/>
        <w:keepLines w:val="0"/>
        <w:overflowPunct w:val="0"/>
        <w:spacing w:before="0" w:after="0" w:line="576" w:lineRule="exact"/>
        <w:ind w:firstLine="643" w:firstLineChars="200"/>
        <w:rPr>
          <w:rFonts w:hint="eastAsia" w:ascii="仿宋_GB2312" w:hAnsi="仿宋_GB2312" w:eastAsia="仿宋_GB2312" w:cs="仿宋_GB2312"/>
        </w:rPr>
      </w:pPr>
      <w:bookmarkStart w:id="7" w:name="_Toc111036266"/>
      <w:bookmarkStart w:id="8" w:name="_Toc114070015"/>
      <w:r>
        <w:rPr>
          <w:rFonts w:hint="eastAsia" w:ascii="仿宋_GB2312" w:hAnsi="仿宋_GB2312" w:eastAsia="仿宋_GB2312" w:cs="仿宋_GB2312"/>
        </w:rPr>
        <w:t>（一）规划背景</w:t>
      </w:r>
      <w:bookmarkEnd w:id="7"/>
      <w:bookmarkEnd w:id="8"/>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利州区是广元市政治、经济、文化中心，地处四川盆地北部边缘、嘉陵江上游、川陕甘结合部，位于西安、成都、兰州、重庆四大城市“十字”连接区域，而且是广元加快融入成渝地区双城经济圈的前沿阵地，地理区位独特。此外，成渝地区双城经济圈建设、川陕革命老区振兴发展以及全市“加快建设川陕甘结合部现代化中心城市”等多项战略叠加，且京津冀—成渝主轴和西部陆海走廊等国家综合立体交通主骨架交汇于此，利州区综合交通运输发展迎来了新的机遇和挑战。</w:t>
      </w:r>
    </w:p>
    <w:p>
      <w:pPr>
        <w:pStyle w:val="2"/>
        <w:overflowPunct w:val="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403725" cy="2853055"/>
            <wp:effectExtent l="1905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3" cstate="print"/>
                    <a:srcRect/>
                    <a:stretch>
                      <a:fillRect/>
                    </a:stretch>
                  </pic:blipFill>
                  <pic:spPr>
                    <a:xfrm>
                      <a:off x="0" y="0"/>
                      <a:ext cx="4403725" cy="2853055"/>
                    </a:xfrm>
                    <a:prstGeom prst="rect">
                      <a:avLst/>
                    </a:prstGeom>
                    <a:noFill/>
                    <a:ln w="9525">
                      <a:noFill/>
                      <a:miter lim="800000"/>
                      <a:headEnd/>
                      <a:tailEnd/>
                    </a:ln>
                  </pic:spPr>
                </pic:pic>
              </a:graphicData>
            </a:graphic>
          </wp:inline>
        </w:drawing>
      </w:r>
    </w:p>
    <w:p>
      <w:pPr>
        <w:pStyle w:val="2"/>
        <w:jc w:val="center"/>
        <w:rPr>
          <w:rFonts w:hint="eastAsia" w:ascii="仿宋_GB2312" w:hAnsi="仿宋_GB2312" w:eastAsia="仿宋_GB2312" w:cs="仿宋_GB2312"/>
          <w:sz w:val="32"/>
          <w:szCs w:val="32"/>
        </w:rPr>
      </w:pPr>
      <w:r>
        <w:rPr>
          <w:rFonts w:hint="eastAsia" w:ascii="仿宋_GB2312" w:hAnsi="仿宋_GB2312" w:eastAsia="仿宋_GB2312" w:cs="仿宋_GB2312"/>
          <w:sz w:val="28"/>
          <w:szCs w:val="28"/>
        </w:rPr>
        <w:t>图1—1 利州区在国家和省综合立体交通网中的区位图</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四五”时期是利州开启全面建设社会主义现代化新征程的第一个五年，也是积极融入成渝地区双城经济圈建设，加快建设川陕甘结合部现代化中心城市核心区的关键期。根据省市要求，深入分析“十三五”交通运输建设情况，准确把握“十四五”时期交通运输发展形势，科学谋划“十四五”时期交通运输发展重点，形成《广元市利州区“十四五”综合交通发展规划》，为利州“十四五”时期交通运输发展提供方向指引。</w:t>
      </w:r>
    </w:p>
    <w:p>
      <w:pPr>
        <w:pStyle w:val="4"/>
        <w:keepNext w:val="0"/>
        <w:keepLines w:val="0"/>
        <w:overflowPunct w:val="0"/>
        <w:spacing w:before="0" w:after="0" w:line="576" w:lineRule="exact"/>
        <w:ind w:firstLine="643" w:firstLineChars="200"/>
        <w:rPr>
          <w:rFonts w:hint="eastAsia" w:ascii="仿宋_GB2312" w:hAnsi="仿宋_GB2312" w:eastAsia="仿宋_GB2312" w:cs="仿宋_GB2312"/>
        </w:rPr>
      </w:pPr>
      <w:bookmarkStart w:id="9" w:name="_Toc111036267"/>
      <w:bookmarkStart w:id="10" w:name="_Toc114070016"/>
      <w:r>
        <w:rPr>
          <w:rFonts w:hint="eastAsia" w:ascii="仿宋_GB2312" w:hAnsi="仿宋_GB2312" w:eastAsia="仿宋_GB2312" w:cs="仿宋_GB2312"/>
        </w:rPr>
        <w:t>（二）规划范围和期限</w:t>
      </w:r>
      <w:bookmarkEnd w:id="9"/>
      <w:bookmarkEnd w:id="10"/>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规划范围：利州区（含经开区）全域7个街道、5个镇、3个乡，幅员面积1538.5平方公里。</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规划对象：涵盖铁路、公路、水运、航空运输方式；规划涉及基础设施、运输服务、平安交通、绿色交通、智慧交通、行业治理等内容。</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规划期限：</w:t>
      </w:r>
      <w:r>
        <w:rPr>
          <w:rFonts w:hint="eastAsia" w:ascii="仿宋_GB2312" w:hAnsi="仿宋_GB2312" w:eastAsia="仿宋_GB2312" w:cs="仿宋_GB2312"/>
          <w:color w:val="000000"/>
          <w:sz w:val="32"/>
          <w:szCs w:val="32"/>
        </w:rPr>
        <w:t>研究基年</w:t>
      </w:r>
      <w:r>
        <w:rPr>
          <w:rFonts w:hint="eastAsia" w:ascii="仿宋_GB2312" w:hAnsi="仿宋_GB2312" w:eastAsia="仿宋_GB2312" w:cs="仿宋_GB2312"/>
          <w:sz w:val="32"/>
          <w:szCs w:val="32"/>
        </w:rPr>
        <w:t>为2020年，重点研究2021—2025年。</w:t>
      </w:r>
    </w:p>
    <w:p>
      <w:pPr>
        <w:pStyle w:val="4"/>
        <w:keepNext w:val="0"/>
        <w:keepLines w:val="0"/>
        <w:overflowPunct w:val="0"/>
        <w:spacing w:before="0" w:after="0" w:line="576" w:lineRule="exact"/>
        <w:ind w:firstLine="643" w:firstLineChars="200"/>
        <w:rPr>
          <w:rFonts w:hint="eastAsia" w:ascii="仿宋_GB2312" w:hAnsi="仿宋_GB2312" w:eastAsia="仿宋_GB2312" w:cs="仿宋_GB2312"/>
        </w:rPr>
      </w:pPr>
      <w:bookmarkStart w:id="11" w:name="_Toc114070017"/>
      <w:bookmarkStart w:id="12" w:name="_Toc111036268"/>
      <w:r>
        <w:rPr>
          <w:rFonts w:hint="eastAsia" w:ascii="仿宋_GB2312" w:hAnsi="仿宋_GB2312" w:eastAsia="仿宋_GB2312" w:cs="仿宋_GB2312"/>
        </w:rPr>
        <w:t>（三）规划依据</w:t>
      </w:r>
      <w:bookmarkEnd w:id="11"/>
      <w:bookmarkEnd w:id="12"/>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1．《国家综合立体交通网规划纲要》；</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2．《四川省综合立体交通网规划纲要》；</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3．《四川省“十四五”综合交通运输发展规划》；</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4．《四川省高速公路网规划（2022—2035年）》；</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5．《四川省普通省道网布局规划（2022—2035年）》；</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6．《四川省国民经济和社会发展第十四个五年规划和二〇三五年远景目标纲要》；</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7．《广元市“十四五”综合交通运输发展规划》；</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8．《广元市国民经济和社会发展第十四个五年规划和二〇三五年远景目标纲要》；</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9．《广元市城市总体规划（2017—2035年）》；</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10．《广元市利州区国民经济和社会发展第十四个五年规划和二〇三五年远景目标纲要》；</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11．《广元市利州区农村公路网规划（2021—2035年）》；</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12．《广元市利州区全域旅游发展总体规划》。</w:t>
      </w:r>
    </w:p>
    <w:p>
      <w:pPr>
        <w:pStyle w:val="4"/>
        <w:keepNext w:val="0"/>
        <w:keepLines w:val="0"/>
        <w:overflowPunct w:val="0"/>
        <w:spacing w:before="0" w:after="0" w:line="576" w:lineRule="exact"/>
        <w:ind w:firstLine="640" w:firstLineChars="200"/>
        <w:rPr>
          <w:rFonts w:hint="eastAsia" w:ascii="仿宋_GB2312" w:hAnsi="仿宋_GB2312" w:eastAsia="仿宋_GB2312" w:cs="仿宋_GB2312"/>
          <w:b w:val="0"/>
        </w:rPr>
      </w:pPr>
      <w:bookmarkStart w:id="13" w:name="_Toc114070018"/>
      <w:bookmarkStart w:id="14" w:name="_Toc111036269"/>
      <w:r>
        <w:rPr>
          <w:rFonts w:hint="eastAsia" w:ascii="仿宋_GB2312" w:hAnsi="仿宋_GB2312" w:eastAsia="仿宋_GB2312" w:cs="仿宋_GB2312"/>
          <w:b w:val="0"/>
        </w:rPr>
        <w:t>（四）规划结论</w:t>
      </w:r>
      <w:bookmarkEnd w:id="13"/>
      <w:bookmarkEnd w:id="14"/>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本次规划充分对接上位相关战略规划，共规划9类项目。</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1．铁路：项目3个、25公里。续建1个，力争新开工1个，规划研究1个。</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2．高速公路：项目2个、30公里。新开工2个。</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3．普通国道：项目6个、153．9公里。续建1个，新开工3个，规划研究2个。</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4．普通省道：项目7个、157.4公里。续建1个，新开工5个，规划研究1个。</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5．其他重要干线公路：项目6个、73．4公里。新开工4个，规划研究2个。</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6．农村公路：项目7类、678.9公里、59座。</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7．水运项目：项目9类。</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8．航空项目：项目5个。</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9．枢纽站场：项目17个。</w:t>
      </w:r>
    </w:p>
    <w:p>
      <w:pPr>
        <w:overflowPunct w:val="0"/>
        <w:adjustRightInd w:val="0"/>
        <w:snapToGrid w:val="0"/>
        <w:spacing w:line="576" w:lineRule="exact"/>
        <w:ind w:firstLine="640" w:firstLineChars="200"/>
        <w:outlineLvl w:val="0"/>
        <w:rPr>
          <w:rFonts w:hint="eastAsia" w:ascii="仿宋_GB2312" w:hAnsi="仿宋_GB2312" w:eastAsia="仿宋_GB2312" w:cs="仿宋_GB2312"/>
          <w:sz w:val="32"/>
          <w:szCs w:val="32"/>
        </w:rPr>
      </w:pPr>
      <w:bookmarkStart w:id="15" w:name="_Toc114070019"/>
      <w:bookmarkStart w:id="16" w:name="_Toc111036270"/>
      <w:r>
        <w:rPr>
          <w:rFonts w:hint="eastAsia" w:ascii="仿宋_GB2312" w:hAnsi="仿宋_GB2312" w:eastAsia="仿宋_GB2312" w:cs="仿宋_GB2312"/>
          <w:sz w:val="32"/>
          <w:szCs w:val="32"/>
        </w:rPr>
        <w:t>二、发展基础</w:t>
      </w:r>
      <w:bookmarkEnd w:id="15"/>
      <w:bookmarkEnd w:id="16"/>
    </w:p>
    <w:p>
      <w:pPr>
        <w:pStyle w:val="4"/>
        <w:keepNext w:val="0"/>
        <w:keepLines w:val="0"/>
        <w:overflowPunct w:val="0"/>
        <w:spacing w:before="0" w:after="0" w:line="576" w:lineRule="exact"/>
        <w:ind w:firstLine="643" w:firstLineChars="200"/>
        <w:rPr>
          <w:rFonts w:hint="eastAsia" w:ascii="仿宋_GB2312" w:hAnsi="仿宋_GB2312" w:eastAsia="仿宋_GB2312" w:cs="仿宋_GB2312"/>
        </w:rPr>
      </w:pPr>
      <w:bookmarkStart w:id="17" w:name="_Toc111036271"/>
      <w:bookmarkStart w:id="18" w:name="_Toc114070020"/>
      <w:r>
        <w:rPr>
          <w:rFonts w:hint="eastAsia" w:ascii="仿宋_GB2312" w:hAnsi="仿宋_GB2312" w:eastAsia="仿宋_GB2312" w:cs="仿宋_GB2312"/>
        </w:rPr>
        <w:t>（一）经济社会发展概况</w:t>
      </w:r>
      <w:bookmarkEnd w:id="17"/>
      <w:bookmarkEnd w:id="18"/>
    </w:p>
    <w:p>
      <w:pPr>
        <w:pStyle w:val="2"/>
        <w:overflowPunct w:val="0"/>
        <w:spacing w:after="0" w:line="576"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szCs w:val="32"/>
        </w:rPr>
        <w:t>利州区位于广元市中部，东邻旺苍县，南连剑阁县、昭化区，西接青川县，北接朝天区，素有“女皇故里”“川北门户”“巴蜀金三角”等美誉，拥有国家森林城市、中国优秀旅游城市、中国西部生态环境最佳和最适宜人居城市等众多荣誉。</w:t>
      </w:r>
      <w:r>
        <w:rPr>
          <w:rFonts w:hint="eastAsia" w:ascii="仿宋_GB2312" w:hAnsi="仿宋_GB2312" w:eastAsia="仿宋_GB2312" w:cs="仿宋_GB2312"/>
          <w:sz w:val="32"/>
        </w:rPr>
        <w:t>2020年，利州区常住人口62.2万人，城镇化率72.6％。利州区（含经开区）全域7个街道（东坝街道、嘉陵街道、河西街道、雪峰街道、南河街道、上西街道、万缘街道）、5个镇（宝轮镇、荣山镇、大石镇、盘龙镇、三堆镇）、3个乡（白朝乡、金洞乡、龙潭乡）。根据城市空间结构规划，利州区正加快构建以主城区（包括嘉陵组团、南河组团、东坝组团、雪峰组团、万缘组团、上西组团等）、三江新区（包括盘龙组团、宝轮组团等）和东部新城（包括大石组团、荣山组团等）构成的“一体两翼”城市空间布局。</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利州区位于</w:t>
      </w:r>
      <w:r>
        <w:rPr>
          <w:rFonts w:hint="eastAsia" w:ascii="仿宋_GB2312" w:hAnsi="仿宋_GB2312" w:eastAsia="仿宋_GB2312" w:cs="仿宋_GB2312"/>
          <w:sz w:val="32"/>
        </w:rPr>
        <w:t>全省“一轴两翼三带”区域经济布局中的成德绵</w:t>
      </w:r>
      <w:r>
        <w:rPr>
          <w:rFonts w:hint="eastAsia" w:ascii="仿宋_GB2312" w:hAnsi="仿宋_GB2312" w:eastAsia="仿宋_GB2312" w:cs="仿宋_GB2312"/>
          <w:spacing w:val="-6"/>
          <w:sz w:val="32"/>
        </w:rPr>
        <w:t>眉乐雅广西攀经济发展带上，</w:t>
      </w:r>
      <w:r>
        <w:rPr>
          <w:rFonts w:hint="eastAsia" w:ascii="仿宋_GB2312" w:hAnsi="仿宋_GB2312" w:eastAsia="仿宋_GB2312" w:cs="仿宋_GB2312"/>
          <w:sz w:val="32"/>
          <w:szCs w:val="32"/>
        </w:rPr>
        <w:t>“加快建设川陕结合部现代化中心城市”</w:t>
      </w:r>
      <w:r>
        <w:rPr>
          <w:rFonts w:hint="eastAsia" w:ascii="仿宋_GB2312" w:hAnsi="仿宋_GB2312" w:eastAsia="仿宋_GB2312" w:cs="仿宋_GB2312"/>
          <w:spacing w:val="-6"/>
          <w:sz w:val="32"/>
        </w:rPr>
        <w:t>战略深入实施，</w:t>
      </w:r>
      <w:r>
        <w:rPr>
          <w:rFonts w:hint="eastAsia" w:ascii="仿宋_GB2312" w:hAnsi="仿宋_GB2312" w:eastAsia="仿宋_GB2312" w:cs="仿宋_GB2312"/>
          <w:spacing w:val="-6"/>
          <w:sz w:val="32"/>
          <w:szCs w:val="32"/>
        </w:rPr>
        <w:t>“2＋N”</w:t>
      </w:r>
      <w:r>
        <w:rPr>
          <w:rStyle w:val="22"/>
          <w:rFonts w:hint="eastAsia" w:ascii="仿宋_GB2312" w:hAnsi="仿宋_GB2312" w:eastAsia="仿宋_GB2312" w:cs="仿宋_GB2312"/>
          <w:spacing w:val="-6"/>
        </w:rPr>
        <w:footnoteReference w:id="0"/>
      </w:r>
      <w:r>
        <w:rPr>
          <w:rFonts w:hint="eastAsia" w:ascii="仿宋_GB2312" w:hAnsi="仿宋_GB2312" w:eastAsia="仿宋_GB2312" w:cs="仿宋_GB2312"/>
          <w:spacing w:val="-6"/>
          <w:sz w:val="32"/>
          <w:szCs w:val="32"/>
        </w:rPr>
        <w:t>新型工业体系、“5＋3”</w:t>
      </w:r>
      <w:r>
        <w:rPr>
          <w:rStyle w:val="22"/>
          <w:rFonts w:hint="eastAsia" w:ascii="仿宋_GB2312" w:hAnsi="仿宋_GB2312" w:eastAsia="仿宋_GB2312" w:cs="仿宋_GB2312"/>
          <w:spacing w:val="-6"/>
        </w:rPr>
        <w:footnoteReference w:id="1"/>
      </w:r>
      <w:r>
        <w:rPr>
          <w:rFonts w:hint="eastAsia" w:ascii="仿宋_GB2312" w:hAnsi="仿宋_GB2312" w:eastAsia="仿宋_GB2312" w:cs="仿宋_GB2312"/>
          <w:spacing w:val="-6"/>
          <w:sz w:val="32"/>
          <w:szCs w:val="32"/>
        </w:rPr>
        <w:t>现代农业产业体系和“4＋5”</w:t>
      </w:r>
      <w:r>
        <w:rPr>
          <w:rStyle w:val="22"/>
          <w:rFonts w:hint="eastAsia" w:ascii="仿宋_GB2312" w:hAnsi="仿宋_GB2312" w:eastAsia="仿宋_GB2312" w:cs="仿宋_GB2312"/>
          <w:spacing w:val="-6"/>
        </w:rPr>
        <w:footnoteReference w:id="2"/>
      </w:r>
      <w:r>
        <w:rPr>
          <w:rFonts w:hint="eastAsia" w:ascii="仿宋_GB2312" w:hAnsi="仿宋_GB2312" w:eastAsia="仿宋_GB2312" w:cs="仿宋_GB2312"/>
          <w:sz w:val="32"/>
          <w:szCs w:val="32"/>
        </w:rPr>
        <w:t>现代服务业体系等区域特色主导产业</w:t>
      </w:r>
      <w:r>
        <w:rPr>
          <w:rFonts w:hint="eastAsia" w:ascii="仿宋_GB2312" w:hAnsi="仿宋_GB2312" w:eastAsia="仿宋_GB2312" w:cs="仿宋_GB2312"/>
          <w:sz w:val="32"/>
        </w:rPr>
        <w:t>不断</w:t>
      </w:r>
      <w:r>
        <w:rPr>
          <w:rFonts w:hint="eastAsia" w:ascii="仿宋_GB2312" w:hAnsi="仿宋_GB2312" w:eastAsia="仿宋_GB2312" w:cs="仿宋_GB2312"/>
          <w:sz w:val="32"/>
          <w:szCs w:val="32"/>
        </w:rPr>
        <w:t>做大做强。目前境内拥有皇泽寺博物馆、天曌山国家森林公园、广元市千佛崖石刻艺术博物馆、利州区芳香南山景区等AAAA级景区，利州赤化镇竹子溪湿地公园、利州区水韵井田等AAA级景区，广元市利州区青岭稻香园景区等AA级景区，以及宝轮、大石、回龙河、袁家坝等工业园区，区域周边以绿色果蔬、生态养殖、道地中药材、木本油料和四季花卉五大特色农业为主的产业布局。“十三五”时期，地区生产总值年均增长7.3％，2020年经济总量达338.6亿元，在广元市所辖7个区县中位居第1，三次产业结构</w:t>
      </w:r>
      <w:r>
        <w:rPr>
          <w:rFonts w:hint="eastAsia" w:ascii="仿宋_GB2312" w:hAnsi="仿宋_GB2312" w:eastAsia="仿宋_GB2312" w:cs="仿宋_GB2312"/>
          <w:spacing w:val="-6"/>
          <w:sz w:val="32"/>
          <w:szCs w:val="32"/>
        </w:rPr>
        <w:t>比从2015年的4.3∶52.3∶43.4调整为2020年的</w:t>
      </w:r>
      <w:r>
        <w:rPr>
          <w:rFonts w:hint="eastAsia" w:ascii="仿宋_GB2312" w:hAnsi="仿宋_GB2312" w:eastAsia="仿宋_GB2312" w:cs="仿宋_GB2312"/>
          <w:spacing w:val="-10"/>
          <w:sz w:val="32"/>
          <w:szCs w:val="32"/>
        </w:rPr>
        <w:t>4.8∶44.5∶50.7，</w:t>
      </w:r>
      <w:bookmarkStart w:id="19" w:name="_Hlk62138658"/>
      <w:r>
        <w:rPr>
          <w:rFonts w:hint="eastAsia" w:ascii="仿宋_GB2312" w:hAnsi="仿宋_GB2312" w:eastAsia="仿宋_GB2312" w:cs="仿宋_GB2312"/>
          <w:spacing w:val="-10"/>
          <w:sz w:val="32"/>
          <w:szCs w:val="32"/>
        </w:rPr>
        <w:t>第三产业</w:t>
      </w:r>
      <w:bookmarkEnd w:id="19"/>
      <w:r>
        <w:rPr>
          <w:rFonts w:hint="eastAsia" w:ascii="仿宋_GB2312" w:hAnsi="仿宋_GB2312" w:eastAsia="仿宋_GB2312" w:cs="仿宋_GB2312"/>
          <w:spacing w:val="-10"/>
          <w:sz w:val="32"/>
          <w:szCs w:val="32"/>
        </w:rPr>
        <w:t>增加值比重明显提高，工业转型初见成效</w:t>
      </w:r>
      <w:r>
        <w:rPr>
          <w:rFonts w:hint="eastAsia" w:ascii="仿宋_GB2312" w:hAnsi="仿宋_GB2312" w:eastAsia="仿宋_GB2312" w:cs="仿宋_GB2312"/>
          <w:spacing w:val="-6"/>
          <w:sz w:val="32"/>
          <w:szCs w:val="32"/>
        </w:rPr>
        <w:t>。</w:t>
      </w:r>
    </w:p>
    <w:p>
      <w:pPr>
        <w:pStyle w:val="4"/>
        <w:overflowPunct w:val="0"/>
        <w:spacing w:before="0" w:after="0" w:line="576" w:lineRule="exact"/>
        <w:ind w:firstLine="643" w:firstLineChars="200"/>
        <w:rPr>
          <w:rFonts w:hint="eastAsia" w:ascii="仿宋_GB2312" w:hAnsi="仿宋_GB2312" w:eastAsia="仿宋_GB2312" w:cs="仿宋_GB2312"/>
        </w:rPr>
      </w:pPr>
      <w:bookmarkStart w:id="20" w:name="_Toc111036272"/>
      <w:bookmarkStart w:id="21" w:name="_Toc114070021"/>
      <w:r>
        <w:rPr>
          <w:rFonts w:hint="eastAsia" w:ascii="仿宋_GB2312" w:hAnsi="仿宋_GB2312" w:eastAsia="仿宋_GB2312" w:cs="仿宋_GB2312"/>
        </w:rPr>
        <w:t>（二）“十三五”发展成就</w:t>
      </w:r>
      <w:bookmarkEnd w:id="20"/>
      <w:bookmarkEnd w:id="21"/>
    </w:p>
    <w:p>
      <w:pPr>
        <w:overflowPunct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三五”时期是迄今为止利州交通运输投资规模最大、发展速度最快的时期。五年来，在区委、区政府的坚强领导下，在省、市交通主管部门的大力支持下，利州交通重点项目有序有力推进，高速铁路建设顺利完成，干线公路改善升级稳步推进，“两通”工程有序完成，交通脱贫攻坚深入推进，行业管理水平和治理能力不断提高，为利州经济社会发展奠定了坚实基础。五年来，全区完成交通运输建设总投资约39亿元，是“十二五”时期的1.3倍，综合交通路网总里程从2230公里增至3048公里，其中铁路营业里程从60公里增至108公里，公路里程从2139公里增至2909公里，总体上已形成由4条铁路、4条高速公路、6条普通国省道、1条航道、1个机场构成的“44611”综合立体交通运输体系。</w:t>
      </w:r>
    </w:p>
    <w:p>
      <w:pPr>
        <w:pStyle w:val="2"/>
        <w:overflowPunct w:val="0"/>
        <w:spacing w:after="0" w:line="576"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（1）基础设施。</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对外大通道加快完善，辐射引领带动作用不断增强。</w:t>
      </w:r>
      <w:r>
        <w:rPr>
          <w:rFonts w:hint="eastAsia" w:ascii="仿宋_GB2312" w:hAnsi="仿宋_GB2312" w:eastAsia="仿宋_GB2312" w:cs="仿宋_GB2312"/>
          <w:sz w:val="32"/>
          <w:szCs w:val="32"/>
        </w:rPr>
        <w:t>建成我国三条南北铁路大动脉之一的兰渝铁路和四川第一条北向出川高铁西成客专，成功迈入“高铁时代”。广巴铁路扩能改造工程和绵广、广陕高速扩容工程前期工作加快推进。嘉陵江航道时隔30年实现全江复航。广元盘龙机场新增至昆明、济南、石家庄、贵阳、乌鲁木齐、南宁等6条航线，累计覆盖国内11个城市。</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内部国省干线提质稳步推进，城市承载力不断提升。</w:t>
      </w:r>
      <w:r>
        <w:rPr>
          <w:rFonts w:hint="eastAsia" w:ascii="仿宋_GB2312" w:hAnsi="仿宋_GB2312" w:eastAsia="仿宋_GB2312" w:cs="仿宋_GB2312"/>
          <w:sz w:val="32"/>
          <w:szCs w:val="32"/>
        </w:rPr>
        <w:t>累计完成国省干线公路新改建30公里，G212线南山隧道、S301线三堆羊盘至青川观音店界公路等加快建设。境内普通国省道总里程达196.9公里，其中普通国道总里程161.5公里，均达到二级及以上等级；普通省道总里程35.4公里，其中三级及以上等级公路占比达65.8％。</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农村公路明显改善，交通扶贫高效达标。</w:t>
      </w:r>
      <w:r>
        <w:rPr>
          <w:rFonts w:hint="eastAsia" w:ascii="仿宋_GB2312" w:hAnsi="仿宋_GB2312" w:eastAsia="仿宋_GB2312" w:cs="仿宋_GB2312"/>
          <w:sz w:val="32"/>
          <w:szCs w:val="32"/>
        </w:rPr>
        <w:t>成功创建“四好农村路”省级示范县。累计完成县乡公路改造101.1公里、通村硬化路293.2公里、村道加宽399.5公里。境内农村公路总里程达到2618.4公里，其中四级及以上农村公路占比达到89.8％，较“十二五”末提高23个百分点。建制村村道宽度基本达到4.5米，实现100％的乡镇通油路、100％的建制村通硬化路，高标准高质量完成交通专项扶贫任务。</w:t>
      </w:r>
    </w:p>
    <w:p>
      <w:pPr>
        <w:pStyle w:val="2"/>
        <w:overflowPunct w:val="0"/>
        <w:spacing w:after="0" w:line="576"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（2）运输服务。</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客货站场建设取得积极进展，枢纽地位显著提升。</w:t>
      </w:r>
      <w:r>
        <w:rPr>
          <w:rFonts w:hint="eastAsia" w:ascii="仿宋_GB2312" w:hAnsi="仿宋_GB2312" w:eastAsia="仿宋_GB2312" w:cs="仿宋_GB2312"/>
          <w:sz w:val="32"/>
          <w:szCs w:val="32"/>
        </w:rPr>
        <w:t>上西综合客运枢纽、上西交通物流港、下西广元现代物流园等全面建成；西部地区首个地级市动车运用所广元动车所项目一期工程，以及全国高铁快运物流发展示范项目—广元·川陕甘高铁快运物流基地顺利开工建设。100％的乡镇建有客运站，100％的建制村建有招呼站（牌）。</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客运服务水平明显提升。</w:t>
      </w:r>
      <w:r>
        <w:rPr>
          <w:rFonts w:hint="eastAsia" w:ascii="仿宋_GB2312" w:hAnsi="仿宋_GB2312" w:eastAsia="仿宋_GB2312" w:cs="仿宋_GB2312"/>
          <w:sz w:val="32"/>
          <w:szCs w:val="32"/>
        </w:rPr>
        <w:t>境内拥有客运车辆270余辆，出租汽车627辆。开行客运班线120条，其中跨省7条、跨市28条、跨县61条、县内24条。农村客运片区化经营扎实推进，乡村运输“金通工程”有序推进，实现100％的乡镇、建制村通客车，38个建制村通公交车、125个建制村通客运班线、17个建制村实现预约响应式客运服务全覆盖。</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货物运输效率有效提高。</w:t>
      </w:r>
      <w:r>
        <w:rPr>
          <w:rFonts w:hint="eastAsia" w:ascii="仿宋_GB2312" w:hAnsi="仿宋_GB2312" w:eastAsia="仿宋_GB2312" w:cs="仿宋_GB2312"/>
          <w:sz w:val="32"/>
          <w:szCs w:val="32"/>
        </w:rPr>
        <w:t>成功纳入省级电子商务进农村综合示范项目试点县。乡镇快递覆盖率、建制村通邮率均达100％，城市和乡镇末端网络建设初步形成。</w:t>
      </w:r>
    </w:p>
    <w:p>
      <w:pPr>
        <w:pStyle w:val="2"/>
        <w:overflowPunct w:val="0"/>
        <w:spacing w:after="0" w:line="576"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（3）行业治理。</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公路养护管理能力持续增强。</w:t>
      </w:r>
      <w:r>
        <w:rPr>
          <w:rFonts w:hint="eastAsia" w:ascii="仿宋_GB2312" w:hAnsi="仿宋_GB2312" w:eastAsia="仿宋_GB2312" w:cs="仿宋_GB2312"/>
          <w:sz w:val="32"/>
          <w:szCs w:val="32"/>
        </w:rPr>
        <w:t>全面推行县、乡、村三级农村公路养护管理体系，实现国省干线全面养护、农村公路应养尽养。</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行业安全监管水平稳步提升。</w:t>
      </w:r>
      <w:r>
        <w:rPr>
          <w:rFonts w:hint="eastAsia" w:ascii="仿宋_GB2312" w:hAnsi="仿宋_GB2312" w:eastAsia="仿宋_GB2312" w:cs="仿宋_GB2312"/>
          <w:sz w:val="32"/>
          <w:szCs w:val="32"/>
        </w:rPr>
        <w:t>国省干线公路安防工程基本实现全覆盖。在建交通工程项目监管率每年均达到100％，无重大安全事故和安全责任事故发生。驾培、维修、公交、出租车等行业监管水平得到强化，“黑车”协同整治等长效机制全面建立，运输市场秩序得到进一步规范。超限整治力度持续加大，货车超限率控制在3％以内。航务海事管理能力持续增强，定期开展船员年审、船舶安检，以白龙湖、栖凤湖库区和主要航道为重点，执法巡查、隐患排查力度得到不断强化。</w:t>
      </w:r>
    </w:p>
    <w:p>
      <w:pPr>
        <w:pStyle w:val="4"/>
        <w:overflowPunct w:val="0"/>
        <w:spacing w:before="0" w:after="0" w:line="576" w:lineRule="exact"/>
        <w:ind w:firstLine="643" w:firstLineChars="200"/>
        <w:rPr>
          <w:rFonts w:hint="eastAsia" w:ascii="仿宋_GB2312" w:hAnsi="仿宋_GB2312" w:eastAsia="仿宋_GB2312" w:cs="仿宋_GB2312"/>
        </w:rPr>
      </w:pPr>
      <w:bookmarkStart w:id="22" w:name="_Toc111036273"/>
      <w:bookmarkStart w:id="23" w:name="_Toc114070022"/>
      <w:r>
        <w:rPr>
          <w:rFonts w:hint="eastAsia" w:ascii="仿宋_GB2312" w:hAnsi="仿宋_GB2312" w:eastAsia="仿宋_GB2312" w:cs="仿宋_GB2312"/>
        </w:rPr>
        <w:t>（三）存在问题</w:t>
      </w:r>
      <w:bookmarkEnd w:id="22"/>
      <w:bookmarkEnd w:id="23"/>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虽然利州已形成“公铁水航”综合交通运输体系，各运输方式得到了不同程度的发展，但对标现代化和高质量发展要求，还存在以下六个方面的问题。</w:t>
      </w:r>
    </w:p>
    <w:p>
      <w:pPr>
        <w:pStyle w:val="2"/>
        <w:overflowPunct w:val="0"/>
        <w:adjustRightInd w:val="0"/>
        <w:snapToGrid w:val="0"/>
        <w:spacing w:after="0" w:line="576"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对外开放通道运能不足。广巴铁路技术等级较低，运行速度仅30—60公里/小时，亟需扩能改造。G5京昆高速承担着全省35％以上的进出川货运量，通行能力紧张，亟须扩容改造。广元盘龙机场建设时间较早，候机楼面积仅4000平</w:t>
      </w:r>
      <w:r>
        <w:rPr>
          <w:rFonts w:hint="eastAsia" w:ascii="仿宋_GB2312" w:hAnsi="仿宋_GB2312" w:eastAsia="仿宋_GB2312" w:cs="仿宋_GB2312"/>
          <w:bCs/>
          <w:color w:val="000000"/>
          <w:sz w:val="32"/>
          <w:szCs w:val="32"/>
        </w:rPr>
        <w:t>方米</w:t>
      </w:r>
      <w:r>
        <w:rPr>
          <w:rFonts w:hint="eastAsia" w:ascii="仿宋_GB2312" w:hAnsi="仿宋_GB2312" w:eastAsia="仿宋_GB2312" w:cs="仿宋_GB2312"/>
          <w:bCs/>
          <w:sz w:val="32"/>
          <w:szCs w:val="32"/>
        </w:rPr>
        <w:t>，设施设备较为老旧，难以满足客货运输量日益增长的需求。</w:t>
      </w:r>
    </w:p>
    <w:p>
      <w:pPr>
        <w:pStyle w:val="2"/>
        <w:overflowPunct w:val="0"/>
        <w:adjustRightInd w:val="0"/>
        <w:snapToGrid w:val="0"/>
        <w:spacing w:after="0" w:line="576"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国省干线路网质量不优。四级及以下普通省道里程占比超30％，主要集中在S205路段。拟新增省道（S416、S205、S224）绝大部分为四级公路，路况较差，尚不能发挥干线公路的作用。荣山镇、白朝乡等乡镇至今仍未实现三级及以上公路连通。部分城镇过境段行车不畅、拥堵现象较为严重，存在普通国省道与城市道路未能有效衔接的情况，难以满足快速通行的需求。</w:t>
      </w:r>
    </w:p>
    <w:p>
      <w:pPr>
        <w:pStyle w:val="2"/>
        <w:overflowPunct w:val="0"/>
        <w:adjustRightInd w:val="0"/>
        <w:snapToGrid w:val="0"/>
        <w:spacing w:after="0" w:line="576"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农村公路发展水平不高。农村公路技术等级偏低，仍有10％的农村公路为等外路。农村公路覆盖率较低，仍有12.8％的30户以上自然村（组）未通硬化路。农村公路路面较差，仍有13％的农村公路路面是未铺装路面或简易铺装路面，通村公路路基路面较为薄弱，“断头路”“瓶颈路”现象仍然突出。部分农村公路安防、桥涵、排水、标志标牌、管养等配套设施不完善。</w:t>
      </w:r>
    </w:p>
    <w:p>
      <w:pPr>
        <w:pStyle w:val="2"/>
        <w:overflowPunct w:val="0"/>
        <w:adjustRightInd w:val="0"/>
        <w:snapToGrid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运输场站能级不高。缺乏可有效衔接航空、铁路、公路等运输方式的综合</w:t>
      </w:r>
      <w:r>
        <w:rPr>
          <w:rFonts w:hint="eastAsia" w:ascii="仿宋_GB2312" w:hAnsi="仿宋_GB2312" w:eastAsia="仿宋_GB2312" w:cs="仿宋_GB2312"/>
          <w:sz w:val="32"/>
          <w:szCs w:val="32"/>
        </w:rPr>
        <w:t>性、一体化客运站，上西客运站、南河客运站等辐射能力不强，宝轮、大石等乡镇综合客运站设施不够完善、功能相对单一。以铁路为主导的综合货运枢纽或物流园区建设仍属空白，进场公路、站场连接线等集疏运体系尚未完善。</w:t>
      </w:r>
    </w:p>
    <w:p>
      <w:pPr>
        <w:pStyle w:val="2"/>
        <w:overflowPunct w:val="0"/>
        <w:adjustRightInd w:val="0"/>
        <w:snapToGrid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运输服务质效不佳。</w:t>
      </w:r>
      <w:r>
        <w:rPr>
          <w:rFonts w:hint="eastAsia" w:ascii="仿宋_GB2312" w:hAnsi="仿宋_GB2312" w:eastAsia="仿宋_GB2312" w:cs="仿宋_GB2312"/>
          <w:sz w:val="32"/>
          <w:szCs w:val="32"/>
        </w:rPr>
        <w:t>城市公交服务范围仍需进一步扩大。城乡客运服务班线、班次亟需优化，乡村运输“金通工程”有待深入实施，预约、定制式客运服务模式仍需加强推广。货运组织化、规模化、网络化程度偏低，高铁货运、多式联运等物流组织模式发展缓慢，县、乡、村物流配送体系仍需完善。</w:t>
      </w:r>
    </w:p>
    <w:p>
      <w:pPr>
        <w:pStyle w:val="2"/>
        <w:overflowPunct w:val="0"/>
        <w:adjustRightInd w:val="0"/>
        <w:snapToGrid w:val="0"/>
        <w:spacing w:after="0" w:line="576"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交通与相关产业发展融合不深。</w:t>
      </w:r>
      <w:r>
        <w:rPr>
          <w:rFonts w:hint="eastAsia" w:ascii="仿宋_GB2312" w:hAnsi="仿宋_GB2312" w:eastAsia="仿宋_GB2312" w:cs="仿宋_GB2312"/>
          <w:sz w:val="32"/>
          <w:szCs w:val="32"/>
        </w:rPr>
        <w:t>既有枢纽站场与城市周边产业园区、生产基地等重要节点的衔接性、融合性不够。至天曌山国家森林公园、利州区芳香南山景区等旅游景点至今未实现三级及以上公路连接。</w:t>
      </w:r>
    </w:p>
    <w:p>
      <w:pPr>
        <w:pStyle w:val="2"/>
        <w:overflowPunct w:val="0"/>
        <w:adjustRightInd w:val="0"/>
        <w:snapToGrid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行业高质量发展水平与现代化治理能力还需进一步提高。</w:t>
      </w:r>
      <w:r>
        <w:rPr>
          <w:rFonts w:hint="eastAsia" w:ascii="仿宋_GB2312" w:hAnsi="仿宋_GB2312" w:eastAsia="仿宋_GB2312" w:cs="仿宋_GB2312"/>
          <w:sz w:val="32"/>
          <w:szCs w:val="32"/>
        </w:rPr>
        <w:t>新建或改建路段存在管养脱节、人员不足，专业化水平不够等问题。电子运单、电子客票等使用率不高，科技在行政执法、运输服务、超限治理、公路管养等场合中的应用还未普及。新能源交通工具投入使用率不高，资源集约节约、生态环境保护意识需进一步加强。安全宣传、隐患排查、质量监管、运输安全监测等工作需持续加强，应急装备、物资等数量不足。市场治理、行政执法、社会监督等体系还需完善，各部门协调联动需进一步增强。</w:t>
      </w:r>
    </w:p>
    <w:p>
      <w:pPr>
        <w:overflowPunct w:val="0"/>
        <w:adjustRightInd w:val="0"/>
        <w:snapToGrid w:val="0"/>
        <w:spacing w:line="576" w:lineRule="exact"/>
        <w:ind w:firstLine="640" w:firstLineChars="200"/>
        <w:outlineLvl w:val="0"/>
        <w:rPr>
          <w:rFonts w:hint="eastAsia" w:ascii="仿宋_GB2312" w:hAnsi="仿宋_GB2312" w:eastAsia="仿宋_GB2312" w:cs="仿宋_GB2312"/>
          <w:sz w:val="32"/>
          <w:szCs w:val="32"/>
        </w:rPr>
      </w:pPr>
      <w:bookmarkStart w:id="24" w:name="_Toc114070023"/>
      <w:bookmarkStart w:id="25" w:name="_Toc111036274"/>
      <w:r>
        <w:rPr>
          <w:rFonts w:hint="eastAsia" w:ascii="仿宋_GB2312" w:hAnsi="仿宋_GB2312" w:eastAsia="仿宋_GB2312" w:cs="仿宋_GB2312"/>
          <w:sz w:val="32"/>
          <w:szCs w:val="32"/>
        </w:rPr>
        <w:t>三、形势要求</w:t>
      </w:r>
      <w:bookmarkEnd w:id="24"/>
      <w:bookmarkEnd w:id="25"/>
    </w:p>
    <w:p>
      <w:pPr>
        <w:overflowPunct w:val="0"/>
        <w:adjustRightInd w:val="0"/>
        <w:snapToGrid w:val="0"/>
        <w:spacing w:line="576" w:lineRule="exact"/>
        <w:ind w:firstLine="643" w:firstLineChars="200"/>
        <w:outlineLvl w:val="1"/>
        <w:rPr>
          <w:rFonts w:hint="eastAsia" w:ascii="仿宋_GB2312" w:hAnsi="仿宋_GB2312" w:eastAsia="仿宋_GB2312" w:cs="仿宋_GB2312"/>
          <w:b/>
          <w:bCs/>
          <w:sz w:val="32"/>
          <w:szCs w:val="32"/>
        </w:rPr>
      </w:pPr>
      <w:bookmarkStart w:id="26" w:name="_Toc114070024"/>
      <w:bookmarkStart w:id="27" w:name="_Toc111036275"/>
      <w:r>
        <w:rPr>
          <w:rFonts w:hint="eastAsia" w:ascii="仿宋_GB2312" w:hAnsi="仿宋_GB2312" w:eastAsia="仿宋_GB2312" w:cs="仿宋_GB2312"/>
          <w:b/>
          <w:bCs/>
          <w:sz w:val="32"/>
          <w:szCs w:val="32"/>
        </w:rPr>
        <w:t>（一）面临形势</w:t>
      </w:r>
      <w:bookmarkEnd w:id="26"/>
      <w:bookmarkEnd w:id="27"/>
    </w:p>
    <w:p>
      <w:pPr>
        <w:overflowPunct w:val="0"/>
        <w:adjustRightInd w:val="0"/>
        <w:snapToGrid w:val="0"/>
        <w:spacing w:line="576"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十四五”时期，是我国由全面建成小康社会向基本实现社会主义现代化迈进的第一个五年，也是四川全面推进成渝地区双城经济圈建设，深入实施“一干多支、五区协同”发展战略，不断推动治蜀兴川再上新台阶的关键时期。</w:t>
      </w:r>
    </w:p>
    <w:p>
      <w:pPr>
        <w:overflowPunct w:val="0"/>
        <w:spacing w:line="576" w:lineRule="exact"/>
        <w:ind w:firstLine="640"/>
        <w:rPr>
          <w:rFonts w:hint="eastAsia" w:ascii="仿宋_GB2312" w:hAnsi="仿宋_GB2312" w:eastAsia="仿宋_GB2312" w:cs="仿宋_GB2312"/>
          <w:bCs/>
          <w:sz w:val="32"/>
          <w:szCs w:val="32"/>
        </w:rPr>
      </w:pPr>
      <w:r>
        <w:rPr>
          <w:rFonts w:hint="eastAsia" w:ascii="仿宋_GB2312" w:hAnsi="仿宋_GB2312" w:eastAsia="仿宋_GB2312" w:cs="仿宋_GB2312"/>
          <w:sz w:val="32"/>
          <w:szCs w:val="32"/>
        </w:rPr>
        <w:t>从全市经济社会发展形势来看，</w:t>
      </w:r>
      <w:r>
        <w:rPr>
          <w:rFonts w:hint="eastAsia" w:ascii="仿宋_GB2312" w:hAnsi="仿宋_GB2312" w:eastAsia="仿宋_GB2312" w:cs="仿宋_GB2312"/>
          <w:bCs/>
          <w:sz w:val="32"/>
          <w:szCs w:val="32"/>
        </w:rPr>
        <w:t>省委十一届七次全会明确提出支持广元建设成渝地区北向重要门户枢纽、成渝地区绿色产品供给地和产业协作配套基地。市第八次党代会提出坚持生态立市、工业强市、文旅兴市、跨越发展思路，围绕区域发展高地、重要门户枢纽、生态文明典范、康养旅游胜地、幸福美丽家园的具体目标，加快建设川陕甘结合部现代化中心城市。“十四五”时期，广元发展将处于全面建设社会主义现代化夯基筑底起步期、高质量发展加速期、城市能级提升突破期、大开发促大发展关键期。</w:t>
      </w:r>
    </w:p>
    <w:p>
      <w:pPr>
        <w:pStyle w:val="2"/>
        <w:overflowPunct w:val="0"/>
        <w:spacing w:after="0" w:line="576"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sz w:val="32"/>
          <w:szCs w:val="32"/>
        </w:rPr>
        <w:t>从全区经济社会发展形势来看，</w:t>
      </w:r>
      <w:r>
        <w:rPr>
          <w:rFonts w:hint="eastAsia" w:ascii="仿宋_GB2312" w:hAnsi="仿宋_GB2312" w:eastAsia="仿宋_GB2312" w:cs="仿宋_GB2312"/>
          <w:bCs/>
          <w:sz w:val="32"/>
          <w:szCs w:val="32"/>
        </w:rPr>
        <w:t>利州作为广元发展的主战场，</w:t>
      </w:r>
      <w:r>
        <w:rPr>
          <w:rFonts w:hint="eastAsia" w:ascii="仿宋_GB2312" w:hAnsi="仿宋_GB2312" w:eastAsia="仿宋_GB2312" w:cs="仿宋_GB2312"/>
          <w:sz w:val="32"/>
          <w:szCs w:val="32"/>
        </w:rPr>
        <w:t>区第九次党代会提出“加快建设川陕甘结合部现代化中心城市核心区”的发展任务。</w:t>
      </w:r>
      <w:r>
        <w:rPr>
          <w:rFonts w:hint="eastAsia" w:ascii="仿宋_GB2312" w:hAnsi="仿宋_GB2312" w:eastAsia="仿宋_GB2312" w:cs="仿宋_GB2312"/>
          <w:bCs/>
          <w:sz w:val="32"/>
          <w:szCs w:val="32"/>
        </w:rPr>
        <w:t>“十四五”时期，利州将全面开启社会主义现代化建设新征程，全面贯彻“一干多支、五区协同”发展战略和“加快建设川陕甘结合部现代化中心城市”战略，主动融入新发展格局和成渝地区双城经济圈建设，深入实施川陕革命老区振兴发展等重要战略，突出川陕甘结合部现代化中心城市核心区总体定位，加快建设</w:t>
      </w:r>
      <w:r>
        <w:rPr>
          <w:rFonts w:hint="eastAsia" w:ascii="仿宋_GB2312" w:hAnsi="仿宋_GB2312" w:eastAsia="仿宋_GB2312" w:cs="仿宋_GB2312"/>
          <w:sz w:val="32"/>
          <w:szCs w:val="32"/>
        </w:rPr>
        <w:t>“三基地一枢纽”</w:t>
      </w:r>
      <w:r>
        <w:rPr>
          <w:rStyle w:val="22"/>
          <w:rFonts w:hint="eastAsia" w:ascii="仿宋_GB2312" w:hAnsi="仿宋_GB2312" w:eastAsia="仿宋_GB2312" w:cs="仿宋_GB2312"/>
        </w:rPr>
        <w:footnoteReference w:id="3"/>
      </w:r>
      <w:r>
        <w:rPr>
          <w:rFonts w:hint="eastAsia" w:ascii="仿宋_GB2312" w:hAnsi="仿宋_GB2312" w:eastAsia="仿宋_GB2312" w:cs="仿宋_GB2312"/>
          <w:bCs/>
          <w:sz w:val="32"/>
          <w:szCs w:val="32"/>
        </w:rPr>
        <w:t>。</w:t>
      </w:r>
    </w:p>
    <w:p>
      <w:pPr>
        <w:overflowPunct w:val="0"/>
        <w:spacing w:line="576" w:lineRule="exact"/>
        <w:ind w:firstLine="640"/>
        <w:rPr>
          <w:rFonts w:hint="eastAsia" w:ascii="仿宋_GB2312" w:hAnsi="仿宋_GB2312" w:eastAsia="仿宋_GB2312" w:cs="仿宋_GB2312"/>
          <w:bCs/>
          <w:sz w:val="32"/>
          <w:szCs w:val="32"/>
        </w:rPr>
      </w:pPr>
      <w:r>
        <w:rPr>
          <w:rFonts w:hint="eastAsia" w:ascii="仿宋_GB2312" w:hAnsi="仿宋_GB2312" w:eastAsia="仿宋_GB2312" w:cs="仿宋_GB2312"/>
          <w:sz w:val="32"/>
          <w:szCs w:val="32"/>
        </w:rPr>
        <w:t>从交通行业发展形势来看，</w:t>
      </w:r>
      <w:r>
        <w:rPr>
          <w:rFonts w:hint="eastAsia" w:ascii="仿宋_GB2312" w:hAnsi="仿宋_GB2312" w:eastAsia="仿宋_GB2312" w:cs="仿宋_GB2312"/>
          <w:bCs/>
          <w:sz w:val="32"/>
          <w:szCs w:val="32"/>
        </w:rPr>
        <w:t>党的十九大作出建设交通强国的战略部署，2019年9月、2021年2月中共中央、国务院分别印发《交通强国建设纲要》《国家综合立体交通网规划纲要》，显著提升交通运输在社会主义现代化强国建设和现代化经济体系中的战略地位。广元位于国家综合立体交通网主骨架“6轴7廊8通道”中的京津冀—成渝主轴和西部陆海走廊的交汇处，</w:t>
      </w:r>
      <w:r>
        <w:rPr>
          <w:rFonts w:hint="eastAsia" w:ascii="仿宋_GB2312" w:hAnsi="仿宋_GB2312" w:eastAsia="仿宋_GB2312" w:cs="仿宋_GB2312"/>
          <w:sz w:val="32"/>
          <w:szCs w:val="32"/>
        </w:rPr>
        <w:t>省委十一届三次全会明确提出支持广元打造北向东出桥头堡、建设进出川门户型综合交通枢纽。市第八次党代会提出构建现代化基础设施体系，强化交通物流枢纽优势，打造全国性综合交通枢纽，建设国家物流枢纽承载城市。区第九次党代会</w:t>
      </w:r>
      <w:r>
        <w:rPr>
          <w:rFonts w:hint="eastAsia" w:ascii="仿宋_GB2312" w:hAnsi="仿宋_GB2312" w:eastAsia="仿宋_GB2312" w:cs="仿宋_GB2312"/>
          <w:bCs/>
          <w:sz w:val="32"/>
          <w:szCs w:val="32"/>
        </w:rPr>
        <w:t>提出推动交通运输转</w:t>
      </w:r>
      <w:r>
        <w:rPr>
          <w:rFonts w:hint="eastAsia" w:ascii="仿宋_GB2312" w:hAnsi="仿宋_GB2312" w:eastAsia="仿宋_GB2312" w:cs="仿宋_GB2312"/>
          <w:bCs/>
          <w:spacing w:val="6"/>
          <w:sz w:val="32"/>
          <w:szCs w:val="32"/>
        </w:rPr>
        <w:t>型发展、跨越发展、领先发展，积极构建现代化综合交通运输体</w:t>
      </w:r>
      <w:r>
        <w:rPr>
          <w:rFonts w:hint="eastAsia" w:ascii="仿宋_GB2312" w:hAnsi="仿宋_GB2312" w:eastAsia="仿宋_GB2312" w:cs="仿宋_GB2312"/>
          <w:bCs/>
          <w:sz w:val="32"/>
          <w:szCs w:val="32"/>
        </w:rPr>
        <w:t>系。</w:t>
      </w:r>
    </w:p>
    <w:p>
      <w:pPr>
        <w:overflowPunct w:val="0"/>
        <w:spacing w:line="576"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基于对上述发展基础及形势的研判，作为国民经济中基础性、先导性、战略性产业和重要服务性行业，利州交通运输发展面临新的机遇和挑战，要求和定位都有了新的变化。</w:t>
      </w:r>
    </w:p>
    <w:p>
      <w:pPr>
        <w:overflowPunct w:val="0"/>
        <w:adjustRightInd w:val="0"/>
        <w:snapToGrid w:val="0"/>
        <w:spacing w:line="576" w:lineRule="exact"/>
        <w:ind w:firstLine="643" w:firstLineChars="200"/>
        <w:outlineLvl w:val="1"/>
        <w:rPr>
          <w:rFonts w:hint="eastAsia" w:ascii="仿宋_GB2312" w:hAnsi="仿宋_GB2312" w:eastAsia="仿宋_GB2312" w:cs="仿宋_GB2312"/>
          <w:b/>
          <w:bCs/>
          <w:sz w:val="32"/>
          <w:szCs w:val="32"/>
        </w:rPr>
      </w:pPr>
      <w:bookmarkStart w:id="28" w:name="_Toc114070025"/>
      <w:bookmarkStart w:id="29" w:name="_Toc111036276"/>
      <w:r>
        <w:rPr>
          <w:rFonts w:hint="eastAsia" w:ascii="仿宋_GB2312" w:hAnsi="仿宋_GB2312" w:eastAsia="仿宋_GB2312" w:cs="仿宋_GB2312"/>
          <w:b/>
          <w:bCs/>
          <w:sz w:val="32"/>
          <w:szCs w:val="32"/>
        </w:rPr>
        <w:t>（二）发展要求</w:t>
      </w:r>
      <w:bookmarkEnd w:id="28"/>
      <w:bookmarkEnd w:id="29"/>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助力广元建设全国性综合交通枢纽，加快建设四川北向东出综合交通枢纽，要求畅通对外运输大通道。</w:t>
      </w:r>
      <w:r>
        <w:rPr>
          <w:rFonts w:hint="eastAsia" w:ascii="仿宋_GB2312" w:hAnsi="仿宋_GB2312" w:eastAsia="仿宋_GB2312" w:cs="仿宋_GB2312"/>
          <w:sz w:val="32"/>
          <w:szCs w:val="32"/>
        </w:rPr>
        <w:t>市委提出将要建设全国性综合交通枢纽，利州作为广元的核心区，区委提出将要打造四川北向东出综合交通枢纽。畅通对外运输大通道作为促进综合交通枢纽建设的关键举措，要求以高速铁路、高速公路、快速通道为主体，积极建设对外运输大通道，尤其需要加快畅通成渝地区双城经济圈至京津冀的交通运输大通道。</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推动建成综合实力一流的现代化市辖区再上新台阶，要求提升区域内部路网质量。</w:t>
      </w:r>
      <w:r>
        <w:rPr>
          <w:rFonts w:hint="eastAsia" w:ascii="仿宋_GB2312" w:hAnsi="仿宋_GB2312" w:eastAsia="仿宋_GB2312" w:cs="仿宋_GB2312"/>
          <w:sz w:val="32"/>
          <w:szCs w:val="32"/>
        </w:rPr>
        <w:t>区委提出要全力推动城乡融合发展、三江新区利州辖区建设，建设美丽宜居乡村，打造高品质生活宜居的样板，全面建设区域高质量发展示范区，奋力推动新时代全面建成综合实力一流的现代化市辖区再上新台阶。构建高质量的内部路网作为提升城市能级、推进城乡一体化发展的重要前提，要求注重区域内部交通的可达性、公平性、灵活性和适应性，建好交通主骨架，完善城市内部交通体系，扩大对重点乡镇、中心镇村的覆盖范围，尤其提高偏远乡镇、边界区域以及有撤并关系的镇村间公路的互联互通水平。</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建设</w:t>
      </w:r>
      <w:bookmarkStart w:id="30" w:name="_Hlk67469533"/>
      <w:r>
        <w:rPr>
          <w:rFonts w:hint="eastAsia" w:ascii="仿宋_GB2312" w:hAnsi="仿宋_GB2312" w:eastAsia="仿宋_GB2312" w:cs="仿宋_GB2312"/>
          <w:bCs/>
          <w:sz w:val="32"/>
          <w:szCs w:val="32"/>
        </w:rPr>
        <w:t>川陕甘结合部现代化中心城市核心区</w:t>
      </w:r>
      <w:bookmarkEnd w:id="30"/>
      <w:r>
        <w:rPr>
          <w:rFonts w:hint="eastAsia" w:ascii="仿宋_GB2312" w:hAnsi="仿宋_GB2312" w:eastAsia="仿宋_GB2312" w:cs="仿宋_GB2312"/>
          <w:bCs/>
          <w:sz w:val="32"/>
          <w:szCs w:val="32"/>
        </w:rPr>
        <w:t>，要求提升客运服务质量。</w:t>
      </w:r>
      <w:r>
        <w:rPr>
          <w:rFonts w:hint="eastAsia" w:ascii="仿宋_GB2312" w:hAnsi="仿宋_GB2312" w:eastAsia="仿宋_GB2312" w:cs="仿宋_GB2312"/>
          <w:sz w:val="32"/>
          <w:szCs w:val="32"/>
        </w:rPr>
        <w:t>广元地处川陕甘三省结合部，省委明确提出支持广元打造川陕甘结合部区域中心城市。利州作为广元主城区，是未来新型城镇化建设的主阵地，区委提出未来将积极打造川陕甘结合部现代化中心城市核心区。利州要增强城市魅力、建设高品质现代化城市，要求顺应人口出行模式及需求特征，提高客运出行的便捷性、舒适性，推进城乡客运一体化，推广个性化、多样化等客运服务模式。</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建设川陕甘结合部商贸物流基地，要求全力提升货运服务效率。</w:t>
      </w:r>
      <w:r>
        <w:rPr>
          <w:rFonts w:hint="eastAsia" w:ascii="仿宋_GB2312" w:hAnsi="仿宋_GB2312" w:eastAsia="仿宋_GB2312" w:cs="仿宋_GB2312"/>
          <w:sz w:val="32"/>
          <w:szCs w:val="32"/>
        </w:rPr>
        <w:t>利州是出川货物的重要集散点，蓉欧班列和渝新欧班列均经过利州，广元动车运用所、广元·川陕甘高铁快运物流基地都已落户利州。区委明确提出围绕广元建设国家物流枢纽承载城市的目标，打造川陕甘结合部商贸物流基地。高效率的货物运输服务作为物流集散中心的重要体现，需要加强现代物流体系建设，加快建设综合货运物流基地，积极构建物流通道基础网络，优化运输结构，大力发展多式联运，创新货运服务模式，提升物流运输效率。</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建设成渝地区产业协作配套基地，要求加快培育“交通＋”融合发展新模式。</w:t>
      </w:r>
      <w:r>
        <w:rPr>
          <w:rFonts w:hint="eastAsia" w:ascii="仿宋_GB2312" w:hAnsi="仿宋_GB2312" w:eastAsia="仿宋_GB2312" w:cs="仿宋_GB2312"/>
          <w:sz w:val="32"/>
          <w:szCs w:val="32"/>
        </w:rPr>
        <w:t>利州正加快构建“2＋N”新型工业体系、“5＋3”现代农业产业体系和“4＋5”现代服务业体系，打造配套互补、协同错位发展的产业链集群。区委明确提出要积极融入成渝地区绿色产业链条，建设成渝地区产业协作配套基地。交通运输作为连接供应地和消费地的重要支撑，要求交通与主要旅游景区、重点产业园区、特色农业产区等相关产业项目实现统筹协调发展，创新“交通＋旅游”“交通＋产业”融合发展新路径，做强交旅融合、交产融合发展品牌。</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建设西部地区生态康养旅游基地，要求打造绿色智慧平安交通运输体系。</w:t>
      </w:r>
      <w:r>
        <w:rPr>
          <w:rFonts w:hint="eastAsia" w:ascii="仿宋_GB2312" w:hAnsi="仿宋_GB2312" w:eastAsia="仿宋_GB2312" w:cs="仿宋_GB2312"/>
          <w:sz w:val="32"/>
          <w:szCs w:val="32"/>
        </w:rPr>
        <w:t>市委七届十二次全会提出加快建设生态康养“后花园”，区委八届十二次全会提出构建面向成渝地区生态康养示范区，把“绿水青山”转化为生态产业和生态产品，推动实现生态产业化和产业生态化。区委也明确提出做精做优武则天文化旅游度假区、月坝旅游度假区、天曌山旅游度假区等生态康养旅游景区，建设西部地区生态康养旅游基地。交通作为旅游开发、文化传承的重要载体，要求加快推进交通绿色低碳发展，注重生态环境保护修复，集约节约资源利用，促进交通与自然和谐发展；加快推进智慧交通发展，注重科技赋能，推进既有设施数字化、网联化，系统布局新型设施；加快推进平安交通发展，注重提升设施本质安全水平，增强设施韧性，完善交通运输安全与应急保障体系。</w:t>
      </w:r>
    </w:p>
    <w:p>
      <w:pPr>
        <w:overflowPunct w:val="0"/>
        <w:adjustRightInd w:val="0"/>
        <w:snapToGrid w:val="0"/>
        <w:spacing w:line="576" w:lineRule="exact"/>
        <w:ind w:firstLine="640" w:firstLineChars="200"/>
        <w:outlineLvl w:val="0"/>
        <w:rPr>
          <w:rFonts w:hint="eastAsia" w:ascii="仿宋_GB2312" w:hAnsi="仿宋_GB2312" w:eastAsia="仿宋_GB2312" w:cs="仿宋_GB2312"/>
          <w:sz w:val="32"/>
          <w:szCs w:val="32"/>
        </w:rPr>
      </w:pPr>
      <w:bookmarkStart w:id="31" w:name="_Toc114070026"/>
      <w:bookmarkStart w:id="32" w:name="_Toc111036277"/>
      <w:r>
        <w:rPr>
          <w:rFonts w:hint="eastAsia" w:ascii="仿宋_GB2312" w:hAnsi="仿宋_GB2312" w:eastAsia="仿宋_GB2312" w:cs="仿宋_GB2312"/>
          <w:sz w:val="32"/>
          <w:szCs w:val="32"/>
        </w:rPr>
        <w:t>四、总体思路</w:t>
      </w:r>
      <w:bookmarkEnd w:id="31"/>
      <w:bookmarkEnd w:id="32"/>
    </w:p>
    <w:p>
      <w:pPr>
        <w:overflowPunct w:val="0"/>
        <w:adjustRightInd w:val="0"/>
        <w:snapToGrid w:val="0"/>
        <w:spacing w:line="576" w:lineRule="exact"/>
        <w:ind w:firstLine="643" w:firstLineChars="200"/>
        <w:outlineLvl w:val="1"/>
        <w:rPr>
          <w:rFonts w:hint="eastAsia" w:ascii="仿宋_GB2312" w:hAnsi="仿宋_GB2312" w:eastAsia="仿宋_GB2312" w:cs="仿宋_GB2312"/>
          <w:b/>
          <w:bCs/>
          <w:sz w:val="32"/>
          <w:szCs w:val="32"/>
        </w:rPr>
      </w:pPr>
      <w:bookmarkStart w:id="33" w:name="_Toc111036278"/>
      <w:bookmarkStart w:id="34" w:name="_Toc114070027"/>
      <w:r>
        <w:rPr>
          <w:rFonts w:hint="eastAsia" w:ascii="仿宋_GB2312" w:hAnsi="仿宋_GB2312" w:eastAsia="仿宋_GB2312" w:cs="仿宋_GB2312"/>
          <w:b/>
          <w:bCs/>
          <w:sz w:val="32"/>
          <w:szCs w:val="32"/>
        </w:rPr>
        <w:t>（一）指导思想</w:t>
      </w:r>
      <w:bookmarkEnd w:id="33"/>
      <w:bookmarkEnd w:id="34"/>
    </w:p>
    <w:p>
      <w:pPr>
        <w:overflowPunct w:val="0"/>
        <w:spacing w:line="576" w:lineRule="exact"/>
        <w:ind w:firstLine="64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习近平新时代中国特色社会主义思想为指导，深入贯彻习近平总书记对四川工作系列重要指示精神，全面贯彻党的十九大和十九届二中、三中、四中、五中、六中全会精神，全面落实省第十二次党代会、市第八次党代会、区第九次党代会部署，立足新发展阶段，贯彻新发展理念，融入新发展格局，以高质量发展为主题，围绕广元建设全国性综合交通枢纽的定位精准发力，围绕市委“加快建设川陕甘结合部现代化中心城市”战略精准施策，围绕利州交通短板和弱项精准投放，以利州“三基地一枢纽”的战略定位为牵引，以“畅通道、优网络、强站场、优服务、提质量、深融合、重治理”为导向，着力提高交通基础设施质量，着力增强交通运输服务能力，着力提升交通融合发展水平，着力完善交通行业治理体系，加快构建安全、便捷、高效、绿色、经济的现代综合交通运输体系，为加快建设川陕甘结合部现代化中心城市核心区，全面建设社会主义现代化利州开好局、起好步提供坚实有力的交通支撑和保障。</w:t>
      </w:r>
    </w:p>
    <w:p>
      <w:pPr>
        <w:overflowPunct w:val="0"/>
        <w:adjustRightInd w:val="0"/>
        <w:snapToGrid w:val="0"/>
        <w:spacing w:line="576" w:lineRule="exact"/>
        <w:ind w:firstLine="643" w:firstLineChars="200"/>
        <w:outlineLvl w:val="1"/>
        <w:rPr>
          <w:rFonts w:hint="eastAsia" w:ascii="仿宋_GB2312" w:hAnsi="仿宋_GB2312" w:eastAsia="仿宋_GB2312" w:cs="仿宋_GB2312"/>
          <w:b/>
          <w:bCs/>
          <w:sz w:val="32"/>
          <w:szCs w:val="32"/>
        </w:rPr>
      </w:pPr>
      <w:bookmarkStart w:id="35" w:name="_Toc111036279"/>
      <w:bookmarkStart w:id="36" w:name="_Toc114070028"/>
      <w:r>
        <w:rPr>
          <w:rFonts w:hint="eastAsia" w:ascii="仿宋_GB2312" w:hAnsi="仿宋_GB2312" w:eastAsia="仿宋_GB2312" w:cs="仿宋_GB2312"/>
          <w:b/>
          <w:bCs/>
          <w:sz w:val="32"/>
          <w:szCs w:val="32"/>
        </w:rPr>
        <w:t>（二）基本原则</w:t>
      </w:r>
      <w:bookmarkEnd w:id="35"/>
      <w:bookmarkEnd w:id="36"/>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40"/>
        </w:rPr>
        <w:t>服务大局，先行引领。</w:t>
      </w:r>
      <w:r>
        <w:rPr>
          <w:rFonts w:hint="eastAsia" w:ascii="仿宋_GB2312" w:hAnsi="仿宋_GB2312" w:eastAsia="仿宋_GB2312" w:cs="仿宋_GB2312"/>
          <w:sz w:val="32"/>
          <w:szCs w:val="32"/>
        </w:rPr>
        <w:t>立足广元、面向全省、放眼全国，围绕成渝地区双城经济圈建设、川陕革命老区振兴发展、“一干多支、五区协同”区域发展战略以及“加快建设川陕甘结合部现代化中心城市”战略，结合位于川陕甘结合部中心区域、京津冀—成渝主轴、西部陆海走廊等区位，坚持适度超前，系统谋划五年发展规划和十五年远景目标，构建四向畅通、能力充分的对外运输大通道和高效畅达、互联互通的内部高质量路网，为服务人民、提升城市发展能级、</w:t>
      </w:r>
      <w:bookmarkStart w:id="37" w:name="_Hlk70344475"/>
      <w:r>
        <w:rPr>
          <w:rFonts w:hint="eastAsia" w:ascii="仿宋_GB2312" w:hAnsi="仿宋_GB2312" w:eastAsia="仿宋_GB2312" w:cs="仿宋_GB2312"/>
          <w:sz w:val="32"/>
          <w:szCs w:val="32"/>
        </w:rPr>
        <w:t>增强辐射引领带动作用</w:t>
      </w:r>
      <w:bookmarkEnd w:id="37"/>
      <w:r>
        <w:rPr>
          <w:rFonts w:hint="eastAsia" w:ascii="仿宋_GB2312" w:hAnsi="仿宋_GB2312" w:eastAsia="仿宋_GB2312" w:cs="仿宋_GB2312"/>
          <w:sz w:val="32"/>
          <w:szCs w:val="32"/>
        </w:rPr>
        <w:t>提供有力支撑。</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40"/>
        </w:rPr>
        <w:t>统筹衔接，融合发展。</w:t>
      </w:r>
      <w:r>
        <w:rPr>
          <w:rFonts w:hint="eastAsia" w:ascii="仿宋_GB2312" w:hAnsi="仿宋_GB2312" w:eastAsia="仿宋_GB2312" w:cs="仿宋_GB2312"/>
          <w:sz w:val="32"/>
          <w:szCs w:val="32"/>
        </w:rPr>
        <w:t>统筹推进铁路、公路、水运、航空等基础设施建设，加强各运输方式由相对独立发展转向一体化融合发展。统筹推进城乡区域交通运输协调发展。统筹推进基础设施建设向建设、管理、养护、运营全面发展转变。统筹推进交通运输与旅游、产业等资源协调发展，积极培育“交通＋”融合发展新业态。</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40"/>
        </w:rPr>
        <w:t>因地制宜，突出重点。</w:t>
      </w:r>
      <w:r>
        <w:rPr>
          <w:rFonts w:hint="eastAsia" w:ascii="仿宋_GB2312" w:hAnsi="仿宋_GB2312" w:eastAsia="仿宋_GB2312" w:cs="仿宋_GB2312"/>
          <w:sz w:val="32"/>
          <w:szCs w:val="32"/>
        </w:rPr>
        <w:t>坚持问题导向、目标导向和需求导向相结合，立足利州发展基础</w:t>
      </w:r>
      <w:r>
        <w:rPr>
          <w:rFonts w:hint="eastAsia" w:ascii="仿宋_GB2312" w:hAnsi="仿宋_GB2312" w:eastAsia="仿宋_GB2312" w:cs="仿宋_GB2312"/>
          <w:bCs/>
          <w:kern w:val="0"/>
          <w:sz w:val="32"/>
          <w:szCs w:val="32"/>
        </w:rPr>
        <w:t>，找到发展重点和突破口</w:t>
      </w:r>
      <w:r>
        <w:rPr>
          <w:rFonts w:hint="eastAsia" w:ascii="仿宋_GB2312" w:hAnsi="仿宋_GB2312" w:eastAsia="仿宋_GB2312" w:cs="仿宋_GB2312"/>
          <w:sz w:val="32"/>
          <w:szCs w:val="32"/>
        </w:rPr>
        <w:t>，在交通发展薄弱区域加快补齐交通短板，在交通发展较好的区域加快提升交通质量。特别是要紧抓作为广元核心区这个“牛鼻子”，以“扩容、扩能、加密、保畅”为重点，加强与成渝地区双城经济圈、关中天水经济区的联系，强化区域与周边区县的互联互通，提升区域中心城区与边远乡镇、农村片区的畅通水平。</w:t>
      </w:r>
    </w:p>
    <w:p>
      <w:pPr>
        <w:overflowPunct w:val="0"/>
        <w:adjustRightInd w:val="0"/>
        <w:snapToGrid w:val="0"/>
        <w:spacing w:line="576" w:lineRule="exact"/>
        <w:ind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bCs/>
          <w:sz w:val="32"/>
          <w:szCs w:val="40"/>
        </w:rPr>
        <w:t>绿色平安，智慧创新。</w:t>
      </w:r>
      <w:r>
        <w:rPr>
          <w:rFonts w:hint="eastAsia" w:ascii="仿宋_GB2312" w:hAnsi="仿宋_GB2312" w:eastAsia="仿宋_GB2312" w:cs="仿宋_GB2312"/>
          <w:sz w:val="32"/>
          <w:szCs w:val="32"/>
        </w:rPr>
        <w:t>注重绿色集约、安全可靠、智能先进的有效统一。</w:t>
      </w:r>
      <w:r>
        <w:rPr>
          <w:rFonts w:hint="eastAsia" w:ascii="仿宋_GB2312" w:hAnsi="仿宋_GB2312" w:eastAsia="仿宋_GB2312" w:cs="仿宋_GB2312"/>
          <w:sz w:val="32"/>
          <w:szCs w:val="40"/>
        </w:rPr>
        <w:t>注重国土空间开发和生态环境保护</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40"/>
        </w:rPr>
        <w:t>优化既有存量，合理布局增量，将绿色发展理念贯穿到综合交通运输发展的各个环节。强化交通运输发展与安全生产的红线意识和底线思维，增强交通运输安全应急保障能力。注重科技创新赋能交通发展，推</w:t>
      </w:r>
      <w:r>
        <w:rPr>
          <w:rFonts w:hint="eastAsia" w:ascii="仿宋_GB2312" w:hAnsi="仿宋_GB2312" w:eastAsia="仿宋_GB2312" w:cs="仿宋_GB2312"/>
          <w:bCs/>
          <w:spacing w:val="6"/>
          <w:sz w:val="32"/>
          <w:szCs w:val="32"/>
        </w:rPr>
        <w:t>广新一代通信技术、大数据等应用场景，提升基础设施数字化水</w:t>
      </w:r>
      <w:r>
        <w:rPr>
          <w:rFonts w:hint="eastAsia" w:ascii="仿宋_GB2312" w:hAnsi="仿宋_GB2312" w:eastAsia="仿宋_GB2312" w:cs="仿宋_GB2312"/>
          <w:sz w:val="32"/>
          <w:szCs w:val="40"/>
        </w:rPr>
        <w:t>平。</w:t>
      </w:r>
    </w:p>
    <w:p>
      <w:pPr>
        <w:overflowPunct w:val="0"/>
        <w:adjustRightInd w:val="0"/>
        <w:snapToGrid w:val="0"/>
        <w:spacing w:line="576" w:lineRule="exact"/>
        <w:ind w:firstLine="643" w:firstLineChars="200"/>
        <w:outlineLvl w:val="1"/>
        <w:rPr>
          <w:rFonts w:hint="eastAsia" w:ascii="仿宋_GB2312" w:hAnsi="仿宋_GB2312" w:eastAsia="仿宋_GB2312" w:cs="仿宋_GB2312"/>
          <w:b/>
          <w:bCs/>
          <w:sz w:val="32"/>
          <w:szCs w:val="32"/>
        </w:rPr>
      </w:pPr>
      <w:bookmarkStart w:id="38" w:name="_Toc114070029"/>
      <w:bookmarkStart w:id="39" w:name="_Toc111036280"/>
      <w:r>
        <w:rPr>
          <w:rFonts w:hint="eastAsia" w:ascii="仿宋_GB2312" w:hAnsi="仿宋_GB2312" w:eastAsia="仿宋_GB2312" w:cs="仿宋_GB2312"/>
          <w:b/>
          <w:bCs/>
          <w:sz w:val="32"/>
          <w:szCs w:val="32"/>
        </w:rPr>
        <w:t>（三）发展思路</w:t>
      </w:r>
      <w:bookmarkEnd w:id="38"/>
      <w:bookmarkEnd w:id="39"/>
    </w:p>
    <w:p>
      <w:pPr>
        <w:pStyle w:val="2"/>
        <w:overflowPunct w:val="0"/>
        <w:spacing w:after="0" w:line="576" w:lineRule="exact"/>
        <w:ind w:firstLine="64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国家综合立体交通网规划纲要》将广元纳入80个左右全国性综合交通枢纽城市之一、省委和市委明确提出打造全国性综合交通枢纽、区委提出建设川陕甘结合部现代化中心城市核心区等战略部署，“十四五”时期利州综合交通运输发展战略定位为：</w:t>
      </w:r>
      <w:bookmarkStart w:id="40" w:name="_Hlk66990931"/>
      <w:r>
        <w:rPr>
          <w:rFonts w:hint="eastAsia" w:ascii="仿宋_GB2312" w:hAnsi="仿宋_GB2312" w:eastAsia="仿宋_GB2312" w:cs="仿宋_GB2312"/>
          <w:sz w:val="32"/>
          <w:szCs w:val="32"/>
        </w:rPr>
        <w:t>广元全国性综合交通枢纽的核心区</w:t>
      </w:r>
      <w:bookmarkEnd w:id="40"/>
      <w:r>
        <w:rPr>
          <w:rFonts w:hint="eastAsia" w:ascii="仿宋_GB2312" w:hAnsi="仿宋_GB2312" w:eastAsia="仿宋_GB2312" w:cs="仿宋_GB2312"/>
          <w:sz w:val="32"/>
          <w:szCs w:val="32"/>
        </w:rPr>
        <w:t>。</w:t>
      </w:r>
    </w:p>
    <w:p>
      <w:pPr>
        <w:pStyle w:val="2"/>
        <w:overflowPunct w:val="0"/>
        <w:spacing w:after="0" w:line="576" w:lineRule="exact"/>
        <w:ind w:firstLine="64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未来利州综合交通运输发展将抢抓广元建设全国性交通枢纽的机遇，发挥地处广元核心区域的区位优势，围绕“畅通道、优网络、强站场、优服务、提质量、深融合、重治理”的发展思路，加快实施铁路、高速公路等一批可显著提升对外联系的大通道，优化布局境内国省干线、综合枢纽等交通基础设施，积极构建综合交通运输高质量发展体系。</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40"/>
        </w:rPr>
        <w:t>“畅通道”——支撑广元建设全国性综合交通枢纽，增强辐射引领带动作用。</w:t>
      </w:r>
      <w:r>
        <w:rPr>
          <w:rFonts w:hint="eastAsia" w:ascii="仿宋_GB2312" w:hAnsi="仿宋_GB2312" w:eastAsia="仿宋_GB2312" w:cs="仿宋_GB2312"/>
          <w:sz w:val="32"/>
          <w:szCs w:val="32"/>
        </w:rPr>
        <w:t>以强化与成渝双核联系为重点，积极融入成渝地区双城经济圈；以建设四川北向东出综合交通枢纽为抓手，加强与陕西、甘肃等地联系，畅通周边市州联系通道；以支撑市域交通一体化发展为导向，提升与周边区县的互联互通水平，支撑川陕甘结合部现代化中心城市核心区建设。</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40"/>
        </w:rPr>
        <w:t>“优网络”——提升内部路网互联互通水平，增强城市承载力。</w:t>
      </w:r>
      <w:r>
        <w:rPr>
          <w:rFonts w:hint="eastAsia" w:ascii="仿宋_GB2312" w:hAnsi="仿宋_GB2312" w:eastAsia="仿宋_GB2312" w:cs="仿宋_GB2312"/>
          <w:sz w:val="32"/>
          <w:szCs w:val="32"/>
        </w:rPr>
        <w:t>围绕提升区域中心城区以及城乡之间的路网通达水平，着力加强国省干线提档升级，着力推动农村公路提质扩面，建设一批快速通道、旅游路、产业路。</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40"/>
        </w:rPr>
        <w:t>“强站场”——加快建设广元全国性综合交通枢纽的核心区，提升城市枢纽能级。</w:t>
      </w:r>
      <w:r>
        <w:rPr>
          <w:rFonts w:hint="eastAsia" w:ascii="仿宋_GB2312" w:hAnsi="仿宋_GB2312" w:eastAsia="仿宋_GB2312" w:cs="仿宋_GB2312"/>
          <w:sz w:val="32"/>
          <w:szCs w:val="32"/>
        </w:rPr>
        <w:t>围绕加快建设综合运输枢纽体系，着力加强可衔接多种运输方式的综合性枢纽建设，着力推动单一枢纽站场向综合性服务站场转型升级，着力加快建设多式联运货运枢纽或物流园区，不断完善重要枢纽集疏运体系。</w:t>
      </w:r>
    </w:p>
    <w:p>
      <w:pPr>
        <w:overflowPunct w:val="0"/>
        <w:spacing w:line="576" w:lineRule="exact"/>
        <w:ind w:firstLine="640"/>
        <w:rPr>
          <w:rFonts w:hint="eastAsia" w:ascii="仿宋_GB2312" w:hAnsi="仿宋_GB2312" w:eastAsia="仿宋_GB2312" w:cs="仿宋_GB2312"/>
          <w:bCs/>
          <w:sz w:val="32"/>
          <w:szCs w:val="40"/>
        </w:rPr>
      </w:pPr>
      <w:r>
        <w:rPr>
          <w:rFonts w:hint="eastAsia" w:ascii="仿宋_GB2312" w:hAnsi="仿宋_GB2312" w:eastAsia="仿宋_GB2312" w:cs="仿宋_GB2312"/>
          <w:bCs/>
          <w:sz w:val="32"/>
          <w:szCs w:val="40"/>
        </w:rPr>
        <w:t>“优服务”——打造高品质出行服务和高效率货物运输体系。</w:t>
      </w:r>
      <w:r>
        <w:rPr>
          <w:rFonts w:hint="eastAsia" w:ascii="仿宋_GB2312" w:hAnsi="仿宋_GB2312" w:eastAsia="仿宋_GB2312" w:cs="仿宋_GB2312"/>
          <w:sz w:val="32"/>
          <w:szCs w:val="32"/>
        </w:rPr>
        <w:t>围绕提升运输服务质效，着力加快推进铁路、公路、水运、航空等运输服务的有效衔接，着力推进城乡客运一体化、乡村运输“金通工程”发展，着力构建绿色高效的现代物流体系，尤其注重畅通对农村片区、边远区域的货运物流通道。</w:t>
      </w:r>
    </w:p>
    <w:p>
      <w:pPr>
        <w:overflowPunct w:val="0"/>
        <w:spacing w:line="576"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bCs/>
          <w:sz w:val="32"/>
          <w:szCs w:val="40"/>
        </w:rPr>
        <w:t>“提质量”——打造现代化综合交通运输高质量发展样板区。</w:t>
      </w:r>
      <w:r>
        <w:rPr>
          <w:rFonts w:hint="eastAsia" w:ascii="仿宋_GB2312" w:hAnsi="仿宋_GB2312" w:eastAsia="仿宋_GB2312" w:cs="仿宋_GB2312"/>
          <w:sz w:val="32"/>
          <w:szCs w:val="32"/>
        </w:rPr>
        <w:t>围绕现代化和高质量发展要求，大力发展智慧交通，积极推进新型交通基础设施建设，加快实现交通数据共享、信息互通；加快发展绿色交通，持续优化运输结构，扩大新能源、清洁能源等使用范围；持续打造平安交通，加强安保工程、安全执法行动等实施，提升交通应急救援能力。</w:t>
      </w:r>
    </w:p>
    <w:p>
      <w:pPr>
        <w:overflowPunct w:val="0"/>
        <w:spacing w:line="576"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bCs/>
          <w:sz w:val="32"/>
          <w:szCs w:val="40"/>
        </w:rPr>
        <w:t>“深融合”——推进交通与特色优势产业深度融合发展。</w:t>
      </w:r>
      <w:r>
        <w:rPr>
          <w:rFonts w:hint="eastAsia" w:ascii="仿宋_GB2312" w:hAnsi="仿宋_GB2312" w:eastAsia="仿宋_GB2312" w:cs="仿宋_GB2312"/>
          <w:sz w:val="32"/>
          <w:szCs w:val="32"/>
        </w:rPr>
        <w:t>围绕区域内主要旅游景区、重要产业园区等经济节点分布，着力加强交通运输对产业的衔接与支撑，培育“交通＋旅游”“交通＋产业”融合发展新态势，加快建设“快进慢游”旅游交通网络。</w:t>
      </w:r>
    </w:p>
    <w:p>
      <w:pPr>
        <w:overflowPunct w:val="0"/>
        <w:spacing w:line="576"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bCs/>
          <w:sz w:val="32"/>
          <w:szCs w:val="40"/>
        </w:rPr>
        <w:t>“重治理”——提升交通行业现代化治理能力。</w:t>
      </w:r>
      <w:r>
        <w:rPr>
          <w:rFonts w:hint="eastAsia" w:ascii="仿宋_GB2312" w:hAnsi="仿宋_GB2312" w:eastAsia="仿宋_GB2312" w:cs="仿宋_GB2312"/>
          <w:sz w:val="32"/>
          <w:szCs w:val="32"/>
        </w:rPr>
        <w:t>围绕提升公路管养能力以及交通运输治理能力，着力完善公路管养体制机制体系，加强养护中心、养护管理站等配套设施建设，积极推进管理技术向专业化转型，加强行业监管、市场治理、行政执法等工作力度，完善行业治理体系。</w:t>
      </w:r>
    </w:p>
    <w:p>
      <w:pPr>
        <w:overflowPunct w:val="0"/>
        <w:adjustRightInd w:val="0"/>
        <w:snapToGrid w:val="0"/>
        <w:spacing w:line="576" w:lineRule="exact"/>
        <w:ind w:firstLine="643" w:firstLineChars="200"/>
        <w:outlineLvl w:val="1"/>
        <w:rPr>
          <w:rFonts w:hint="eastAsia" w:ascii="仿宋_GB2312" w:hAnsi="仿宋_GB2312" w:eastAsia="仿宋_GB2312" w:cs="仿宋_GB2312"/>
          <w:b/>
          <w:bCs/>
          <w:sz w:val="32"/>
          <w:szCs w:val="32"/>
        </w:rPr>
      </w:pPr>
      <w:bookmarkStart w:id="41" w:name="_Toc114070030"/>
      <w:bookmarkStart w:id="42" w:name="_Toc111036281"/>
      <w:r>
        <w:rPr>
          <w:rFonts w:hint="eastAsia" w:ascii="仿宋_GB2312" w:hAnsi="仿宋_GB2312" w:eastAsia="仿宋_GB2312" w:cs="仿宋_GB2312"/>
          <w:b/>
          <w:bCs/>
          <w:sz w:val="32"/>
          <w:szCs w:val="32"/>
        </w:rPr>
        <w:t>（四）规划目标</w:t>
      </w:r>
      <w:bookmarkEnd w:id="41"/>
      <w:bookmarkEnd w:id="42"/>
    </w:p>
    <w:p>
      <w:pPr>
        <w:overflowPunct w:val="0"/>
        <w:adjustRightInd w:val="0"/>
        <w:snapToGrid w:val="0"/>
        <w:spacing w:line="576"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（1）“十四五”发展目标。</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到2025年，基本建成广元全国性综合交通枢纽的核心区，有效发挥核心区的引领带动作用，有力支撑广元建设全国性综合交通枢纽和交通强市，基本形成安全、便捷、高效、绿色、经济的现代化综合交通运输体系，有力支撑川陕甘结合部现代化中心城市核心区建设。</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40"/>
        </w:rPr>
        <w:t>对外运输大通道运能明显提升。</w:t>
      </w:r>
      <w:r>
        <w:rPr>
          <w:rFonts w:hint="eastAsia" w:ascii="仿宋_GB2312" w:hAnsi="仿宋_GB2312" w:eastAsia="仿宋_GB2312" w:cs="仿宋_GB2312"/>
          <w:sz w:val="32"/>
          <w:szCs w:val="32"/>
        </w:rPr>
        <w:t>有序推进广巴铁路扩能改造，畅通至达州、万州铁水联运货运通道。完成京昆高速绵广、广陕段扩容，有效提升四川东出北上通道能力。完成广元盘龙机场改扩建工程，机场运行保障能力进一步提升。</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40"/>
        </w:rPr>
        <w:t>内部路网质量更优。</w:t>
      </w:r>
      <w:r>
        <w:rPr>
          <w:rFonts w:hint="eastAsia" w:ascii="仿宋_GB2312" w:hAnsi="仿宋_GB2312" w:eastAsia="仿宋_GB2312" w:cs="仿宋_GB2312"/>
          <w:sz w:val="32"/>
          <w:szCs w:val="32"/>
        </w:rPr>
        <w:t>全区公路网总里程达到约2991公里，其中高速公路119公里，普通国省道330公里，农村公路2542公里，实现75％的普通省道达到三级及以上标准、100％的乡镇实现三级及以上公路连通、100％的30户以上自然村（组）通硬化路。建成一批乡村振兴产业路旅游路，实现三级及以上公路覆盖所有重要经济节点、AAA级以上旅游经济点。公路管养水平和技术状况优良率明显提升，普通国道、普通省道技术状况（MQI）优良路率、农村公路技术状况优良中等率分别达到90％、85％、85％。</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40"/>
        </w:rPr>
        <w:t>枢纽站场体系更完善。</w:t>
      </w:r>
      <w:r>
        <w:rPr>
          <w:rFonts w:hint="eastAsia" w:ascii="仿宋_GB2312" w:hAnsi="仿宋_GB2312" w:eastAsia="仿宋_GB2312" w:cs="仿宋_GB2312"/>
          <w:sz w:val="32"/>
          <w:szCs w:val="32"/>
        </w:rPr>
        <w:t>完成衔接广元盘龙机场的综合枢纽站建设，促进航空、铁路、公路等运输方式有效衔接。完成上西客运站、南河客运站等普通公路客运站改扩建工程，推进道路客运综合发展。建成“一站多能”乡镇综合运输服务站8个。高标准建成广元·川陕甘高铁快运物流基地、广元铁路枢纽综合物流基地，推进铁路货运走在全省前列。加快完善回龙河工业园区至广元·高铁快运物流基地连接线、广元·高铁快运物流基地进场道路等集疏运体系。</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40"/>
        </w:rPr>
        <w:t>客货运输服务质效更高。</w:t>
      </w:r>
      <w:r>
        <w:rPr>
          <w:rFonts w:hint="eastAsia" w:ascii="仿宋_GB2312" w:hAnsi="仿宋_GB2312" w:eastAsia="仿宋_GB2312" w:cs="仿宋_GB2312"/>
          <w:sz w:val="32"/>
          <w:szCs w:val="32"/>
        </w:rPr>
        <w:t>航空快运服务系统更加完善，新开辟8条以上航线，累计覆盖国内20个城市，盘龙机场旅客吞吐量突破100万人次。至成都、重庆、西安、兰州等国内主要城市的动车开行频次进一步加密。境内实现城乡公交、客运全覆盖，偏远镇村实行客运班线片区化运营，乡村运输“金通工程”深入实施，定制、预约、响应式客运稳步开行。多式联运等先进组织模式得到大力发展，干线运输和末端配送网络衔接顺畅，“工业品下乡”“农产品进城”双向流通渠道更加通畅，“邮政在乡”“快递七进”</w:t>
      </w:r>
      <w:r>
        <w:rPr>
          <w:rStyle w:val="22"/>
          <w:rFonts w:hint="eastAsia" w:ascii="仿宋_GB2312" w:hAnsi="仿宋_GB2312" w:eastAsia="仿宋_GB2312" w:cs="仿宋_GB2312"/>
        </w:rPr>
        <w:footnoteReference w:id="4"/>
      </w:r>
      <w:r>
        <w:rPr>
          <w:rFonts w:hint="eastAsia" w:ascii="仿宋_GB2312" w:hAnsi="仿宋_GB2312" w:eastAsia="仿宋_GB2312" w:cs="仿宋_GB2312"/>
          <w:sz w:val="32"/>
          <w:szCs w:val="32"/>
        </w:rPr>
        <w:t>“快递下乡”</w:t>
      </w:r>
      <w:r>
        <w:rPr>
          <w:rStyle w:val="22"/>
          <w:rFonts w:hint="eastAsia" w:ascii="仿宋_GB2312" w:hAnsi="仿宋_GB2312" w:eastAsia="仿宋_GB2312" w:cs="仿宋_GB2312"/>
        </w:rPr>
        <w:footnoteReference w:id="5"/>
      </w:r>
      <w:r>
        <w:rPr>
          <w:rFonts w:hint="eastAsia" w:ascii="仿宋_GB2312" w:hAnsi="仿宋_GB2312" w:eastAsia="仿宋_GB2312" w:cs="仿宋_GB2312"/>
          <w:sz w:val="32"/>
          <w:szCs w:val="32"/>
        </w:rPr>
        <w:t>等工程深入推进。</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40"/>
        </w:rPr>
        <w:t>智慧绿色平安交通建设取得突破。</w:t>
      </w:r>
      <w:r>
        <w:rPr>
          <w:rFonts w:hint="eastAsia" w:ascii="仿宋_GB2312" w:hAnsi="仿宋_GB2312" w:eastAsia="仿宋_GB2312" w:cs="仿宋_GB2312"/>
          <w:sz w:val="32"/>
          <w:szCs w:val="32"/>
        </w:rPr>
        <w:t>智慧交通建设取得积极进展，交通运输信息化、智慧化水平明显提升，数据采集与共享、运行监测、网络安全等信息管理能力进一步提高。绿色交通建设不断推进，基础设施建设节约集约利用率明显提高，交通运输领域C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排放强度明显减少，新能源和清洁能源装备全面推广。平安交通稳步建设，交通运输安全隐患基本消除，跨区域、跨部门安全风险防控体系、应急救援体系、应急运输体系进一步完善。</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40"/>
        </w:rPr>
        <w:t>交通创新融合发展加快成势。</w:t>
      </w:r>
      <w:r>
        <w:rPr>
          <w:rFonts w:hint="eastAsia" w:ascii="仿宋_GB2312" w:hAnsi="仿宋_GB2312" w:eastAsia="仿宋_GB2312" w:cs="仿宋_GB2312"/>
          <w:sz w:val="32"/>
          <w:szCs w:val="32"/>
        </w:rPr>
        <w:t>不同交通方式实现深度融合发展。区域交通基础设施、运输服务与主要旅游景区、重点产业园区等取得较好的融合发展。“交通＋旅游”“交通＋产业”等融合发展模式得到进一步推广，“快进慢游”旅游交通系统建设取得积极进展。</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40"/>
        </w:rPr>
        <w:t>交通行业现代化治理能力有效提升。</w:t>
      </w:r>
      <w:r>
        <w:rPr>
          <w:rFonts w:hint="eastAsia" w:ascii="仿宋_GB2312" w:hAnsi="仿宋_GB2312" w:eastAsia="仿宋_GB2312" w:cs="仿宋_GB2312"/>
          <w:sz w:val="32"/>
          <w:szCs w:val="32"/>
        </w:rPr>
        <w:t>实现从单纯养护管理向综合养护服务的转变提升，养护管理站等基础设施更加完善，机械化、市场化养护手段明显普及，抗灾能力明显提升。行业治理体制机制更加完善，治理手段更加趋于科技化，超限超载治理能力明显提升，路产路权得到全面维护。交通信用体系、运输市场秩序等建设取得显著成效。</w:t>
      </w:r>
    </w:p>
    <w:tbl>
      <w:tblPr>
        <w:tblStyle w:val="23"/>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30"/>
        <w:gridCol w:w="5487"/>
        <w:gridCol w:w="974"/>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44" w:hRule="atLeast"/>
          <w:tblHeader/>
          <w:jc w:val="center"/>
        </w:trPr>
        <w:tc>
          <w:tcPr>
            <w:tcW w:w="8296" w:type="dxa"/>
            <w:gridSpan w:val="4"/>
            <w:vAlign w:val="center"/>
          </w:tcPr>
          <w:p>
            <w:pPr>
              <w:widowControl/>
              <w:jc w:val="center"/>
              <w:rPr>
                <w:rFonts w:hint="eastAsia" w:ascii="仿宋_GB2312" w:hAnsi="仿宋_GB2312" w:eastAsia="仿宋_GB2312" w:cs="仿宋_GB2312"/>
                <w:b/>
                <w:bCs/>
                <w:kern w:val="0"/>
                <w:sz w:val="22"/>
                <w:szCs w:val="22"/>
              </w:rPr>
            </w:pPr>
            <w:bookmarkStart w:id="43" w:name="_Hlk63258237"/>
            <w:r>
              <w:rPr>
                <w:rFonts w:hint="eastAsia" w:ascii="仿宋_GB2312" w:hAnsi="仿宋_GB2312" w:eastAsia="仿宋_GB2312" w:cs="仿宋_GB2312"/>
                <w:b/>
                <w:bCs/>
                <w:kern w:val="0"/>
                <w:sz w:val="22"/>
                <w:szCs w:val="22"/>
              </w:rPr>
              <w:t>专栏1  利州区“十四五”时期综合交通运输发展主要指标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5" w:hRule="atLeast"/>
          <w:tblHeader/>
          <w:jc w:val="center"/>
        </w:trPr>
        <w:tc>
          <w:tcPr>
            <w:tcW w:w="730" w:type="dxa"/>
            <w:vAlign w:val="center"/>
          </w:tcPr>
          <w:p>
            <w:pPr>
              <w:spacing w:line="320" w:lineRule="exact"/>
              <w:jc w:val="center"/>
              <w:rPr>
                <w:rFonts w:hint="eastAsia" w:ascii="仿宋_GB2312" w:hAnsi="仿宋_GB2312" w:eastAsia="仿宋_GB2312" w:cs="仿宋_GB2312"/>
                <w:b/>
                <w:bCs/>
                <w:kern w:val="0"/>
                <w:sz w:val="22"/>
                <w:szCs w:val="22"/>
              </w:rPr>
            </w:pPr>
            <w:r>
              <w:rPr>
                <w:rFonts w:hint="eastAsia" w:ascii="仿宋_GB2312" w:hAnsi="仿宋_GB2312" w:eastAsia="仿宋_GB2312" w:cs="仿宋_GB2312"/>
                <w:b/>
                <w:bCs/>
                <w:kern w:val="0"/>
                <w:sz w:val="22"/>
                <w:szCs w:val="22"/>
              </w:rPr>
              <w:t>序号</w:t>
            </w:r>
          </w:p>
        </w:tc>
        <w:tc>
          <w:tcPr>
            <w:tcW w:w="5487"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b/>
                <w:bCs/>
                <w:kern w:val="0"/>
                <w:sz w:val="22"/>
                <w:szCs w:val="22"/>
              </w:rPr>
              <w:t>具体指标</w:t>
            </w:r>
          </w:p>
        </w:tc>
        <w:tc>
          <w:tcPr>
            <w:tcW w:w="974" w:type="dxa"/>
            <w:vAlign w:val="center"/>
          </w:tcPr>
          <w:p>
            <w:pPr>
              <w:widowControl/>
              <w:jc w:val="center"/>
              <w:rPr>
                <w:rFonts w:hint="eastAsia" w:ascii="仿宋_GB2312" w:hAnsi="仿宋_GB2312" w:eastAsia="仿宋_GB2312" w:cs="仿宋_GB2312"/>
                <w:b/>
                <w:bCs/>
                <w:kern w:val="0"/>
                <w:sz w:val="22"/>
                <w:szCs w:val="22"/>
              </w:rPr>
            </w:pPr>
            <w:r>
              <w:rPr>
                <w:rFonts w:hint="eastAsia" w:ascii="仿宋_GB2312" w:hAnsi="仿宋_GB2312" w:eastAsia="仿宋_GB2312" w:cs="仿宋_GB2312"/>
                <w:b/>
                <w:bCs/>
                <w:kern w:val="0"/>
                <w:sz w:val="22"/>
                <w:szCs w:val="22"/>
              </w:rPr>
              <w:t>2020年</w:t>
            </w:r>
          </w:p>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b/>
                <w:bCs/>
                <w:kern w:val="0"/>
                <w:sz w:val="22"/>
                <w:szCs w:val="22"/>
              </w:rPr>
              <w:t>实际值</w:t>
            </w:r>
          </w:p>
        </w:tc>
        <w:tc>
          <w:tcPr>
            <w:tcW w:w="1105" w:type="dxa"/>
            <w:vAlign w:val="center"/>
          </w:tcPr>
          <w:p>
            <w:pPr>
              <w:widowControl/>
              <w:jc w:val="center"/>
              <w:rPr>
                <w:rFonts w:hint="eastAsia" w:ascii="仿宋_GB2312" w:hAnsi="仿宋_GB2312" w:eastAsia="仿宋_GB2312" w:cs="仿宋_GB2312"/>
                <w:b/>
                <w:bCs/>
                <w:kern w:val="0"/>
                <w:sz w:val="22"/>
                <w:szCs w:val="22"/>
              </w:rPr>
            </w:pPr>
            <w:r>
              <w:rPr>
                <w:rFonts w:hint="eastAsia" w:ascii="仿宋_GB2312" w:hAnsi="仿宋_GB2312" w:eastAsia="仿宋_GB2312" w:cs="仿宋_GB2312"/>
                <w:b/>
                <w:bCs/>
                <w:kern w:val="0"/>
                <w:sz w:val="22"/>
                <w:szCs w:val="22"/>
              </w:rPr>
              <w:t>2025年</w:t>
            </w:r>
          </w:p>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b/>
                <w:bCs/>
                <w:kern w:val="0"/>
                <w:sz w:val="22"/>
                <w:szCs w:val="22"/>
              </w:rPr>
              <w:t>目标值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5" w:hRule="atLeast"/>
          <w:jc w:val="center"/>
        </w:trPr>
        <w:tc>
          <w:tcPr>
            <w:tcW w:w="6217" w:type="dxa"/>
            <w:gridSpan w:val="2"/>
            <w:vAlign w:val="center"/>
          </w:tcPr>
          <w:p>
            <w:pPr>
              <w:spacing w:line="320" w:lineRule="exact"/>
              <w:jc w:val="left"/>
              <w:rPr>
                <w:rFonts w:hint="eastAsia" w:ascii="仿宋_GB2312" w:hAnsi="仿宋_GB2312" w:eastAsia="仿宋_GB2312" w:cs="仿宋_GB2312"/>
                <w:b/>
                <w:sz w:val="22"/>
                <w:szCs w:val="22"/>
              </w:rPr>
            </w:pPr>
            <w:r>
              <w:rPr>
                <w:rFonts w:hint="eastAsia" w:ascii="仿宋_GB2312" w:hAnsi="仿宋_GB2312" w:eastAsia="仿宋_GB2312" w:cs="仿宋_GB2312"/>
                <w:b/>
                <w:sz w:val="22"/>
                <w:szCs w:val="22"/>
              </w:rPr>
              <w:t>一、设施线网</w:t>
            </w:r>
          </w:p>
        </w:tc>
        <w:tc>
          <w:tcPr>
            <w:tcW w:w="974" w:type="dxa"/>
            <w:vAlign w:val="center"/>
          </w:tcPr>
          <w:p>
            <w:pPr>
              <w:spacing w:line="320" w:lineRule="exact"/>
              <w:jc w:val="center"/>
              <w:rPr>
                <w:rFonts w:hint="eastAsia" w:ascii="仿宋_GB2312" w:hAnsi="仿宋_GB2312" w:eastAsia="仿宋_GB2312" w:cs="仿宋_GB2312"/>
                <w:sz w:val="22"/>
                <w:szCs w:val="22"/>
              </w:rPr>
            </w:pPr>
          </w:p>
        </w:tc>
        <w:tc>
          <w:tcPr>
            <w:tcW w:w="1105" w:type="dxa"/>
            <w:vAlign w:val="center"/>
          </w:tcPr>
          <w:p>
            <w:pPr>
              <w:spacing w:line="320" w:lineRule="exact"/>
              <w:jc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5" w:hRule="atLeast"/>
          <w:jc w:val="center"/>
        </w:trPr>
        <w:tc>
          <w:tcPr>
            <w:tcW w:w="730"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w:t>
            </w:r>
          </w:p>
        </w:tc>
        <w:tc>
          <w:tcPr>
            <w:tcW w:w="5487"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公路网总里程（公里）</w:t>
            </w:r>
            <w:r>
              <w:rPr>
                <w:rFonts w:hint="eastAsia" w:ascii="仿宋_GB2312" w:hAnsi="仿宋_GB2312" w:eastAsia="仿宋_GB2312" w:cs="仿宋_GB2312"/>
                <w:szCs w:val="21"/>
              </w:rPr>
              <w:t>＊</w:t>
            </w:r>
          </w:p>
        </w:tc>
        <w:tc>
          <w:tcPr>
            <w:tcW w:w="974"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2909</w:t>
            </w:r>
          </w:p>
        </w:tc>
        <w:tc>
          <w:tcPr>
            <w:tcW w:w="1105"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2991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5" w:hRule="atLeast"/>
          <w:jc w:val="center"/>
        </w:trPr>
        <w:tc>
          <w:tcPr>
            <w:tcW w:w="730"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2</w:t>
            </w:r>
          </w:p>
        </w:tc>
        <w:tc>
          <w:tcPr>
            <w:tcW w:w="5487"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高速公路通车里程（公里）</w:t>
            </w:r>
            <w:r>
              <w:rPr>
                <w:rFonts w:hint="eastAsia" w:ascii="仿宋_GB2312" w:hAnsi="仿宋_GB2312" w:eastAsia="仿宋_GB2312" w:cs="仿宋_GB2312"/>
                <w:szCs w:val="21"/>
              </w:rPr>
              <w:t>＊</w:t>
            </w:r>
          </w:p>
        </w:tc>
        <w:tc>
          <w:tcPr>
            <w:tcW w:w="974"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94</w:t>
            </w:r>
          </w:p>
        </w:tc>
        <w:tc>
          <w:tcPr>
            <w:tcW w:w="1105"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5" w:hRule="atLeast"/>
          <w:jc w:val="center"/>
        </w:trPr>
        <w:tc>
          <w:tcPr>
            <w:tcW w:w="730"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3</w:t>
            </w:r>
          </w:p>
        </w:tc>
        <w:tc>
          <w:tcPr>
            <w:tcW w:w="5487"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普通省道三级及以上比重（％）</w:t>
            </w:r>
            <w:r>
              <w:rPr>
                <w:rFonts w:hint="eastAsia" w:ascii="仿宋_GB2312" w:hAnsi="仿宋_GB2312" w:eastAsia="仿宋_GB2312" w:cs="仿宋_GB2312"/>
                <w:szCs w:val="21"/>
              </w:rPr>
              <w:t>＊</w:t>
            </w:r>
          </w:p>
        </w:tc>
        <w:tc>
          <w:tcPr>
            <w:tcW w:w="974"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65.8</w:t>
            </w:r>
          </w:p>
        </w:tc>
        <w:tc>
          <w:tcPr>
            <w:tcW w:w="1105"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5" w:hRule="atLeast"/>
          <w:jc w:val="center"/>
        </w:trPr>
        <w:tc>
          <w:tcPr>
            <w:tcW w:w="730"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4</w:t>
            </w:r>
          </w:p>
        </w:tc>
        <w:tc>
          <w:tcPr>
            <w:tcW w:w="5487"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乡镇三级及以上公路连通率（％）</w:t>
            </w:r>
            <w:r>
              <w:rPr>
                <w:rFonts w:hint="eastAsia" w:ascii="仿宋_GB2312" w:hAnsi="仿宋_GB2312" w:eastAsia="仿宋_GB2312" w:cs="仿宋_GB2312"/>
                <w:szCs w:val="21"/>
              </w:rPr>
              <w:t>＊</w:t>
            </w:r>
          </w:p>
        </w:tc>
        <w:tc>
          <w:tcPr>
            <w:tcW w:w="974"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75</w:t>
            </w:r>
          </w:p>
        </w:tc>
        <w:tc>
          <w:tcPr>
            <w:tcW w:w="1105"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5" w:hRule="atLeast"/>
          <w:jc w:val="center"/>
        </w:trPr>
        <w:tc>
          <w:tcPr>
            <w:tcW w:w="730"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5</w:t>
            </w:r>
          </w:p>
        </w:tc>
        <w:tc>
          <w:tcPr>
            <w:tcW w:w="5487"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30户以上自然村（组）通硬化路比例（％）</w:t>
            </w:r>
            <w:r>
              <w:rPr>
                <w:rFonts w:hint="eastAsia" w:ascii="仿宋_GB2312" w:hAnsi="仿宋_GB2312" w:eastAsia="仿宋_GB2312" w:cs="仿宋_GB2312"/>
                <w:szCs w:val="21"/>
              </w:rPr>
              <w:t>＊</w:t>
            </w:r>
          </w:p>
        </w:tc>
        <w:tc>
          <w:tcPr>
            <w:tcW w:w="974"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87.2</w:t>
            </w:r>
          </w:p>
        </w:tc>
        <w:tc>
          <w:tcPr>
            <w:tcW w:w="1105"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5" w:hRule="atLeast"/>
          <w:jc w:val="center"/>
        </w:trPr>
        <w:tc>
          <w:tcPr>
            <w:tcW w:w="6217" w:type="dxa"/>
            <w:gridSpan w:val="2"/>
            <w:vAlign w:val="center"/>
          </w:tcPr>
          <w:p>
            <w:pPr>
              <w:spacing w:line="320" w:lineRule="exact"/>
              <w:jc w:val="left"/>
              <w:rPr>
                <w:rFonts w:hint="eastAsia" w:ascii="仿宋_GB2312" w:hAnsi="仿宋_GB2312" w:eastAsia="仿宋_GB2312" w:cs="仿宋_GB2312"/>
                <w:b/>
                <w:sz w:val="22"/>
                <w:szCs w:val="22"/>
              </w:rPr>
            </w:pPr>
            <w:r>
              <w:rPr>
                <w:rFonts w:hint="eastAsia" w:ascii="仿宋_GB2312" w:hAnsi="仿宋_GB2312" w:eastAsia="仿宋_GB2312" w:cs="仿宋_GB2312"/>
                <w:b/>
                <w:sz w:val="22"/>
                <w:szCs w:val="22"/>
              </w:rPr>
              <w:t>二、枢纽衔接</w:t>
            </w:r>
          </w:p>
        </w:tc>
        <w:tc>
          <w:tcPr>
            <w:tcW w:w="974" w:type="dxa"/>
            <w:vAlign w:val="center"/>
          </w:tcPr>
          <w:p>
            <w:pPr>
              <w:spacing w:line="320" w:lineRule="exact"/>
              <w:jc w:val="center"/>
              <w:rPr>
                <w:rFonts w:hint="eastAsia" w:ascii="仿宋_GB2312" w:hAnsi="仿宋_GB2312" w:eastAsia="仿宋_GB2312" w:cs="仿宋_GB2312"/>
                <w:sz w:val="22"/>
                <w:szCs w:val="22"/>
              </w:rPr>
            </w:pPr>
          </w:p>
        </w:tc>
        <w:tc>
          <w:tcPr>
            <w:tcW w:w="1105" w:type="dxa"/>
            <w:vAlign w:val="center"/>
          </w:tcPr>
          <w:p>
            <w:pPr>
              <w:spacing w:line="320" w:lineRule="exact"/>
              <w:jc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5" w:hRule="atLeast"/>
          <w:jc w:val="center"/>
        </w:trPr>
        <w:tc>
          <w:tcPr>
            <w:tcW w:w="730"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6</w:t>
            </w:r>
          </w:p>
        </w:tc>
        <w:tc>
          <w:tcPr>
            <w:tcW w:w="5487"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新建/改扩建乡镇综合运输服务站（个）＊</w:t>
            </w:r>
          </w:p>
        </w:tc>
        <w:tc>
          <w:tcPr>
            <w:tcW w:w="974"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0</w:t>
            </w:r>
          </w:p>
        </w:tc>
        <w:tc>
          <w:tcPr>
            <w:tcW w:w="1105"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5" w:hRule="atLeast"/>
          <w:jc w:val="center"/>
        </w:trPr>
        <w:tc>
          <w:tcPr>
            <w:tcW w:w="730"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7</w:t>
            </w:r>
          </w:p>
        </w:tc>
        <w:tc>
          <w:tcPr>
            <w:tcW w:w="5487"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建成货运枢纽（物流园区）</w:t>
            </w:r>
          </w:p>
        </w:tc>
        <w:tc>
          <w:tcPr>
            <w:tcW w:w="974"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2</w:t>
            </w:r>
          </w:p>
        </w:tc>
        <w:tc>
          <w:tcPr>
            <w:tcW w:w="1105"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5" w:hRule="atLeast"/>
          <w:jc w:val="center"/>
        </w:trPr>
        <w:tc>
          <w:tcPr>
            <w:tcW w:w="6217" w:type="dxa"/>
            <w:gridSpan w:val="2"/>
            <w:vAlign w:val="center"/>
          </w:tcPr>
          <w:p>
            <w:pPr>
              <w:spacing w:line="320" w:lineRule="exact"/>
              <w:jc w:val="left"/>
              <w:rPr>
                <w:rFonts w:hint="eastAsia" w:ascii="仿宋_GB2312" w:hAnsi="仿宋_GB2312" w:eastAsia="仿宋_GB2312" w:cs="仿宋_GB2312"/>
                <w:b/>
                <w:sz w:val="22"/>
                <w:szCs w:val="22"/>
              </w:rPr>
            </w:pPr>
            <w:r>
              <w:rPr>
                <w:rFonts w:hint="eastAsia" w:ascii="仿宋_GB2312" w:hAnsi="仿宋_GB2312" w:eastAsia="仿宋_GB2312" w:cs="仿宋_GB2312"/>
                <w:b/>
                <w:sz w:val="22"/>
                <w:szCs w:val="22"/>
              </w:rPr>
              <w:t>三、服务质效</w:t>
            </w:r>
          </w:p>
        </w:tc>
        <w:tc>
          <w:tcPr>
            <w:tcW w:w="974" w:type="dxa"/>
            <w:vAlign w:val="center"/>
          </w:tcPr>
          <w:p>
            <w:pPr>
              <w:spacing w:line="320" w:lineRule="exact"/>
              <w:jc w:val="center"/>
              <w:rPr>
                <w:rFonts w:hint="eastAsia" w:ascii="仿宋_GB2312" w:hAnsi="仿宋_GB2312" w:eastAsia="仿宋_GB2312" w:cs="仿宋_GB2312"/>
                <w:sz w:val="22"/>
                <w:szCs w:val="22"/>
              </w:rPr>
            </w:pPr>
          </w:p>
        </w:tc>
        <w:tc>
          <w:tcPr>
            <w:tcW w:w="1105" w:type="dxa"/>
            <w:vAlign w:val="center"/>
          </w:tcPr>
          <w:p>
            <w:pPr>
              <w:spacing w:line="320" w:lineRule="exact"/>
              <w:jc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5" w:hRule="atLeast"/>
          <w:jc w:val="center"/>
        </w:trPr>
        <w:tc>
          <w:tcPr>
            <w:tcW w:w="730"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8</w:t>
            </w:r>
          </w:p>
        </w:tc>
        <w:tc>
          <w:tcPr>
            <w:tcW w:w="5487"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普通国省道技术状况（MQI）优良路率（％）＊</w:t>
            </w:r>
          </w:p>
        </w:tc>
        <w:tc>
          <w:tcPr>
            <w:tcW w:w="974"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1105"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90/85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5" w:hRule="atLeast"/>
          <w:jc w:val="center"/>
        </w:trPr>
        <w:tc>
          <w:tcPr>
            <w:tcW w:w="730"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9</w:t>
            </w:r>
          </w:p>
        </w:tc>
        <w:tc>
          <w:tcPr>
            <w:tcW w:w="5487"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农村公路技术状况（MQI）优良中等率（％）＊</w:t>
            </w:r>
          </w:p>
        </w:tc>
        <w:tc>
          <w:tcPr>
            <w:tcW w:w="974"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1105"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5" w:hRule="atLeast"/>
          <w:jc w:val="center"/>
        </w:trPr>
        <w:tc>
          <w:tcPr>
            <w:tcW w:w="730"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10</w:t>
            </w:r>
          </w:p>
        </w:tc>
        <w:tc>
          <w:tcPr>
            <w:tcW w:w="5487"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建制村通快递比例（％）＊</w:t>
            </w:r>
          </w:p>
        </w:tc>
        <w:tc>
          <w:tcPr>
            <w:tcW w:w="974"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1105"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5" w:hRule="atLeast"/>
          <w:jc w:val="center"/>
        </w:trPr>
        <w:tc>
          <w:tcPr>
            <w:tcW w:w="6217" w:type="dxa"/>
            <w:gridSpan w:val="2"/>
            <w:vAlign w:val="center"/>
          </w:tcPr>
          <w:p>
            <w:pPr>
              <w:spacing w:line="320" w:lineRule="exact"/>
              <w:jc w:val="left"/>
              <w:rPr>
                <w:rFonts w:hint="eastAsia" w:ascii="仿宋_GB2312" w:hAnsi="仿宋_GB2312" w:eastAsia="仿宋_GB2312" w:cs="仿宋_GB2312"/>
                <w:b/>
                <w:sz w:val="22"/>
                <w:szCs w:val="22"/>
              </w:rPr>
            </w:pPr>
            <w:r>
              <w:rPr>
                <w:rFonts w:hint="eastAsia" w:ascii="仿宋_GB2312" w:hAnsi="仿宋_GB2312" w:eastAsia="仿宋_GB2312" w:cs="仿宋_GB2312"/>
                <w:b/>
                <w:sz w:val="22"/>
                <w:szCs w:val="22"/>
              </w:rPr>
              <w:t>四、智慧创新</w:t>
            </w:r>
          </w:p>
        </w:tc>
        <w:tc>
          <w:tcPr>
            <w:tcW w:w="974" w:type="dxa"/>
            <w:vAlign w:val="center"/>
          </w:tcPr>
          <w:p>
            <w:pPr>
              <w:spacing w:line="320" w:lineRule="exact"/>
              <w:jc w:val="center"/>
              <w:rPr>
                <w:rFonts w:hint="eastAsia" w:ascii="仿宋_GB2312" w:hAnsi="仿宋_GB2312" w:eastAsia="仿宋_GB2312" w:cs="仿宋_GB2312"/>
                <w:sz w:val="22"/>
                <w:szCs w:val="22"/>
              </w:rPr>
            </w:pPr>
          </w:p>
        </w:tc>
        <w:tc>
          <w:tcPr>
            <w:tcW w:w="1105" w:type="dxa"/>
            <w:vAlign w:val="center"/>
          </w:tcPr>
          <w:p>
            <w:pPr>
              <w:spacing w:line="320" w:lineRule="exact"/>
              <w:jc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5" w:hRule="atLeast"/>
          <w:jc w:val="center"/>
        </w:trPr>
        <w:tc>
          <w:tcPr>
            <w:tcW w:w="730"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11</w:t>
            </w:r>
          </w:p>
        </w:tc>
        <w:tc>
          <w:tcPr>
            <w:tcW w:w="5487"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重点领域北斗系统覆盖率（％）＊</w:t>
            </w:r>
          </w:p>
        </w:tc>
        <w:tc>
          <w:tcPr>
            <w:tcW w:w="974"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1105"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5" w:hRule="atLeast"/>
          <w:jc w:val="center"/>
        </w:trPr>
        <w:tc>
          <w:tcPr>
            <w:tcW w:w="730"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12</w:t>
            </w:r>
          </w:p>
        </w:tc>
        <w:tc>
          <w:tcPr>
            <w:tcW w:w="5487"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二级及以上汽车客运站电子客票覆盖率（％）＊</w:t>
            </w:r>
          </w:p>
        </w:tc>
        <w:tc>
          <w:tcPr>
            <w:tcW w:w="974"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1105"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5" w:hRule="atLeast"/>
          <w:jc w:val="center"/>
        </w:trPr>
        <w:tc>
          <w:tcPr>
            <w:tcW w:w="730"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13</w:t>
            </w:r>
          </w:p>
        </w:tc>
        <w:tc>
          <w:tcPr>
            <w:tcW w:w="5487"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具备条件的危险货物运输企业电子运单使用率（％）＊</w:t>
            </w:r>
          </w:p>
        </w:tc>
        <w:tc>
          <w:tcPr>
            <w:tcW w:w="974"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w:t>
            </w:r>
          </w:p>
        </w:tc>
        <w:tc>
          <w:tcPr>
            <w:tcW w:w="1105"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5" w:hRule="atLeast"/>
          <w:jc w:val="center"/>
        </w:trPr>
        <w:tc>
          <w:tcPr>
            <w:tcW w:w="6217" w:type="dxa"/>
            <w:gridSpan w:val="2"/>
            <w:vAlign w:val="center"/>
          </w:tcPr>
          <w:p>
            <w:pPr>
              <w:spacing w:line="320" w:lineRule="exact"/>
              <w:jc w:val="left"/>
              <w:rPr>
                <w:rFonts w:hint="eastAsia" w:ascii="仿宋_GB2312" w:hAnsi="仿宋_GB2312" w:eastAsia="仿宋_GB2312" w:cs="仿宋_GB2312"/>
                <w:b/>
                <w:sz w:val="22"/>
                <w:szCs w:val="22"/>
              </w:rPr>
            </w:pPr>
            <w:r>
              <w:rPr>
                <w:rFonts w:hint="eastAsia" w:ascii="仿宋_GB2312" w:hAnsi="仿宋_GB2312" w:eastAsia="仿宋_GB2312" w:cs="仿宋_GB2312"/>
                <w:b/>
                <w:sz w:val="22"/>
                <w:szCs w:val="22"/>
              </w:rPr>
              <w:t>五、绿色安全</w:t>
            </w:r>
          </w:p>
        </w:tc>
        <w:tc>
          <w:tcPr>
            <w:tcW w:w="974" w:type="dxa"/>
            <w:vAlign w:val="center"/>
          </w:tcPr>
          <w:p>
            <w:pPr>
              <w:spacing w:line="320" w:lineRule="exact"/>
              <w:jc w:val="center"/>
              <w:rPr>
                <w:rFonts w:hint="eastAsia" w:ascii="仿宋_GB2312" w:hAnsi="仿宋_GB2312" w:eastAsia="仿宋_GB2312" w:cs="仿宋_GB2312"/>
                <w:sz w:val="22"/>
                <w:szCs w:val="22"/>
              </w:rPr>
            </w:pPr>
          </w:p>
        </w:tc>
        <w:tc>
          <w:tcPr>
            <w:tcW w:w="1105" w:type="dxa"/>
            <w:vAlign w:val="center"/>
          </w:tcPr>
          <w:p>
            <w:pPr>
              <w:spacing w:line="320" w:lineRule="exact"/>
              <w:jc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5" w:hRule="atLeast"/>
          <w:jc w:val="center"/>
        </w:trPr>
        <w:tc>
          <w:tcPr>
            <w:tcW w:w="730"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14</w:t>
            </w:r>
          </w:p>
        </w:tc>
        <w:tc>
          <w:tcPr>
            <w:tcW w:w="5487"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交通运输CO</w:t>
            </w:r>
            <w:r>
              <w:rPr>
                <w:rFonts w:hint="eastAsia" w:ascii="仿宋_GB2312" w:hAnsi="仿宋_GB2312" w:eastAsia="仿宋_GB2312" w:cs="仿宋_GB2312"/>
                <w:sz w:val="22"/>
                <w:szCs w:val="22"/>
                <w:vertAlign w:val="subscript"/>
              </w:rPr>
              <w:t>2</w:t>
            </w:r>
            <w:r>
              <w:rPr>
                <w:rFonts w:hint="eastAsia" w:ascii="仿宋_GB2312" w:hAnsi="仿宋_GB2312" w:eastAsia="仿宋_GB2312" w:cs="仿宋_GB2312"/>
                <w:sz w:val="22"/>
                <w:szCs w:val="22"/>
              </w:rPr>
              <w:t>排放强度下降率（％）＊</w:t>
            </w:r>
          </w:p>
        </w:tc>
        <w:tc>
          <w:tcPr>
            <w:tcW w:w="2079" w:type="dxa"/>
            <w:gridSpan w:val="2"/>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5" w:hRule="atLeast"/>
          <w:jc w:val="center"/>
        </w:trPr>
        <w:tc>
          <w:tcPr>
            <w:tcW w:w="730"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15</w:t>
            </w:r>
          </w:p>
        </w:tc>
        <w:tc>
          <w:tcPr>
            <w:tcW w:w="5487"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较大以上等级道路运输行车事故死亡人数下降率（％）＊</w:t>
            </w:r>
          </w:p>
        </w:tc>
        <w:tc>
          <w:tcPr>
            <w:tcW w:w="2079" w:type="dxa"/>
            <w:gridSpan w:val="2"/>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12</w:t>
            </w:r>
          </w:p>
        </w:tc>
      </w:tr>
      <w:bookmarkEnd w:id="43"/>
    </w:tbl>
    <w:p>
      <w:pPr>
        <w:pStyle w:val="2"/>
        <w:tabs>
          <w:tab w:val="left" w:pos="610"/>
        </w:tabs>
        <w:spacing w:after="0" w:line="600" w:lineRule="exact"/>
        <w:ind w:firstLine="480" w:firstLineChars="200"/>
        <w:rPr>
          <w:rFonts w:hint="eastAsia" w:ascii="仿宋_GB2312" w:hAnsi="仿宋_GB2312" w:eastAsia="仿宋_GB2312" w:cs="仿宋_GB2312"/>
          <w:bCs/>
          <w:sz w:val="24"/>
        </w:rPr>
      </w:pPr>
      <w:r>
        <w:rPr>
          <w:rFonts w:hint="eastAsia" w:ascii="仿宋_GB2312" w:hAnsi="仿宋_GB2312" w:eastAsia="仿宋_GB2312" w:cs="仿宋_GB2312"/>
          <w:bCs/>
          <w:sz w:val="24"/>
        </w:rPr>
        <w:t>注：＊表示《四川省“十四五”综合交通运输发展规划》指标。</w:t>
      </w:r>
    </w:p>
    <w:p>
      <w:pPr>
        <w:overflowPunct w:val="0"/>
        <w:adjustRightInd w:val="0"/>
        <w:snapToGrid w:val="0"/>
        <w:spacing w:line="600" w:lineRule="exact"/>
        <w:ind w:firstLine="480" w:firstLineChars="200"/>
        <w:rPr>
          <w:rFonts w:hint="eastAsia" w:ascii="仿宋_GB2312" w:hAnsi="仿宋_GB2312" w:eastAsia="仿宋_GB2312" w:cs="仿宋_GB2312"/>
          <w:bCs/>
          <w:sz w:val="24"/>
        </w:rPr>
      </w:pPr>
      <w:r>
        <w:rPr>
          <w:rFonts w:hint="eastAsia" w:ascii="仿宋_GB2312" w:hAnsi="仿宋_GB2312" w:eastAsia="仿宋_GB2312" w:cs="仿宋_GB2312"/>
          <w:bCs/>
          <w:sz w:val="24"/>
        </w:rPr>
        <w:t>重点领域北斗系统应用率：重点领域指重点运营车辆、邮政快递自有干线运输车辆，应安装具备卫星定位功能船载设备的客船及危险品船等。</w:t>
      </w:r>
    </w:p>
    <w:p>
      <w:pPr>
        <w:overflowPunct w:val="0"/>
        <w:adjustRightInd w:val="0"/>
        <w:snapToGrid w:val="0"/>
        <w:spacing w:line="600"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（2）2035年远景目标。</w:t>
      </w:r>
    </w:p>
    <w:p>
      <w:pPr>
        <w:overflowPunct w:val="0"/>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到2035年，广元全国性综合交通枢纽的核心区地位突出、作用显著，全面建成安全、便捷、高效、绿色、经济的现代化综合交通运输体系，基本形成“123出行圈”</w:t>
      </w:r>
      <w:r>
        <w:rPr>
          <w:rStyle w:val="22"/>
          <w:rFonts w:hint="eastAsia" w:ascii="仿宋_GB2312" w:hAnsi="仿宋_GB2312" w:eastAsia="仿宋_GB2312" w:cs="仿宋_GB2312"/>
        </w:rPr>
        <w:footnoteReference w:id="6"/>
      </w:r>
      <w:r>
        <w:rPr>
          <w:rFonts w:hint="eastAsia" w:ascii="仿宋_GB2312" w:hAnsi="仿宋_GB2312" w:eastAsia="仿宋_GB2312" w:cs="仿宋_GB2312"/>
          <w:sz w:val="32"/>
          <w:szCs w:val="32"/>
        </w:rPr>
        <w:t>和“123物流圈”</w:t>
      </w:r>
      <w:r>
        <w:rPr>
          <w:rStyle w:val="22"/>
          <w:rFonts w:hint="eastAsia" w:ascii="仿宋_GB2312" w:hAnsi="仿宋_GB2312" w:eastAsia="仿宋_GB2312" w:cs="仿宋_GB2312"/>
        </w:rPr>
        <w:footnoteReference w:id="7"/>
      </w:r>
      <w:r>
        <w:rPr>
          <w:rFonts w:hint="eastAsia" w:ascii="仿宋_GB2312" w:hAnsi="仿宋_GB2312" w:eastAsia="仿宋_GB2312" w:cs="仿宋_GB2312"/>
          <w:sz w:val="32"/>
          <w:szCs w:val="32"/>
        </w:rPr>
        <w:t>，综合交通发展达到区域领先、全省一流水平。</w:t>
      </w:r>
    </w:p>
    <w:p>
      <w:pPr>
        <w:overflowPunct w:val="0"/>
        <w:adjustRightInd w:val="0"/>
        <w:snapToGrid w:val="0"/>
        <w:spacing w:line="600" w:lineRule="exact"/>
        <w:ind w:firstLine="640" w:firstLineChars="200"/>
        <w:outlineLvl w:val="0"/>
        <w:rPr>
          <w:rFonts w:hint="eastAsia" w:ascii="仿宋_GB2312" w:hAnsi="仿宋_GB2312" w:eastAsia="仿宋_GB2312" w:cs="仿宋_GB2312"/>
          <w:sz w:val="32"/>
          <w:szCs w:val="32"/>
        </w:rPr>
      </w:pPr>
      <w:bookmarkStart w:id="44" w:name="_Toc111036282"/>
      <w:bookmarkStart w:id="45" w:name="_Toc114070031"/>
      <w:r>
        <w:rPr>
          <w:rFonts w:hint="eastAsia" w:ascii="仿宋_GB2312" w:hAnsi="仿宋_GB2312" w:eastAsia="仿宋_GB2312" w:cs="仿宋_GB2312"/>
          <w:sz w:val="32"/>
          <w:szCs w:val="32"/>
        </w:rPr>
        <w:t>五、空间布局</w:t>
      </w:r>
      <w:bookmarkEnd w:id="44"/>
      <w:bookmarkEnd w:id="45"/>
    </w:p>
    <w:p>
      <w:pPr>
        <w:overflowPunct w:val="0"/>
        <w:adjustRightInd w:val="0"/>
        <w:snapToGrid w:val="0"/>
        <w:spacing w:line="600" w:lineRule="exact"/>
        <w:ind w:firstLine="643" w:firstLineChars="200"/>
        <w:outlineLvl w:val="1"/>
        <w:rPr>
          <w:rFonts w:hint="eastAsia" w:ascii="仿宋_GB2312" w:hAnsi="仿宋_GB2312" w:eastAsia="仿宋_GB2312" w:cs="仿宋_GB2312"/>
          <w:b/>
          <w:sz w:val="32"/>
          <w:szCs w:val="32"/>
        </w:rPr>
      </w:pPr>
      <w:bookmarkStart w:id="46" w:name="_Toc114070032"/>
      <w:bookmarkStart w:id="47" w:name="_Toc111036283"/>
      <w:r>
        <w:rPr>
          <w:rFonts w:hint="eastAsia" w:ascii="仿宋_GB2312" w:hAnsi="仿宋_GB2312" w:eastAsia="仿宋_GB2312" w:cs="仿宋_GB2312"/>
          <w:b/>
          <w:sz w:val="32"/>
          <w:szCs w:val="32"/>
        </w:rPr>
        <w:t>（一）通道布局</w:t>
      </w:r>
      <w:bookmarkEnd w:id="46"/>
      <w:bookmarkEnd w:id="47"/>
    </w:p>
    <w:p>
      <w:pPr>
        <w:pStyle w:val="2"/>
        <w:overflowPunct w:val="0"/>
        <w:spacing w:after="0"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既有规划和现有线网布局为基础，衔接国家综合立体交通网“6轴7廊8通道”主骨架布局和省综合立体交通网“四向八廊”对外和“1轴2环3带4联”对内主骨架布局，统筹考虑区位条件、发展定位、产业布局、人口分布、交通基础等因素，充分考虑2035年远期发展需要，布局“四向五廊”综合运输通道格局，并形成“六向七出”米字型铁路网、“一环七射线”高速公路网和“三横四纵”普通国省道网的空间形态。</w:t>
      </w:r>
    </w:p>
    <w:p>
      <w:pPr>
        <w:pStyle w:val="2"/>
        <w:overflowPunct w:val="0"/>
        <w:spacing w:after="0"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1．“四向”</w:t>
      </w:r>
    </w:p>
    <w:p>
      <w:pPr>
        <w:pStyle w:val="2"/>
        <w:overflowPunct w:val="0"/>
        <w:spacing w:after="0"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北向：畅通利州经关中天水经济区到京津冀的大通道。</w:t>
      </w:r>
    </w:p>
    <w:p>
      <w:pPr>
        <w:pStyle w:val="2"/>
        <w:overflowPunct w:val="0"/>
        <w:spacing w:after="0"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南向：畅通利州经成渝双城经济圈至北部湾、粤港澳大湾区的出海大通道。</w:t>
      </w:r>
    </w:p>
    <w:p>
      <w:pPr>
        <w:pStyle w:val="2"/>
        <w:overflowPunct w:val="0"/>
        <w:spacing w:after="0"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东向：畅通利州经万达开统筹发展示范区至长三角地区通江达海大通道。</w:t>
      </w:r>
    </w:p>
    <w:p>
      <w:pPr>
        <w:pStyle w:val="2"/>
        <w:overflowPunct w:val="0"/>
        <w:spacing w:after="0"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西向：畅通利州经兰西城市群至中亚地区的大通道。</w:t>
      </w:r>
    </w:p>
    <w:p>
      <w:pPr>
        <w:pStyle w:val="2"/>
        <w:overflowPunct w:val="0"/>
        <w:spacing w:after="0"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2．“五廊”</w:t>
      </w:r>
    </w:p>
    <w:p>
      <w:pPr>
        <w:pStyle w:val="2"/>
        <w:overflowPunct w:val="0"/>
        <w:spacing w:after="0"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一</w:t>
      </w:r>
      <w:r>
        <w:rPr>
          <w:rFonts w:hint="eastAsia" w:ascii="仿宋_GB2312" w:hAnsi="仿宋_GB2312" w:eastAsia="仿宋_GB2312" w:cs="仿宋_GB2312"/>
          <w:bCs/>
          <w:spacing w:val="-6"/>
          <w:sz w:val="32"/>
          <w:szCs w:val="32"/>
        </w:rPr>
        <w:t>廊：利州—绵阳—成都—云南—东盟。</w:t>
      </w:r>
      <w:r>
        <w:rPr>
          <w:rFonts w:hint="eastAsia" w:ascii="仿宋_GB2312" w:hAnsi="仿宋_GB2312" w:eastAsia="仿宋_GB2312" w:cs="仿宋_GB2312"/>
          <w:spacing w:val="-6"/>
          <w:sz w:val="32"/>
          <w:szCs w:val="32"/>
        </w:rPr>
        <w:t>该通道是京津冀—成</w:t>
      </w:r>
      <w:r>
        <w:rPr>
          <w:rFonts w:hint="eastAsia" w:ascii="仿宋_GB2312" w:hAnsi="仿宋_GB2312" w:eastAsia="仿宋_GB2312" w:cs="仿宋_GB2312"/>
          <w:spacing w:val="6"/>
          <w:sz w:val="32"/>
          <w:szCs w:val="32"/>
        </w:rPr>
        <w:t>渝主轴的重要组成部分，也是至成都的快捷大通道，可通过成都国际性综合交通枢纽，进入川滇走廊等省综合交通主骨架，然后衔接孟中印缅等陆路国际运输通道，以及经东南亚、南亚印度洋至欧洲和非洲等海上国际运输通道。该通道主要依托西成客专、宝成铁路、G5京昆高速、G5京昆高速复线、G108北京—昆</w:t>
      </w:r>
      <w:r>
        <w:rPr>
          <w:rFonts w:hint="eastAsia" w:ascii="仿宋_GB2312" w:hAnsi="仿宋_GB2312" w:eastAsia="仿宋_GB2312" w:cs="仿宋_GB2312"/>
          <w:sz w:val="32"/>
          <w:szCs w:val="32"/>
        </w:rPr>
        <w:t>明。</w:t>
      </w:r>
      <w:bookmarkStart w:id="48" w:name="_Hlk77940928"/>
    </w:p>
    <w:p>
      <w:pPr>
        <w:pStyle w:val="2"/>
        <w:overflowPunct w:val="0"/>
        <w:spacing w:after="0"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二廊：利州—南充/广安—重庆</w:t>
      </w:r>
      <w:bookmarkEnd w:id="48"/>
      <w:r>
        <w:rPr>
          <w:rFonts w:hint="eastAsia" w:ascii="仿宋_GB2312" w:hAnsi="仿宋_GB2312" w:eastAsia="仿宋_GB2312" w:cs="仿宋_GB2312"/>
          <w:bCs/>
          <w:sz w:val="32"/>
          <w:szCs w:val="32"/>
        </w:rPr>
        <w:t>—北部湾/粤港澳。</w:t>
      </w:r>
      <w:r>
        <w:rPr>
          <w:rFonts w:hint="eastAsia" w:ascii="仿宋_GB2312" w:hAnsi="仿宋_GB2312" w:eastAsia="仿宋_GB2312" w:cs="仿宋_GB2312"/>
          <w:sz w:val="32"/>
          <w:szCs w:val="32"/>
        </w:rPr>
        <w:t>该通道是至重庆的快捷大通道，可通过重庆国际性综合交通枢纽，进入川黔粤桂走廊等省综合交通主骨架，然后衔接中国—中南半岛等陆路国际运输通道，以及经东南亚至大洋洲等海上国际运输通道。</w:t>
      </w:r>
      <w:r>
        <w:rPr>
          <w:rFonts w:hint="eastAsia" w:ascii="仿宋_GB2312" w:hAnsi="仿宋_GB2312" w:eastAsia="仿宋_GB2312" w:cs="仿宋_GB2312"/>
          <w:spacing w:val="6"/>
          <w:sz w:val="32"/>
          <w:szCs w:val="32"/>
        </w:rPr>
        <w:t>该通道主要依托</w:t>
      </w:r>
      <w:bookmarkStart w:id="49" w:name="_Hlk77940956"/>
      <w:r>
        <w:rPr>
          <w:rFonts w:hint="eastAsia" w:ascii="仿宋_GB2312" w:hAnsi="仿宋_GB2312" w:eastAsia="仿宋_GB2312" w:cs="仿宋_GB2312"/>
          <w:spacing w:val="6"/>
          <w:sz w:val="32"/>
          <w:szCs w:val="32"/>
        </w:rPr>
        <w:t>兰渝铁路、兰渝高铁、G75兰海高速、G212兰州</w:t>
      </w:r>
      <w:r>
        <w:rPr>
          <w:rFonts w:hint="eastAsia" w:ascii="仿宋_GB2312" w:hAnsi="仿宋_GB2312" w:eastAsia="仿宋_GB2312" w:cs="仿宋_GB2312"/>
          <w:sz w:val="32"/>
          <w:szCs w:val="32"/>
        </w:rPr>
        <w:t>—龙邦</w:t>
      </w:r>
      <w:bookmarkEnd w:id="49"/>
      <w:r>
        <w:rPr>
          <w:rFonts w:hint="eastAsia" w:ascii="仿宋_GB2312" w:hAnsi="仿宋_GB2312" w:eastAsia="仿宋_GB2312" w:cs="仿宋_GB2312"/>
          <w:sz w:val="32"/>
          <w:szCs w:val="32"/>
        </w:rPr>
        <w:t>。</w:t>
      </w:r>
    </w:p>
    <w:p>
      <w:pPr>
        <w:pStyle w:val="2"/>
        <w:overflowPunct w:val="0"/>
        <w:spacing w:after="0" w:line="600" w:lineRule="exact"/>
        <w:ind w:firstLine="640" w:firstLineChars="200"/>
        <w:rPr>
          <w:rFonts w:hint="eastAsia" w:ascii="仿宋_GB2312" w:hAnsi="仿宋_GB2312" w:eastAsia="仿宋_GB2312" w:cs="仿宋_GB2312"/>
          <w:sz w:val="32"/>
          <w:szCs w:val="32"/>
        </w:rPr>
      </w:pPr>
      <w:bookmarkStart w:id="50" w:name="_Hlk77941016"/>
      <w:r>
        <w:rPr>
          <w:rFonts w:hint="eastAsia" w:ascii="仿宋_GB2312" w:hAnsi="仿宋_GB2312" w:eastAsia="仿宋_GB2312" w:cs="仿宋_GB2312"/>
          <w:bCs/>
          <w:sz w:val="32"/>
          <w:szCs w:val="32"/>
        </w:rPr>
        <w:t>三廊：利州—巴中—达州—重庆</w:t>
      </w:r>
      <w:bookmarkEnd w:id="50"/>
      <w:r>
        <w:rPr>
          <w:rFonts w:hint="eastAsia" w:ascii="仿宋_GB2312" w:hAnsi="仿宋_GB2312" w:eastAsia="仿宋_GB2312" w:cs="仿宋_GB2312"/>
          <w:bCs/>
          <w:sz w:val="32"/>
          <w:szCs w:val="32"/>
        </w:rPr>
        <w:t>—长三角地区。</w:t>
      </w:r>
      <w:r>
        <w:rPr>
          <w:rFonts w:hint="eastAsia" w:ascii="仿宋_GB2312" w:hAnsi="仿宋_GB2312" w:eastAsia="仿宋_GB2312" w:cs="仿宋_GB2312"/>
          <w:sz w:val="32"/>
          <w:szCs w:val="32"/>
        </w:rPr>
        <w:t>该通道是连接川东北经济区主要城市至万达开川渝统筹发展示范区的重要大通道，然后进入长江北走廊、长江南走廊等省综合交通主骨架，衔接经日韩跨太平洋至美洲等海上国际运输通道。该通道主要依托</w:t>
      </w:r>
      <w:bookmarkStart w:id="51" w:name="_Hlk77941027"/>
      <w:r>
        <w:rPr>
          <w:rFonts w:hint="eastAsia" w:ascii="仿宋_GB2312" w:hAnsi="仿宋_GB2312" w:eastAsia="仿宋_GB2312" w:cs="仿宋_GB2312"/>
          <w:sz w:val="32"/>
          <w:szCs w:val="32"/>
        </w:rPr>
        <w:t>广巴铁路、G5012恩广高速、SH广元绕城高速、G542广元—万州</w:t>
      </w:r>
      <w:bookmarkEnd w:id="51"/>
      <w:r>
        <w:rPr>
          <w:rFonts w:hint="eastAsia" w:ascii="仿宋_GB2312" w:hAnsi="仿宋_GB2312" w:eastAsia="仿宋_GB2312" w:cs="仿宋_GB2312"/>
          <w:sz w:val="32"/>
          <w:szCs w:val="32"/>
        </w:rPr>
        <w:t>。</w:t>
      </w:r>
    </w:p>
    <w:p>
      <w:pPr>
        <w:pStyle w:val="2"/>
        <w:overflowPunct w:val="0"/>
        <w:spacing w:after="0" w:line="600" w:lineRule="exact"/>
        <w:ind w:firstLine="640" w:firstLineChars="200"/>
        <w:rPr>
          <w:rFonts w:hint="eastAsia" w:ascii="仿宋_GB2312" w:hAnsi="仿宋_GB2312" w:eastAsia="仿宋_GB2312" w:cs="仿宋_GB2312"/>
          <w:sz w:val="32"/>
          <w:szCs w:val="32"/>
        </w:rPr>
      </w:pPr>
      <w:bookmarkStart w:id="52" w:name="_Hlk77941044"/>
      <w:r>
        <w:rPr>
          <w:rFonts w:hint="eastAsia" w:ascii="仿宋_GB2312" w:hAnsi="仿宋_GB2312" w:eastAsia="仿宋_GB2312" w:cs="仿宋_GB2312"/>
          <w:bCs/>
          <w:sz w:val="32"/>
          <w:szCs w:val="32"/>
        </w:rPr>
        <w:t>四廊：利州—陇南/天水—兰州—中亚地区</w:t>
      </w:r>
      <w:bookmarkEnd w:id="52"/>
      <w:r>
        <w:rPr>
          <w:rFonts w:hint="eastAsia" w:ascii="仿宋_GB2312" w:hAnsi="仿宋_GB2312" w:eastAsia="仿宋_GB2312" w:cs="仿宋_GB2312"/>
          <w:bCs/>
          <w:sz w:val="32"/>
          <w:szCs w:val="32"/>
        </w:rPr>
        <w:t>。</w:t>
      </w:r>
      <w:r>
        <w:rPr>
          <w:rFonts w:hint="eastAsia" w:ascii="仿宋_GB2312" w:hAnsi="仿宋_GB2312" w:eastAsia="仿宋_GB2312" w:cs="仿宋_GB2312"/>
          <w:sz w:val="32"/>
          <w:szCs w:val="32"/>
        </w:rPr>
        <w:t>该通道是</w:t>
      </w:r>
      <w:r>
        <w:rPr>
          <w:rFonts w:hint="eastAsia" w:ascii="仿宋_GB2312" w:hAnsi="仿宋_GB2312" w:eastAsia="仿宋_GB2312" w:cs="仿宋_GB2312"/>
          <w:sz w:val="32"/>
        </w:rPr>
        <w:t>联系兰（州）西（宁）城市群的重要大通道</w:t>
      </w:r>
      <w:r>
        <w:rPr>
          <w:rFonts w:hint="eastAsia" w:ascii="仿宋_GB2312" w:hAnsi="仿宋_GB2312" w:eastAsia="仿宋_GB2312" w:cs="仿宋_GB2312"/>
          <w:sz w:val="32"/>
          <w:szCs w:val="32"/>
        </w:rPr>
        <w:t>，可进入川甘青新走廊等省综合交通主骨架，然后衔接新亚欧大陆桥、中国—中亚—西亚、中巴等陆路国际运输通道。该通道主要依托</w:t>
      </w:r>
      <w:bookmarkStart w:id="53" w:name="_Hlk77941063"/>
      <w:r>
        <w:rPr>
          <w:rFonts w:hint="eastAsia" w:ascii="仿宋_GB2312" w:hAnsi="仿宋_GB2312" w:eastAsia="仿宋_GB2312" w:cs="仿宋_GB2312"/>
          <w:sz w:val="32"/>
          <w:szCs w:val="32"/>
        </w:rPr>
        <w:t>兰渝铁路、兰渝高铁、G75兰海高速、G212兰州—龙邦</w:t>
      </w:r>
      <w:bookmarkEnd w:id="53"/>
      <w:r>
        <w:rPr>
          <w:rFonts w:hint="eastAsia" w:ascii="仿宋_GB2312" w:hAnsi="仿宋_GB2312" w:eastAsia="仿宋_GB2312" w:cs="仿宋_GB2312"/>
          <w:sz w:val="32"/>
          <w:szCs w:val="32"/>
        </w:rPr>
        <w:t>。</w:t>
      </w:r>
    </w:p>
    <w:p>
      <w:pPr>
        <w:pStyle w:val="2"/>
        <w:overflowPunct w:val="0"/>
        <w:spacing w:after="0" w:line="600" w:lineRule="exact"/>
        <w:ind w:firstLine="640" w:firstLineChars="200"/>
        <w:rPr>
          <w:rFonts w:hint="eastAsia" w:ascii="仿宋_GB2312" w:hAnsi="仿宋_GB2312" w:eastAsia="仿宋_GB2312" w:cs="仿宋_GB2312"/>
          <w:sz w:val="32"/>
          <w:szCs w:val="32"/>
        </w:rPr>
      </w:pPr>
      <w:bookmarkStart w:id="54" w:name="_Hlk77941078"/>
      <w:r>
        <w:rPr>
          <w:rFonts w:hint="eastAsia" w:ascii="仿宋_GB2312" w:hAnsi="仿宋_GB2312" w:eastAsia="仿宋_GB2312" w:cs="仿宋_GB2312"/>
          <w:bCs/>
          <w:sz w:val="32"/>
          <w:szCs w:val="32"/>
        </w:rPr>
        <w:t>五廊：利州—汉中/宝鸡—西安</w:t>
      </w:r>
      <w:bookmarkEnd w:id="54"/>
      <w:r>
        <w:rPr>
          <w:rFonts w:hint="eastAsia" w:ascii="仿宋_GB2312" w:hAnsi="仿宋_GB2312" w:eastAsia="仿宋_GB2312" w:cs="仿宋_GB2312"/>
          <w:bCs/>
          <w:sz w:val="32"/>
          <w:szCs w:val="32"/>
        </w:rPr>
        <w:t>—京津冀地区。</w:t>
      </w:r>
      <w:r>
        <w:rPr>
          <w:rFonts w:hint="eastAsia" w:ascii="仿宋_GB2312" w:hAnsi="仿宋_GB2312" w:eastAsia="仿宋_GB2312" w:cs="仿宋_GB2312"/>
          <w:sz w:val="32"/>
          <w:szCs w:val="32"/>
        </w:rPr>
        <w:t>该通道是京津冀—成渝主轴的重要组成部分，也是进入关中天水经济区至京津冀的快捷大通道，可进入川陕京走廊、川陕蒙走廊等省综合交通主骨架，然后衔接中蒙俄等陆路国际运输通道，以及跨北冰洋丝绸之路等海上国际运输通道。该通道主要依托</w:t>
      </w:r>
      <w:bookmarkStart w:id="55" w:name="_Hlk77941100"/>
      <w:r>
        <w:rPr>
          <w:rFonts w:hint="eastAsia" w:ascii="仿宋_GB2312" w:hAnsi="仿宋_GB2312" w:eastAsia="仿宋_GB2312" w:cs="仿宋_GB2312"/>
          <w:sz w:val="32"/>
          <w:szCs w:val="32"/>
        </w:rPr>
        <w:t>西成客专、宝成铁路、G5京昆高速、G5京昆高速复线、G108北京—昆明</w:t>
      </w:r>
      <w:bookmarkEnd w:id="55"/>
      <w:r>
        <w:rPr>
          <w:rFonts w:hint="eastAsia" w:ascii="仿宋_GB2312" w:hAnsi="仿宋_GB2312" w:eastAsia="仿宋_GB2312" w:cs="仿宋_GB2312"/>
          <w:sz w:val="32"/>
          <w:szCs w:val="32"/>
        </w:rPr>
        <w:t>。</w:t>
      </w:r>
    </w:p>
    <w:p>
      <w:pPr>
        <w:pStyle w:val="2"/>
        <w:overflowPunct w:val="0"/>
        <w:spacing w:after="0" w:line="600" w:lineRule="exact"/>
        <w:ind w:firstLine="640" w:firstLineChars="200"/>
        <w:rPr>
          <w:rFonts w:hint="eastAsia" w:ascii="仿宋_GB2312" w:hAnsi="仿宋_GB2312" w:eastAsia="仿宋_GB2312" w:cs="仿宋_GB2312"/>
          <w:sz w:val="32"/>
          <w:szCs w:val="32"/>
        </w:rPr>
      </w:pPr>
    </w:p>
    <w:tbl>
      <w:tblPr>
        <w:tblStyle w:val="23"/>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6"/>
        <w:gridCol w:w="518"/>
        <w:gridCol w:w="2437"/>
        <w:gridCol w:w="979"/>
        <w:gridCol w:w="1413"/>
        <w:gridCol w:w="684"/>
        <w:gridCol w:w="768"/>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4" w:hRule="atLeast"/>
          <w:tblHeader/>
          <w:jc w:val="center"/>
        </w:trPr>
        <w:tc>
          <w:tcPr>
            <w:tcW w:w="8296" w:type="dxa"/>
            <w:gridSpan w:val="8"/>
            <w:vAlign w:val="center"/>
          </w:tcPr>
          <w:p>
            <w:pPr>
              <w:widowControl/>
              <w:spacing w:line="320" w:lineRule="exact"/>
              <w:jc w:val="center"/>
              <w:rPr>
                <w:rFonts w:hint="eastAsia" w:ascii="仿宋_GB2312" w:hAnsi="仿宋_GB2312" w:eastAsia="仿宋_GB2312" w:cs="仿宋_GB2312"/>
                <w:b/>
                <w:sz w:val="22"/>
                <w:szCs w:val="22"/>
              </w:rPr>
            </w:pPr>
            <w:r>
              <w:rPr>
                <w:rFonts w:hint="eastAsia" w:ascii="仿宋_GB2312" w:hAnsi="仿宋_GB2312" w:eastAsia="仿宋_GB2312" w:cs="仿宋_GB2312"/>
                <w:b/>
                <w:sz w:val="22"/>
                <w:szCs w:val="22"/>
              </w:rPr>
              <w:t>专栏2  利州区综合交通网布局方案（2021—2035年）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1" w:hRule="atLeast"/>
          <w:tblHeader/>
          <w:jc w:val="center"/>
        </w:trPr>
        <w:tc>
          <w:tcPr>
            <w:tcW w:w="566" w:type="dxa"/>
            <w:vAlign w:val="center"/>
          </w:tcPr>
          <w:p>
            <w:pPr>
              <w:spacing w:line="320" w:lineRule="exact"/>
              <w:jc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sz w:val="22"/>
                <w:szCs w:val="22"/>
              </w:rPr>
              <w:t>运输</w:t>
            </w:r>
          </w:p>
          <w:p>
            <w:pPr>
              <w:spacing w:line="320" w:lineRule="exact"/>
              <w:jc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sz w:val="22"/>
                <w:szCs w:val="22"/>
              </w:rPr>
              <w:t>方式</w:t>
            </w:r>
          </w:p>
        </w:tc>
        <w:tc>
          <w:tcPr>
            <w:tcW w:w="518" w:type="dxa"/>
            <w:vAlign w:val="center"/>
          </w:tcPr>
          <w:p>
            <w:pPr>
              <w:spacing w:line="320" w:lineRule="exact"/>
              <w:jc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sz w:val="22"/>
                <w:szCs w:val="22"/>
              </w:rPr>
              <w:t>类型</w:t>
            </w:r>
          </w:p>
        </w:tc>
        <w:tc>
          <w:tcPr>
            <w:tcW w:w="2437" w:type="dxa"/>
            <w:vAlign w:val="center"/>
          </w:tcPr>
          <w:p>
            <w:pPr>
              <w:spacing w:line="320" w:lineRule="exact"/>
              <w:jc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sz w:val="22"/>
                <w:szCs w:val="22"/>
              </w:rPr>
              <w:t>名称</w:t>
            </w:r>
          </w:p>
        </w:tc>
        <w:tc>
          <w:tcPr>
            <w:tcW w:w="979" w:type="dxa"/>
            <w:vAlign w:val="center"/>
          </w:tcPr>
          <w:p>
            <w:pPr>
              <w:spacing w:line="320" w:lineRule="exact"/>
              <w:jc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sz w:val="22"/>
                <w:szCs w:val="22"/>
              </w:rPr>
              <w:t>里程（km）</w:t>
            </w:r>
          </w:p>
        </w:tc>
        <w:tc>
          <w:tcPr>
            <w:tcW w:w="1413" w:type="dxa"/>
            <w:vAlign w:val="center"/>
          </w:tcPr>
          <w:p>
            <w:pPr>
              <w:spacing w:line="320" w:lineRule="exact"/>
              <w:jc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sz w:val="22"/>
                <w:szCs w:val="22"/>
              </w:rPr>
              <w:t>技术标准</w:t>
            </w:r>
          </w:p>
        </w:tc>
        <w:tc>
          <w:tcPr>
            <w:tcW w:w="684" w:type="dxa"/>
            <w:vAlign w:val="center"/>
          </w:tcPr>
          <w:p>
            <w:pPr>
              <w:spacing w:line="320" w:lineRule="exact"/>
              <w:jc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sz w:val="22"/>
                <w:szCs w:val="22"/>
              </w:rPr>
              <w:t>建设</w:t>
            </w:r>
          </w:p>
          <w:p>
            <w:pPr>
              <w:spacing w:line="320" w:lineRule="exact"/>
              <w:jc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sz w:val="22"/>
                <w:szCs w:val="22"/>
              </w:rPr>
              <w:t>情况</w:t>
            </w:r>
          </w:p>
        </w:tc>
        <w:tc>
          <w:tcPr>
            <w:tcW w:w="768" w:type="dxa"/>
            <w:vAlign w:val="center"/>
          </w:tcPr>
          <w:p>
            <w:pPr>
              <w:spacing w:line="320" w:lineRule="exact"/>
              <w:jc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sz w:val="22"/>
                <w:szCs w:val="22"/>
              </w:rPr>
              <w:t>备注</w:t>
            </w:r>
          </w:p>
        </w:tc>
        <w:tc>
          <w:tcPr>
            <w:tcW w:w="931" w:type="dxa"/>
            <w:vAlign w:val="center"/>
          </w:tcPr>
          <w:p>
            <w:pPr>
              <w:spacing w:line="320" w:lineRule="exact"/>
              <w:jc w:val="center"/>
              <w:rPr>
                <w:rFonts w:hint="eastAsia" w:ascii="仿宋_GB2312" w:hAnsi="仿宋_GB2312" w:eastAsia="仿宋_GB2312" w:cs="仿宋_GB2312"/>
                <w:b/>
                <w:bCs/>
                <w:sz w:val="22"/>
                <w:szCs w:val="22"/>
              </w:rPr>
            </w:pPr>
            <w:r>
              <w:rPr>
                <w:rFonts w:hint="eastAsia" w:ascii="仿宋_GB2312" w:hAnsi="仿宋_GB2312" w:eastAsia="仿宋_GB2312" w:cs="仿宋_GB2312"/>
                <w:b/>
                <w:bCs/>
                <w:sz w:val="22"/>
                <w:szCs w:val="22"/>
              </w:rPr>
              <w:t>布局形态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1" w:hRule="atLeast"/>
          <w:jc w:val="center"/>
        </w:trPr>
        <w:tc>
          <w:tcPr>
            <w:tcW w:w="566" w:type="dxa"/>
            <w:vMerge w:val="restart"/>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铁路</w:t>
            </w:r>
          </w:p>
        </w:tc>
        <w:tc>
          <w:tcPr>
            <w:tcW w:w="518" w:type="dxa"/>
            <w:vMerge w:val="restart"/>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高速铁路</w:t>
            </w:r>
          </w:p>
        </w:tc>
        <w:tc>
          <w:tcPr>
            <w:tcW w:w="2437"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西成客专</w:t>
            </w:r>
          </w:p>
        </w:tc>
        <w:tc>
          <w:tcPr>
            <w:tcW w:w="979"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26</w:t>
            </w:r>
          </w:p>
        </w:tc>
        <w:tc>
          <w:tcPr>
            <w:tcW w:w="1413"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250km/h</w:t>
            </w:r>
          </w:p>
        </w:tc>
        <w:tc>
          <w:tcPr>
            <w:tcW w:w="684"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建成</w:t>
            </w:r>
          </w:p>
        </w:tc>
        <w:tc>
          <w:tcPr>
            <w:tcW w:w="768" w:type="dxa"/>
            <w:vAlign w:val="center"/>
          </w:tcPr>
          <w:p>
            <w:pPr>
              <w:spacing w:line="320" w:lineRule="exact"/>
              <w:jc w:val="center"/>
              <w:rPr>
                <w:rFonts w:hint="eastAsia" w:ascii="仿宋_GB2312" w:hAnsi="仿宋_GB2312" w:eastAsia="仿宋_GB2312" w:cs="仿宋_GB2312"/>
                <w:sz w:val="22"/>
                <w:szCs w:val="22"/>
              </w:rPr>
            </w:pPr>
          </w:p>
        </w:tc>
        <w:tc>
          <w:tcPr>
            <w:tcW w:w="931" w:type="dxa"/>
            <w:vMerge w:val="restart"/>
            <w:vAlign w:val="center"/>
          </w:tcPr>
          <w:p>
            <w:pPr>
              <w:spacing w:line="32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“六向七出”米字型铁路网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1" w:hRule="atLeast"/>
          <w:jc w:val="center"/>
        </w:trPr>
        <w:tc>
          <w:tcPr>
            <w:tcW w:w="566" w:type="dxa"/>
            <w:vMerge w:val="continue"/>
            <w:vAlign w:val="center"/>
          </w:tcPr>
          <w:p>
            <w:pPr>
              <w:spacing w:line="320" w:lineRule="exact"/>
              <w:jc w:val="center"/>
              <w:rPr>
                <w:rFonts w:hint="eastAsia" w:ascii="仿宋_GB2312" w:hAnsi="仿宋_GB2312" w:eastAsia="仿宋_GB2312" w:cs="仿宋_GB2312"/>
                <w:sz w:val="22"/>
                <w:szCs w:val="22"/>
              </w:rPr>
            </w:pPr>
          </w:p>
        </w:tc>
        <w:tc>
          <w:tcPr>
            <w:tcW w:w="518" w:type="dxa"/>
            <w:vMerge w:val="continue"/>
            <w:vAlign w:val="center"/>
          </w:tcPr>
          <w:p>
            <w:pPr>
              <w:spacing w:line="320" w:lineRule="exact"/>
              <w:jc w:val="center"/>
              <w:rPr>
                <w:rFonts w:hint="eastAsia" w:ascii="仿宋_GB2312" w:hAnsi="仿宋_GB2312" w:eastAsia="仿宋_GB2312" w:cs="仿宋_GB2312"/>
                <w:sz w:val="22"/>
                <w:szCs w:val="22"/>
              </w:rPr>
            </w:pPr>
          </w:p>
        </w:tc>
        <w:tc>
          <w:tcPr>
            <w:tcW w:w="2437"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兰渝铁路</w:t>
            </w:r>
          </w:p>
        </w:tc>
        <w:tc>
          <w:tcPr>
            <w:tcW w:w="979"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22</w:t>
            </w:r>
          </w:p>
        </w:tc>
        <w:tc>
          <w:tcPr>
            <w:tcW w:w="1413"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国铁Ⅰ级、</w:t>
            </w:r>
          </w:p>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200 km/h</w:t>
            </w:r>
          </w:p>
        </w:tc>
        <w:tc>
          <w:tcPr>
            <w:tcW w:w="684"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建成</w:t>
            </w:r>
          </w:p>
        </w:tc>
        <w:tc>
          <w:tcPr>
            <w:tcW w:w="768" w:type="dxa"/>
            <w:vAlign w:val="center"/>
          </w:tcPr>
          <w:p>
            <w:pPr>
              <w:spacing w:line="320" w:lineRule="exact"/>
              <w:jc w:val="center"/>
              <w:rPr>
                <w:rFonts w:hint="eastAsia" w:ascii="仿宋_GB2312" w:hAnsi="仿宋_GB2312" w:eastAsia="仿宋_GB2312" w:cs="仿宋_GB2312"/>
                <w:sz w:val="22"/>
                <w:szCs w:val="22"/>
              </w:rPr>
            </w:pPr>
          </w:p>
        </w:tc>
        <w:tc>
          <w:tcPr>
            <w:tcW w:w="931" w:type="dxa"/>
            <w:vMerge w:val="continue"/>
            <w:vAlign w:val="center"/>
          </w:tcPr>
          <w:p>
            <w:pPr>
              <w:spacing w:line="320" w:lineRule="exact"/>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1" w:hRule="atLeast"/>
          <w:jc w:val="center"/>
        </w:trPr>
        <w:tc>
          <w:tcPr>
            <w:tcW w:w="566" w:type="dxa"/>
            <w:vMerge w:val="continue"/>
            <w:vAlign w:val="center"/>
          </w:tcPr>
          <w:p>
            <w:pPr>
              <w:spacing w:line="320" w:lineRule="exact"/>
              <w:jc w:val="center"/>
              <w:rPr>
                <w:rFonts w:hint="eastAsia" w:ascii="仿宋_GB2312" w:hAnsi="仿宋_GB2312" w:eastAsia="仿宋_GB2312" w:cs="仿宋_GB2312"/>
                <w:sz w:val="22"/>
                <w:szCs w:val="22"/>
              </w:rPr>
            </w:pPr>
          </w:p>
        </w:tc>
        <w:tc>
          <w:tcPr>
            <w:tcW w:w="518" w:type="dxa"/>
            <w:vMerge w:val="continue"/>
            <w:vAlign w:val="center"/>
          </w:tcPr>
          <w:p>
            <w:pPr>
              <w:spacing w:line="320" w:lineRule="exact"/>
              <w:jc w:val="center"/>
              <w:rPr>
                <w:rFonts w:hint="eastAsia" w:ascii="仿宋_GB2312" w:hAnsi="仿宋_GB2312" w:eastAsia="仿宋_GB2312" w:cs="仿宋_GB2312"/>
                <w:sz w:val="22"/>
                <w:szCs w:val="22"/>
              </w:rPr>
            </w:pPr>
          </w:p>
        </w:tc>
        <w:tc>
          <w:tcPr>
            <w:tcW w:w="2437"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兰渝高铁</w:t>
            </w:r>
          </w:p>
        </w:tc>
        <w:tc>
          <w:tcPr>
            <w:tcW w:w="979"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30</w:t>
            </w:r>
          </w:p>
        </w:tc>
        <w:tc>
          <w:tcPr>
            <w:tcW w:w="1413"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350km/h</w:t>
            </w:r>
          </w:p>
        </w:tc>
        <w:tc>
          <w:tcPr>
            <w:tcW w:w="684" w:type="dxa"/>
            <w:vAlign w:val="center"/>
          </w:tcPr>
          <w:p>
            <w:pPr>
              <w:adjustRightInd w:val="0"/>
              <w:snapToGrid w:val="0"/>
              <w:spacing w:line="320" w:lineRule="exact"/>
              <w:jc w:val="center"/>
              <w:rPr>
                <w:rFonts w:hint="eastAsia" w:ascii="仿宋_GB2312" w:hAnsi="仿宋_GB2312" w:eastAsia="仿宋_GB2312" w:cs="仿宋_GB2312"/>
                <w:sz w:val="22"/>
                <w:szCs w:val="22"/>
              </w:rPr>
            </w:pPr>
          </w:p>
        </w:tc>
        <w:tc>
          <w:tcPr>
            <w:tcW w:w="768"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规划</w:t>
            </w:r>
          </w:p>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研究</w:t>
            </w:r>
          </w:p>
        </w:tc>
        <w:tc>
          <w:tcPr>
            <w:tcW w:w="931" w:type="dxa"/>
            <w:vMerge w:val="continue"/>
            <w:vAlign w:val="center"/>
          </w:tcPr>
          <w:p>
            <w:pPr>
              <w:spacing w:line="320" w:lineRule="exact"/>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0" w:hRule="atLeast"/>
          <w:jc w:val="center"/>
        </w:trPr>
        <w:tc>
          <w:tcPr>
            <w:tcW w:w="566" w:type="dxa"/>
            <w:vMerge w:val="continue"/>
            <w:vAlign w:val="center"/>
          </w:tcPr>
          <w:p>
            <w:pPr>
              <w:spacing w:line="320" w:lineRule="exact"/>
              <w:jc w:val="center"/>
              <w:rPr>
                <w:rFonts w:hint="eastAsia" w:ascii="仿宋_GB2312" w:hAnsi="仿宋_GB2312" w:eastAsia="仿宋_GB2312" w:cs="仿宋_GB2312"/>
                <w:sz w:val="22"/>
                <w:szCs w:val="22"/>
              </w:rPr>
            </w:pPr>
          </w:p>
        </w:tc>
        <w:tc>
          <w:tcPr>
            <w:tcW w:w="518" w:type="dxa"/>
            <w:vMerge w:val="restart"/>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普速铁路</w:t>
            </w:r>
          </w:p>
        </w:tc>
        <w:tc>
          <w:tcPr>
            <w:tcW w:w="2437"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宝成铁路</w:t>
            </w:r>
          </w:p>
        </w:tc>
        <w:tc>
          <w:tcPr>
            <w:tcW w:w="979"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42</w:t>
            </w:r>
          </w:p>
        </w:tc>
        <w:tc>
          <w:tcPr>
            <w:tcW w:w="1413"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国铁Ⅰ级、80km/h</w:t>
            </w:r>
          </w:p>
        </w:tc>
        <w:tc>
          <w:tcPr>
            <w:tcW w:w="684"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建成</w:t>
            </w:r>
          </w:p>
        </w:tc>
        <w:tc>
          <w:tcPr>
            <w:tcW w:w="768" w:type="dxa"/>
            <w:vAlign w:val="center"/>
          </w:tcPr>
          <w:p>
            <w:pPr>
              <w:spacing w:line="320" w:lineRule="exact"/>
              <w:jc w:val="center"/>
              <w:rPr>
                <w:rFonts w:hint="eastAsia" w:ascii="仿宋_GB2312" w:hAnsi="仿宋_GB2312" w:eastAsia="仿宋_GB2312" w:cs="仿宋_GB2312"/>
                <w:sz w:val="22"/>
                <w:szCs w:val="22"/>
              </w:rPr>
            </w:pPr>
          </w:p>
        </w:tc>
        <w:tc>
          <w:tcPr>
            <w:tcW w:w="931" w:type="dxa"/>
            <w:vMerge w:val="continue"/>
            <w:vAlign w:val="center"/>
          </w:tcPr>
          <w:p>
            <w:pPr>
              <w:spacing w:line="320" w:lineRule="exact"/>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1" w:hRule="atLeast"/>
          <w:jc w:val="center"/>
        </w:trPr>
        <w:tc>
          <w:tcPr>
            <w:tcW w:w="566" w:type="dxa"/>
            <w:vMerge w:val="continue"/>
            <w:vAlign w:val="center"/>
          </w:tcPr>
          <w:p>
            <w:pPr>
              <w:spacing w:line="320" w:lineRule="exact"/>
              <w:jc w:val="center"/>
              <w:rPr>
                <w:rFonts w:hint="eastAsia" w:ascii="仿宋_GB2312" w:hAnsi="仿宋_GB2312" w:eastAsia="仿宋_GB2312" w:cs="仿宋_GB2312"/>
                <w:sz w:val="22"/>
                <w:szCs w:val="22"/>
              </w:rPr>
            </w:pPr>
          </w:p>
        </w:tc>
        <w:tc>
          <w:tcPr>
            <w:tcW w:w="518" w:type="dxa"/>
            <w:vMerge w:val="continue"/>
            <w:vAlign w:val="center"/>
          </w:tcPr>
          <w:p>
            <w:pPr>
              <w:spacing w:line="320" w:lineRule="exact"/>
              <w:jc w:val="center"/>
              <w:rPr>
                <w:rFonts w:hint="eastAsia" w:ascii="仿宋_GB2312" w:hAnsi="仿宋_GB2312" w:eastAsia="仿宋_GB2312" w:cs="仿宋_GB2312"/>
                <w:sz w:val="22"/>
                <w:szCs w:val="22"/>
              </w:rPr>
            </w:pPr>
          </w:p>
        </w:tc>
        <w:tc>
          <w:tcPr>
            <w:tcW w:w="2437"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广巴铁路</w:t>
            </w:r>
          </w:p>
        </w:tc>
        <w:tc>
          <w:tcPr>
            <w:tcW w:w="979"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18</w:t>
            </w:r>
          </w:p>
        </w:tc>
        <w:tc>
          <w:tcPr>
            <w:tcW w:w="1413"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国铁Ⅰ级、160km/h</w:t>
            </w:r>
          </w:p>
        </w:tc>
        <w:tc>
          <w:tcPr>
            <w:tcW w:w="684"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建成</w:t>
            </w:r>
          </w:p>
        </w:tc>
        <w:tc>
          <w:tcPr>
            <w:tcW w:w="768"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扩能</w:t>
            </w:r>
          </w:p>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改造</w:t>
            </w:r>
          </w:p>
        </w:tc>
        <w:tc>
          <w:tcPr>
            <w:tcW w:w="931" w:type="dxa"/>
            <w:vMerge w:val="continue"/>
            <w:vAlign w:val="center"/>
          </w:tcPr>
          <w:p>
            <w:pPr>
              <w:spacing w:line="320" w:lineRule="exact"/>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6" w:hRule="atLeast"/>
          <w:jc w:val="center"/>
        </w:trPr>
        <w:tc>
          <w:tcPr>
            <w:tcW w:w="566" w:type="dxa"/>
            <w:vMerge w:val="restart"/>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公路</w:t>
            </w:r>
          </w:p>
        </w:tc>
        <w:tc>
          <w:tcPr>
            <w:tcW w:w="518" w:type="dxa"/>
            <w:vMerge w:val="restart"/>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高速公路</w:t>
            </w:r>
          </w:p>
        </w:tc>
        <w:tc>
          <w:tcPr>
            <w:tcW w:w="2437"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G5京昆高速</w:t>
            </w:r>
          </w:p>
        </w:tc>
        <w:tc>
          <w:tcPr>
            <w:tcW w:w="979"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35.9</w:t>
            </w:r>
          </w:p>
        </w:tc>
        <w:tc>
          <w:tcPr>
            <w:tcW w:w="1413" w:type="dxa"/>
            <w:vAlign w:val="center"/>
          </w:tcPr>
          <w:p>
            <w:pPr>
              <w:adjustRightInd w:val="0"/>
              <w:snapToGrid w:val="0"/>
              <w:spacing w:line="320" w:lineRule="exact"/>
              <w:jc w:val="center"/>
              <w:rPr>
                <w:rFonts w:hint="eastAsia" w:ascii="仿宋_GB2312" w:hAnsi="仿宋_GB2312" w:eastAsia="仿宋_GB2312" w:cs="仿宋_GB2312"/>
                <w:sz w:val="22"/>
                <w:szCs w:val="22"/>
              </w:rPr>
            </w:pPr>
          </w:p>
        </w:tc>
        <w:tc>
          <w:tcPr>
            <w:tcW w:w="684"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建成</w:t>
            </w:r>
          </w:p>
        </w:tc>
        <w:tc>
          <w:tcPr>
            <w:tcW w:w="768" w:type="dxa"/>
            <w:vAlign w:val="center"/>
          </w:tcPr>
          <w:p>
            <w:pPr>
              <w:spacing w:line="320" w:lineRule="exact"/>
              <w:jc w:val="center"/>
              <w:rPr>
                <w:rFonts w:hint="eastAsia" w:ascii="仿宋_GB2312" w:hAnsi="仿宋_GB2312" w:eastAsia="仿宋_GB2312" w:cs="仿宋_GB2312"/>
                <w:sz w:val="22"/>
                <w:szCs w:val="22"/>
              </w:rPr>
            </w:pPr>
          </w:p>
        </w:tc>
        <w:tc>
          <w:tcPr>
            <w:tcW w:w="931" w:type="dxa"/>
            <w:vMerge w:val="restart"/>
            <w:vAlign w:val="center"/>
          </w:tcPr>
          <w:p>
            <w:pPr>
              <w:spacing w:line="32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“一环七射线”高速公路网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4" w:hRule="atLeast"/>
          <w:jc w:val="center"/>
        </w:trPr>
        <w:tc>
          <w:tcPr>
            <w:tcW w:w="566" w:type="dxa"/>
            <w:vMerge w:val="continue"/>
            <w:vAlign w:val="center"/>
          </w:tcPr>
          <w:p>
            <w:pPr>
              <w:spacing w:line="320" w:lineRule="exact"/>
              <w:jc w:val="center"/>
              <w:rPr>
                <w:rFonts w:hint="eastAsia" w:ascii="仿宋_GB2312" w:hAnsi="仿宋_GB2312" w:eastAsia="仿宋_GB2312" w:cs="仿宋_GB2312"/>
                <w:sz w:val="22"/>
                <w:szCs w:val="22"/>
              </w:rPr>
            </w:pPr>
          </w:p>
        </w:tc>
        <w:tc>
          <w:tcPr>
            <w:tcW w:w="518" w:type="dxa"/>
            <w:vMerge w:val="continue"/>
            <w:vAlign w:val="center"/>
          </w:tcPr>
          <w:p>
            <w:pPr>
              <w:spacing w:line="320" w:lineRule="exact"/>
              <w:jc w:val="center"/>
              <w:rPr>
                <w:rFonts w:hint="eastAsia" w:ascii="仿宋_GB2312" w:hAnsi="仿宋_GB2312" w:eastAsia="仿宋_GB2312" w:cs="仿宋_GB2312"/>
                <w:sz w:val="22"/>
                <w:szCs w:val="22"/>
              </w:rPr>
            </w:pPr>
          </w:p>
        </w:tc>
        <w:tc>
          <w:tcPr>
            <w:tcW w:w="2437"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G75兰海高速</w:t>
            </w:r>
          </w:p>
        </w:tc>
        <w:tc>
          <w:tcPr>
            <w:tcW w:w="979"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21</w:t>
            </w:r>
          </w:p>
        </w:tc>
        <w:tc>
          <w:tcPr>
            <w:tcW w:w="1413" w:type="dxa"/>
            <w:vAlign w:val="center"/>
          </w:tcPr>
          <w:p>
            <w:pPr>
              <w:adjustRightInd w:val="0"/>
              <w:snapToGrid w:val="0"/>
              <w:spacing w:line="320" w:lineRule="exact"/>
              <w:jc w:val="center"/>
              <w:rPr>
                <w:rFonts w:hint="eastAsia" w:ascii="仿宋_GB2312" w:hAnsi="仿宋_GB2312" w:eastAsia="仿宋_GB2312" w:cs="仿宋_GB2312"/>
                <w:sz w:val="22"/>
                <w:szCs w:val="22"/>
              </w:rPr>
            </w:pPr>
          </w:p>
        </w:tc>
        <w:tc>
          <w:tcPr>
            <w:tcW w:w="684"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建成</w:t>
            </w:r>
          </w:p>
        </w:tc>
        <w:tc>
          <w:tcPr>
            <w:tcW w:w="768" w:type="dxa"/>
            <w:vAlign w:val="center"/>
          </w:tcPr>
          <w:p>
            <w:pPr>
              <w:spacing w:line="320" w:lineRule="exact"/>
              <w:jc w:val="center"/>
              <w:rPr>
                <w:rFonts w:hint="eastAsia" w:ascii="仿宋_GB2312" w:hAnsi="仿宋_GB2312" w:eastAsia="仿宋_GB2312" w:cs="仿宋_GB2312"/>
                <w:sz w:val="22"/>
                <w:szCs w:val="22"/>
              </w:rPr>
            </w:pPr>
          </w:p>
        </w:tc>
        <w:tc>
          <w:tcPr>
            <w:tcW w:w="931" w:type="dxa"/>
            <w:vMerge w:val="continue"/>
            <w:vAlign w:val="center"/>
          </w:tcPr>
          <w:p>
            <w:pPr>
              <w:spacing w:line="320" w:lineRule="exact"/>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4" w:hRule="atLeast"/>
          <w:jc w:val="center"/>
        </w:trPr>
        <w:tc>
          <w:tcPr>
            <w:tcW w:w="566" w:type="dxa"/>
            <w:vMerge w:val="continue"/>
            <w:vAlign w:val="center"/>
          </w:tcPr>
          <w:p>
            <w:pPr>
              <w:spacing w:line="320" w:lineRule="exact"/>
              <w:jc w:val="center"/>
              <w:rPr>
                <w:rFonts w:hint="eastAsia" w:ascii="仿宋_GB2312" w:hAnsi="仿宋_GB2312" w:eastAsia="仿宋_GB2312" w:cs="仿宋_GB2312"/>
                <w:sz w:val="22"/>
                <w:szCs w:val="22"/>
              </w:rPr>
            </w:pPr>
          </w:p>
        </w:tc>
        <w:tc>
          <w:tcPr>
            <w:tcW w:w="518" w:type="dxa"/>
            <w:vMerge w:val="continue"/>
            <w:vAlign w:val="center"/>
          </w:tcPr>
          <w:p>
            <w:pPr>
              <w:spacing w:line="320" w:lineRule="exact"/>
              <w:jc w:val="center"/>
              <w:rPr>
                <w:rFonts w:hint="eastAsia" w:ascii="仿宋_GB2312" w:hAnsi="仿宋_GB2312" w:eastAsia="仿宋_GB2312" w:cs="仿宋_GB2312"/>
                <w:sz w:val="22"/>
                <w:szCs w:val="22"/>
              </w:rPr>
            </w:pPr>
          </w:p>
        </w:tc>
        <w:tc>
          <w:tcPr>
            <w:tcW w:w="2437"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G5012恩广高速</w:t>
            </w:r>
          </w:p>
        </w:tc>
        <w:tc>
          <w:tcPr>
            <w:tcW w:w="979"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18.6</w:t>
            </w:r>
          </w:p>
        </w:tc>
        <w:tc>
          <w:tcPr>
            <w:tcW w:w="1413" w:type="dxa"/>
            <w:vAlign w:val="center"/>
          </w:tcPr>
          <w:p>
            <w:pPr>
              <w:adjustRightInd w:val="0"/>
              <w:snapToGrid w:val="0"/>
              <w:spacing w:line="320" w:lineRule="exact"/>
              <w:jc w:val="center"/>
              <w:rPr>
                <w:rFonts w:hint="eastAsia" w:ascii="仿宋_GB2312" w:hAnsi="仿宋_GB2312" w:eastAsia="仿宋_GB2312" w:cs="仿宋_GB2312"/>
                <w:sz w:val="22"/>
                <w:szCs w:val="22"/>
              </w:rPr>
            </w:pPr>
          </w:p>
        </w:tc>
        <w:tc>
          <w:tcPr>
            <w:tcW w:w="684"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建成</w:t>
            </w:r>
          </w:p>
        </w:tc>
        <w:tc>
          <w:tcPr>
            <w:tcW w:w="768" w:type="dxa"/>
            <w:vAlign w:val="center"/>
          </w:tcPr>
          <w:p>
            <w:pPr>
              <w:spacing w:line="320" w:lineRule="exact"/>
              <w:jc w:val="center"/>
              <w:rPr>
                <w:rFonts w:hint="eastAsia" w:ascii="仿宋_GB2312" w:hAnsi="仿宋_GB2312" w:eastAsia="仿宋_GB2312" w:cs="仿宋_GB2312"/>
                <w:sz w:val="22"/>
                <w:szCs w:val="22"/>
              </w:rPr>
            </w:pPr>
          </w:p>
        </w:tc>
        <w:tc>
          <w:tcPr>
            <w:tcW w:w="931" w:type="dxa"/>
            <w:vMerge w:val="continue"/>
            <w:vAlign w:val="center"/>
          </w:tcPr>
          <w:p>
            <w:pPr>
              <w:spacing w:line="320" w:lineRule="exact"/>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7" w:hRule="atLeast"/>
          <w:jc w:val="center"/>
        </w:trPr>
        <w:tc>
          <w:tcPr>
            <w:tcW w:w="566" w:type="dxa"/>
            <w:vMerge w:val="continue"/>
            <w:vAlign w:val="center"/>
          </w:tcPr>
          <w:p>
            <w:pPr>
              <w:spacing w:line="320" w:lineRule="exact"/>
              <w:jc w:val="center"/>
              <w:rPr>
                <w:rFonts w:hint="eastAsia" w:ascii="仿宋_GB2312" w:hAnsi="仿宋_GB2312" w:eastAsia="仿宋_GB2312" w:cs="仿宋_GB2312"/>
                <w:sz w:val="22"/>
                <w:szCs w:val="22"/>
              </w:rPr>
            </w:pPr>
          </w:p>
        </w:tc>
        <w:tc>
          <w:tcPr>
            <w:tcW w:w="518" w:type="dxa"/>
            <w:vMerge w:val="continue"/>
            <w:vAlign w:val="center"/>
          </w:tcPr>
          <w:p>
            <w:pPr>
              <w:spacing w:line="320" w:lineRule="exact"/>
              <w:jc w:val="center"/>
              <w:rPr>
                <w:rFonts w:hint="eastAsia" w:ascii="仿宋_GB2312" w:hAnsi="仿宋_GB2312" w:eastAsia="仿宋_GB2312" w:cs="仿宋_GB2312"/>
                <w:sz w:val="22"/>
                <w:szCs w:val="22"/>
              </w:rPr>
            </w:pPr>
          </w:p>
        </w:tc>
        <w:tc>
          <w:tcPr>
            <w:tcW w:w="2437"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SH广元绕城高速</w:t>
            </w:r>
          </w:p>
        </w:tc>
        <w:tc>
          <w:tcPr>
            <w:tcW w:w="979"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19</w:t>
            </w:r>
          </w:p>
        </w:tc>
        <w:tc>
          <w:tcPr>
            <w:tcW w:w="1413" w:type="dxa"/>
            <w:vAlign w:val="center"/>
          </w:tcPr>
          <w:p>
            <w:pPr>
              <w:adjustRightInd w:val="0"/>
              <w:snapToGrid w:val="0"/>
              <w:spacing w:line="320" w:lineRule="exact"/>
              <w:jc w:val="center"/>
              <w:rPr>
                <w:rFonts w:hint="eastAsia" w:ascii="仿宋_GB2312" w:hAnsi="仿宋_GB2312" w:eastAsia="仿宋_GB2312" w:cs="仿宋_GB2312"/>
                <w:sz w:val="22"/>
                <w:szCs w:val="22"/>
              </w:rPr>
            </w:pPr>
          </w:p>
        </w:tc>
        <w:tc>
          <w:tcPr>
            <w:tcW w:w="684"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建成</w:t>
            </w:r>
          </w:p>
        </w:tc>
        <w:tc>
          <w:tcPr>
            <w:tcW w:w="768" w:type="dxa"/>
            <w:vAlign w:val="center"/>
          </w:tcPr>
          <w:p>
            <w:pPr>
              <w:spacing w:line="320" w:lineRule="exact"/>
              <w:jc w:val="center"/>
              <w:rPr>
                <w:rFonts w:hint="eastAsia" w:ascii="仿宋_GB2312" w:hAnsi="仿宋_GB2312" w:eastAsia="仿宋_GB2312" w:cs="仿宋_GB2312"/>
                <w:sz w:val="22"/>
                <w:szCs w:val="22"/>
              </w:rPr>
            </w:pPr>
          </w:p>
        </w:tc>
        <w:tc>
          <w:tcPr>
            <w:tcW w:w="931" w:type="dxa"/>
            <w:vMerge w:val="continue"/>
            <w:vAlign w:val="center"/>
          </w:tcPr>
          <w:p>
            <w:pPr>
              <w:spacing w:line="320" w:lineRule="exact"/>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7" w:hRule="atLeast"/>
          <w:jc w:val="center"/>
        </w:trPr>
        <w:tc>
          <w:tcPr>
            <w:tcW w:w="566" w:type="dxa"/>
            <w:vMerge w:val="continue"/>
            <w:vAlign w:val="center"/>
          </w:tcPr>
          <w:p>
            <w:pPr>
              <w:spacing w:line="320" w:lineRule="exact"/>
              <w:jc w:val="center"/>
              <w:rPr>
                <w:rFonts w:hint="eastAsia" w:ascii="仿宋_GB2312" w:hAnsi="仿宋_GB2312" w:eastAsia="仿宋_GB2312" w:cs="仿宋_GB2312"/>
                <w:sz w:val="22"/>
                <w:szCs w:val="22"/>
              </w:rPr>
            </w:pPr>
          </w:p>
        </w:tc>
        <w:tc>
          <w:tcPr>
            <w:tcW w:w="518" w:type="dxa"/>
            <w:vMerge w:val="continue"/>
            <w:vAlign w:val="center"/>
          </w:tcPr>
          <w:p>
            <w:pPr>
              <w:spacing w:line="320" w:lineRule="exact"/>
              <w:jc w:val="center"/>
              <w:rPr>
                <w:rFonts w:hint="eastAsia" w:ascii="仿宋_GB2312" w:hAnsi="仿宋_GB2312" w:eastAsia="仿宋_GB2312" w:cs="仿宋_GB2312"/>
                <w:sz w:val="22"/>
                <w:szCs w:val="22"/>
              </w:rPr>
            </w:pPr>
          </w:p>
        </w:tc>
        <w:tc>
          <w:tcPr>
            <w:tcW w:w="2437"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G5京昆高速复线</w:t>
            </w:r>
          </w:p>
        </w:tc>
        <w:tc>
          <w:tcPr>
            <w:tcW w:w="979"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30</w:t>
            </w:r>
          </w:p>
        </w:tc>
        <w:tc>
          <w:tcPr>
            <w:tcW w:w="1413" w:type="dxa"/>
            <w:vAlign w:val="center"/>
          </w:tcPr>
          <w:p>
            <w:pPr>
              <w:adjustRightInd w:val="0"/>
              <w:snapToGrid w:val="0"/>
              <w:spacing w:line="320" w:lineRule="exact"/>
              <w:jc w:val="center"/>
              <w:rPr>
                <w:rFonts w:hint="eastAsia" w:ascii="仿宋_GB2312" w:hAnsi="仿宋_GB2312" w:eastAsia="仿宋_GB2312" w:cs="仿宋_GB2312"/>
                <w:sz w:val="22"/>
                <w:szCs w:val="22"/>
              </w:rPr>
            </w:pPr>
          </w:p>
        </w:tc>
        <w:tc>
          <w:tcPr>
            <w:tcW w:w="684" w:type="dxa"/>
            <w:vAlign w:val="center"/>
          </w:tcPr>
          <w:p>
            <w:pPr>
              <w:adjustRightInd w:val="0"/>
              <w:snapToGrid w:val="0"/>
              <w:spacing w:line="320" w:lineRule="exact"/>
              <w:jc w:val="center"/>
              <w:rPr>
                <w:rFonts w:hint="eastAsia" w:ascii="仿宋_GB2312" w:hAnsi="仿宋_GB2312" w:eastAsia="仿宋_GB2312" w:cs="仿宋_GB2312"/>
                <w:sz w:val="22"/>
                <w:szCs w:val="22"/>
              </w:rPr>
            </w:pPr>
          </w:p>
        </w:tc>
        <w:tc>
          <w:tcPr>
            <w:tcW w:w="768"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新开工</w:t>
            </w:r>
          </w:p>
        </w:tc>
        <w:tc>
          <w:tcPr>
            <w:tcW w:w="931" w:type="dxa"/>
            <w:vMerge w:val="continue"/>
            <w:vAlign w:val="center"/>
          </w:tcPr>
          <w:p>
            <w:pPr>
              <w:spacing w:line="320" w:lineRule="exact"/>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5" w:hRule="atLeast"/>
          <w:jc w:val="center"/>
        </w:trPr>
        <w:tc>
          <w:tcPr>
            <w:tcW w:w="566" w:type="dxa"/>
            <w:vMerge w:val="continue"/>
            <w:vAlign w:val="center"/>
          </w:tcPr>
          <w:p>
            <w:pPr>
              <w:spacing w:line="320" w:lineRule="exact"/>
              <w:jc w:val="center"/>
              <w:rPr>
                <w:rFonts w:hint="eastAsia" w:ascii="仿宋_GB2312" w:hAnsi="仿宋_GB2312" w:eastAsia="仿宋_GB2312" w:cs="仿宋_GB2312"/>
                <w:sz w:val="22"/>
                <w:szCs w:val="22"/>
              </w:rPr>
            </w:pPr>
          </w:p>
        </w:tc>
        <w:tc>
          <w:tcPr>
            <w:tcW w:w="518" w:type="dxa"/>
            <w:vMerge w:val="restart"/>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普通国道</w:t>
            </w:r>
          </w:p>
        </w:tc>
        <w:tc>
          <w:tcPr>
            <w:tcW w:w="2437"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G108北京—昆明</w:t>
            </w:r>
          </w:p>
        </w:tc>
        <w:tc>
          <w:tcPr>
            <w:tcW w:w="979"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68.7</w:t>
            </w:r>
          </w:p>
        </w:tc>
        <w:tc>
          <w:tcPr>
            <w:tcW w:w="1413"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现状一、二级</w:t>
            </w:r>
          </w:p>
        </w:tc>
        <w:tc>
          <w:tcPr>
            <w:tcW w:w="684"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建成</w:t>
            </w:r>
          </w:p>
        </w:tc>
        <w:tc>
          <w:tcPr>
            <w:tcW w:w="768" w:type="dxa"/>
            <w:vAlign w:val="center"/>
          </w:tcPr>
          <w:p>
            <w:pPr>
              <w:spacing w:line="32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新建宝轮镇过境段</w:t>
            </w:r>
          </w:p>
        </w:tc>
        <w:tc>
          <w:tcPr>
            <w:tcW w:w="931" w:type="dxa"/>
            <w:vMerge w:val="restart"/>
            <w:vAlign w:val="center"/>
          </w:tcPr>
          <w:p>
            <w:pPr>
              <w:spacing w:line="32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“三横四纵”的普通国省道网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5" w:hRule="atLeast"/>
          <w:jc w:val="center"/>
        </w:trPr>
        <w:tc>
          <w:tcPr>
            <w:tcW w:w="566" w:type="dxa"/>
            <w:vMerge w:val="continue"/>
            <w:vAlign w:val="center"/>
          </w:tcPr>
          <w:p>
            <w:pPr>
              <w:spacing w:line="320" w:lineRule="exact"/>
              <w:jc w:val="center"/>
              <w:rPr>
                <w:rFonts w:hint="eastAsia" w:ascii="仿宋_GB2312" w:hAnsi="仿宋_GB2312" w:eastAsia="仿宋_GB2312" w:cs="仿宋_GB2312"/>
                <w:sz w:val="22"/>
                <w:szCs w:val="22"/>
              </w:rPr>
            </w:pPr>
          </w:p>
        </w:tc>
        <w:tc>
          <w:tcPr>
            <w:tcW w:w="518" w:type="dxa"/>
            <w:vMerge w:val="continue"/>
            <w:vAlign w:val="center"/>
          </w:tcPr>
          <w:p>
            <w:pPr>
              <w:spacing w:line="320" w:lineRule="exact"/>
              <w:jc w:val="center"/>
              <w:rPr>
                <w:rFonts w:hint="eastAsia" w:ascii="仿宋_GB2312" w:hAnsi="仿宋_GB2312" w:eastAsia="仿宋_GB2312" w:cs="仿宋_GB2312"/>
                <w:sz w:val="22"/>
                <w:szCs w:val="22"/>
              </w:rPr>
            </w:pPr>
          </w:p>
        </w:tc>
        <w:tc>
          <w:tcPr>
            <w:tcW w:w="2437"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G212兰州—龙邦</w:t>
            </w:r>
          </w:p>
        </w:tc>
        <w:tc>
          <w:tcPr>
            <w:tcW w:w="979"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91.2</w:t>
            </w:r>
          </w:p>
        </w:tc>
        <w:tc>
          <w:tcPr>
            <w:tcW w:w="1413"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现状一、二级</w:t>
            </w:r>
          </w:p>
        </w:tc>
        <w:tc>
          <w:tcPr>
            <w:tcW w:w="684"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建成</w:t>
            </w:r>
          </w:p>
        </w:tc>
        <w:tc>
          <w:tcPr>
            <w:tcW w:w="768" w:type="dxa"/>
            <w:vAlign w:val="center"/>
          </w:tcPr>
          <w:p>
            <w:pPr>
              <w:spacing w:line="32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新建南山隧道</w:t>
            </w:r>
          </w:p>
        </w:tc>
        <w:tc>
          <w:tcPr>
            <w:tcW w:w="931" w:type="dxa"/>
            <w:vMerge w:val="continue"/>
            <w:vAlign w:val="center"/>
          </w:tcPr>
          <w:p>
            <w:pPr>
              <w:spacing w:line="320" w:lineRule="exact"/>
              <w:jc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5" w:hRule="atLeast"/>
          <w:jc w:val="center"/>
        </w:trPr>
        <w:tc>
          <w:tcPr>
            <w:tcW w:w="566" w:type="dxa"/>
            <w:vMerge w:val="continue"/>
            <w:vAlign w:val="center"/>
          </w:tcPr>
          <w:p>
            <w:pPr>
              <w:spacing w:line="320" w:lineRule="exact"/>
              <w:jc w:val="center"/>
              <w:rPr>
                <w:rFonts w:hint="eastAsia" w:ascii="仿宋_GB2312" w:hAnsi="仿宋_GB2312" w:eastAsia="仿宋_GB2312" w:cs="仿宋_GB2312"/>
                <w:sz w:val="22"/>
                <w:szCs w:val="22"/>
              </w:rPr>
            </w:pPr>
          </w:p>
        </w:tc>
        <w:tc>
          <w:tcPr>
            <w:tcW w:w="518" w:type="dxa"/>
            <w:vMerge w:val="continue"/>
            <w:vAlign w:val="center"/>
          </w:tcPr>
          <w:p>
            <w:pPr>
              <w:spacing w:line="320" w:lineRule="exact"/>
              <w:jc w:val="center"/>
              <w:rPr>
                <w:rFonts w:hint="eastAsia" w:ascii="仿宋_GB2312" w:hAnsi="仿宋_GB2312" w:eastAsia="仿宋_GB2312" w:cs="仿宋_GB2312"/>
                <w:sz w:val="22"/>
                <w:szCs w:val="22"/>
              </w:rPr>
            </w:pPr>
          </w:p>
        </w:tc>
        <w:tc>
          <w:tcPr>
            <w:tcW w:w="2437"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G542广元—万州</w:t>
            </w:r>
          </w:p>
        </w:tc>
        <w:tc>
          <w:tcPr>
            <w:tcW w:w="979"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25.2</w:t>
            </w:r>
          </w:p>
        </w:tc>
        <w:tc>
          <w:tcPr>
            <w:tcW w:w="1413"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现状一、二级</w:t>
            </w:r>
          </w:p>
        </w:tc>
        <w:tc>
          <w:tcPr>
            <w:tcW w:w="684"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建成</w:t>
            </w:r>
          </w:p>
        </w:tc>
        <w:tc>
          <w:tcPr>
            <w:tcW w:w="768" w:type="dxa"/>
            <w:vAlign w:val="center"/>
          </w:tcPr>
          <w:p>
            <w:pPr>
              <w:spacing w:line="320" w:lineRule="exact"/>
              <w:rPr>
                <w:rFonts w:hint="eastAsia" w:ascii="仿宋_GB2312" w:hAnsi="仿宋_GB2312" w:eastAsia="仿宋_GB2312" w:cs="仿宋_GB2312"/>
                <w:sz w:val="22"/>
                <w:szCs w:val="22"/>
              </w:rPr>
            </w:pPr>
          </w:p>
        </w:tc>
        <w:tc>
          <w:tcPr>
            <w:tcW w:w="931" w:type="dxa"/>
            <w:vMerge w:val="continue"/>
            <w:vAlign w:val="center"/>
          </w:tcPr>
          <w:p>
            <w:pPr>
              <w:spacing w:line="320" w:lineRule="exact"/>
              <w:jc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3" w:hRule="atLeast"/>
          <w:jc w:val="center"/>
        </w:trPr>
        <w:tc>
          <w:tcPr>
            <w:tcW w:w="566" w:type="dxa"/>
            <w:vMerge w:val="continue"/>
            <w:vAlign w:val="center"/>
          </w:tcPr>
          <w:p>
            <w:pPr>
              <w:spacing w:line="320" w:lineRule="exact"/>
              <w:jc w:val="center"/>
              <w:rPr>
                <w:rFonts w:hint="eastAsia" w:ascii="仿宋_GB2312" w:hAnsi="仿宋_GB2312" w:eastAsia="仿宋_GB2312" w:cs="仿宋_GB2312"/>
                <w:sz w:val="22"/>
                <w:szCs w:val="22"/>
              </w:rPr>
            </w:pPr>
          </w:p>
        </w:tc>
        <w:tc>
          <w:tcPr>
            <w:tcW w:w="518" w:type="dxa"/>
            <w:vMerge w:val="restart"/>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普通省道</w:t>
            </w:r>
          </w:p>
        </w:tc>
        <w:tc>
          <w:tcPr>
            <w:tcW w:w="2437" w:type="dxa"/>
            <w:vAlign w:val="center"/>
          </w:tcPr>
          <w:p>
            <w:pPr>
              <w:adjustRightInd w:val="0"/>
              <w:snapToGrid w:val="0"/>
              <w:spacing w:line="32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S205云雾山（朝天）—裕民（岳池）</w:t>
            </w:r>
          </w:p>
        </w:tc>
        <w:tc>
          <w:tcPr>
            <w:tcW w:w="979"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19.4</w:t>
            </w:r>
          </w:p>
        </w:tc>
        <w:tc>
          <w:tcPr>
            <w:tcW w:w="1413"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现状四级</w:t>
            </w:r>
          </w:p>
        </w:tc>
        <w:tc>
          <w:tcPr>
            <w:tcW w:w="684"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建成</w:t>
            </w:r>
          </w:p>
        </w:tc>
        <w:tc>
          <w:tcPr>
            <w:tcW w:w="768" w:type="dxa"/>
            <w:vAlign w:val="center"/>
          </w:tcPr>
          <w:p>
            <w:pPr>
              <w:spacing w:line="32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延伸朝天界至利州城区南陵村为拟新增省道</w:t>
            </w:r>
          </w:p>
        </w:tc>
        <w:tc>
          <w:tcPr>
            <w:tcW w:w="931" w:type="dxa"/>
            <w:vMerge w:val="continue"/>
            <w:vAlign w:val="center"/>
          </w:tcPr>
          <w:p>
            <w:pPr>
              <w:spacing w:line="320" w:lineRule="exact"/>
              <w:jc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2" w:hRule="atLeast"/>
          <w:jc w:val="center"/>
        </w:trPr>
        <w:tc>
          <w:tcPr>
            <w:tcW w:w="566" w:type="dxa"/>
            <w:vMerge w:val="continue"/>
            <w:vAlign w:val="center"/>
          </w:tcPr>
          <w:p>
            <w:pPr>
              <w:spacing w:line="320" w:lineRule="exact"/>
              <w:jc w:val="center"/>
              <w:rPr>
                <w:rFonts w:hint="eastAsia" w:ascii="仿宋_GB2312" w:hAnsi="仿宋_GB2312" w:eastAsia="仿宋_GB2312" w:cs="仿宋_GB2312"/>
                <w:sz w:val="22"/>
                <w:szCs w:val="22"/>
              </w:rPr>
            </w:pPr>
          </w:p>
        </w:tc>
        <w:tc>
          <w:tcPr>
            <w:tcW w:w="518" w:type="dxa"/>
            <w:vMerge w:val="continue"/>
            <w:vAlign w:val="center"/>
          </w:tcPr>
          <w:p>
            <w:pPr>
              <w:spacing w:line="320" w:lineRule="exact"/>
              <w:jc w:val="center"/>
              <w:rPr>
                <w:rFonts w:hint="eastAsia" w:ascii="仿宋_GB2312" w:hAnsi="仿宋_GB2312" w:eastAsia="仿宋_GB2312" w:cs="仿宋_GB2312"/>
                <w:sz w:val="22"/>
                <w:szCs w:val="22"/>
              </w:rPr>
            </w:pPr>
          </w:p>
        </w:tc>
        <w:tc>
          <w:tcPr>
            <w:tcW w:w="2437" w:type="dxa"/>
            <w:vAlign w:val="center"/>
          </w:tcPr>
          <w:p>
            <w:pPr>
              <w:adjustRightInd w:val="0"/>
              <w:snapToGrid w:val="0"/>
              <w:spacing w:line="32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S301诺水河（通江）—</w:t>
            </w:r>
          </w:p>
          <w:p>
            <w:pPr>
              <w:adjustRightInd w:val="0"/>
              <w:snapToGrid w:val="0"/>
              <w:spacing w:line="32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瓦切（红原）</w:t>
            </w:r>
          </w:p>
        </w:tc>
        <w:tc>
          <w:tcPr>
            <w:tcW w:w="979"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23.3</w:t>
            </w:r>
          </w:p>
        </w:tc>
        <w:tc>
          <w:tcPr>
            <w:tcW w:w="1413"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现状二级</w:t>
            </w:r>
          </w:p>
        </w:tc>
        <w:tc>
          <w:tcPr>
            <w:tcW w:w="684"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建成</w:t>
            </w:r>
          </w:p>
        </w:tc>
        <w:tc>
          <w:tcPr>
            <w:tcW w:w="768" w:type="dxa"/>
            <w:vAlign w:val="center"/>
          </w:tcPr>
          <w:p>
            <w:pPr>
              <w:spacing w:line="320" w:lineRule="exact"/>
              <w:jc w:val="center"/>
              <w:rPr>
                <w:rFonts w:hint="eastAsia" w:ascii="仿宋_GB2312" w:hAnsi="仿宋_GB2312" w:eastAsia="仿宋_GB2312" w:cs="仿宋_GB2312"/>
                <w:sz w:val="22"/>
                <w:szCs w:val="22"/>
              </w:rPr>
            </w:pPr>
          </w:p>
        </w:tc>
        <w:tc>
          <w:tcPr>
            <w:tcW w:w="931" w:type="dxa"/>
            <w:vMerge w:val="continue"/>
            <w:vAlign w:val="center"/>
          </w:tcPr>
          <w:p>
            <w:pPr>
              <w:spacing w:line="320" w:lineRule="exact"/>
              <w:jc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1" w:hRule="atLeast"/>
          <w:jc w:val="center"/>
        </w:trPr>
        <w:tc>
          <w:tcPr>
            <w:tcW w:w="566" w:type="dxa"/>
            <w:vMerge w:val="continue"/>
            <w:vAlign w:val="center"/>
          </w:tcPr>
          <w:p>
            <w:pPr>
              <w:spacing w:line="320" w:lineRule="exact"/>
              <w:jc w:val="center"/>
              <w:rPr>
                <w:rFonts w:hint="eastAsia" w:ascii="仿宋_GB2312" w:hAnsi="仿宋_GB2312" w:eastAsia="仿宋_GB2312" w:cs="仿宋_GB2312"/>
                <w:sz w:val="22"/>
                <w:szCs w:val="22"/>
              </w:rPr>
            </w:pPr>
          </w:p>
        </w:tc>
        <w:tc>
          <w:tcPr>
            <w:tcW w:w="518" w:type="dxa"/>
            <w:vMerge w:val="continue"/>
            <w:vAlign w:val="center"/>
          </w:tcPr>
          <w:p>
            <w:pPr>
              <w:spacing w:line="320" w:lineRule="exact"/>
              <w:jc w:val="center"/>
              <w:rPr>
                <w:rFonts w:hint="eastAsia" w:ascii="仿宋_GB2312" w:hAnsi="仿宋_GB2312" w:eastAsia="仿宋_GB2312" w:cs="仿宋_GB2312"/>
                <w:sz w:val="22"/>
                <w:szCs w:val="22"/>
              </w:rPr>
            </w:pPr>
          </w:p>
        </w:tc>
        <w:tc>
          <w:tcPr>
            <w:tcW w:w="2437" w:type="dxa"/>
            <w:vAlign w:val="center"/>
          </w:tcPr>
          <w:p>
            <w:pPr>
              <w:adjustRightInd w:val="0"/>
              <w:snapToGrid w:val="0"/>
              <w:spacing w:line="32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S224两河口（朝天）川陕界—开封（剑阁）</w:t>
            </w:r>
          </w:p>
        </w:tc>
        <w:tc>
          <w:tcPr>
            <w:tcW w:w="979"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10.1</w:t>
            </w:r>
          </w:p>
        </w:tc>
        <w:tc>
          <w:tcPr>
            <w:tcW w:w="1413"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现状四级</w:t>
            </w:r>
          </w:p>
        </w:tc>
        <w:tc>
          <w:tcPr>
            <w:tcW w:w="684"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建成</w:t>
            </w:r>
          </w:p>
        </w:tc>
        <w:tc>
          <w:tcPr>
            <w:tcW w:w="768" w:type="dxa"/>
            <w:vAlign w:val="center"/>
          </w:tcPr>
          <w:p>
            <w:pPr>
              <w:spacing w:line="32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拟新增省道</w:t>
            </w:r>
          </w:p>
        </w:tc>
        <w:tc>
          <w:tcPr>
            <w:tcW w:w="931" w:type="dxa"/>
            <w:vMerge w:val="continue"/>
            <w:vAlign w:val="center"/>
          </w:tcPr>
          <w:p>
            <w:pPr>
              <w:spacing w:line="320" w:lineRule="exact"/>
              <w:jc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1" w:hRule="atLeast"/>
          <w:jc w:val="center"/>
        </w:trPr>
        <w:tc>
          <w:tcPr>
            <w:tcW w:w="566" w:type="dxa"/>
            <w:vMerge w:val="continue"/>
            <w:vAlign w:val="center"/>
          </w:tcPr>
          <w:p>
            <w:pPr>
              <w:spacing w:line="320" w:lineRule="exact"/>
              <w:jc w:val="center"/>
              <w:rPr>
                <w:rFonts w:hint="eastAsia" w:ascii="仿宋_GB2312" w:hAnsi="仿宋_GB2312" w:eastAsia="仿宋_GB2312" w:cs="仿宋_GB2312"/>
                <w:sz w:val="22"/>
                <w:szCs w:val="22"/>
              </w:rPr>
            </w:pPr>
          </w:p>
        </w:tc>
        <w:tc>
          <w:tcPr>
            <w:tcW w:w="518" w:type="dxa"/>
            <w:vMerge w:val="continue"/>
            <w:vAlign w:val="center"/>
          </w:tcPr>
          <w:p>
            <w:pPr>
              <w:spacing w:line="320" w:lineRule="exact"/>
              <w:jc w:val="center"/>
              <w:rPr>
                <w:rFonts w:hint="eastAsia" w:ascii="仿宋_GB2312" w:hAnsi="仿宋_GB2312" w:eastAsia="仿宋_GB2312" w:cs="仿宋_GB2312"/>
                <w:sz w:val="22"/>
                <w:szCs w:val="22"/>
              </w:rPr>
            </w:pPr>
          </w:p>
        </w:tc>
        <w:tc>
          <w:tcPr>
            <w:tcW w:w="2437" w:type="dxa"/>
            <w:vAlign w:val="center"/>
          </w:tcPr>
          <w:p>
            <w:pPr>
              <w:adjustRightInd w:val="0"/>
              <w:snapToGrid w:val="0"/>
              <w:spacing w:line="32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S416万家（旺苍）—雁江</w:t>
            </w:r>
          </w:p>
        </w:tc>
        <w:tc>
          <w:tcPr>
            <w:tcW w:w="979"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90</w:t>
            </w:r>
          </w:p>
        </w:tc>
        <w:tc>
          <w:tcPr>
            <w:tcW w:w="1413"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现状四级</w:t>
            </w:r>
          </w:p>
        </w:tc>
        <w:tc>
          <w:tcPr>
            <w:tcW w:w="684"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建成</w:t>
            </w:r>
          </w:p>
        </w:tc>
        <w:tc>
          <w:tcPr>
            <w:tcW w:w="768" w:type="dxa"/>
            <w:vAlign w:val="center"/>
          </w:tcPr>
          <w:p>
            <w:pPr>
              <w:spacing w:line="32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拟新增省道</w:t>
            </w:r>
          </w:p>
        </w:tc>
        <w:tc>
          <w:tcPr>
            <w:tcW w:w="931" w:type="dxa"/>
            <w:vMerge w:val="continue"/>
            <w:vAlign w:val="center"/>
          </w:tcPr>
          <w:p>
            <w:pPr>
              <w:spacing w:line="320" w:lineRule="exact"/>
              <w:jc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5" w:hRule="atLeast"/>
          <w:jc w:val="center"/>
        </w:trPr>
        <w:tc>
          <w:tcPr>
            <w:tcW w:w="566" w:type="dxa"/>
            <w:vMerge w:val="restart"/>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水运</w:t>
            </w:r>
          </w:p>
        </w:tc>
        <w:tc>
          <w:tcPr>
            <w:tcW w:w="518"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内河高等级航道</w:t>
            </w:r>
          </w:p>
        </w:tc>
        <w:tc>
          <w:tcPr>
            <w:tcW w:w="2437"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嘉陵江航道</w:t>
            </w:r>
          </w:p>
        </w:tc>
        <w:tc>
          <w:tcPr>
            <w:tcW w:w="979"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31</w:t>
            </w:r>
          </w:p>
        </w:tc>
        <w:tc>
          <w:tcPr>
            <w:tcW w:w="1413" w:type="dxa"/>
            <w:vAlign w:val="center"/>
          </w:tcPr>
          <w:p>
            <w:pPr>
              <w:adjustRightInd w:val="0"/>
              <w:snapToGrid w:val="0"/>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Ⅷ级</w:t>
            </w:r>
          </w:p>
        </w:tc>
        <w:tc>
          <w:tcPr>
            <w:tcW w:w="684"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建成</w:t>
            </w:r>
          </w:p>
        </w:tc>
        <w:tc>
          <w:tcPr>
            <w:tcW w:w="768"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规划</w:t>
            </w:r>
          </w:p>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Ⅲ级</w:t>
            </w:r>
          </w:p>
        </w:tc>
        <w:tc>
          <w:tcPr>
            <w:tcW w:w="931" w:type="dxa"/>
            <w:vMerge w:val="restart"/>
            <w:vAlign w:val="center"/>
          </w:tcPr>
          <w:p>
            <w:pPr>
              <w:spacing w:line="320" w:lineRule="exact"/>
              <w:jc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566" w:type="dxa"/>
            <w:vMerge w:val="continue"/>
            <w:vAlign w:val="center"/>
          </w:tcPr>
          <w:p>
            <w:pPr>
              <w:spacing w:line="320" w:lineRule="exact"/>
              <w:jc w:val="center"/>
              <w:rPr>
                <w:rFonts w:hint="eastAsia" w:ascii="仿宋_GB2312" w:hAnsi="仿宋_GB2312" w:eastAsia="仿宋_GB2312" w:cs="仿宋_GB2312"/>
                <w:sz w:val="22"/>
                <w:szCs w:val="22"/>
              </w:rPr>
            </w:pPr>
          </w:p>
        </w:tc>
        <w:tc>
          <w:tcPr>
            <w:tcW w:w="518"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广元港</w:t>
            </w:r>
          </w:p>
        </w:tc>
        <w:tc>
          <w:tcPr>
            <w:tcW w:w="2437"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利州港区（利州作业区）</w:t>
            </w:r>
          </w:p>
        </w:tc>
        <w:tc>
          <w:tcPr>
            <w:tcW w:w="979" w:type="dxa"/>
            <w:vAlign w:val="center"/>
          </w:tcPr>
          <w:p>
            <w:pPr>
              <w:spacing w:line="320" w:lineRule="exact"/>
              <w:jc w:val="center"/>
              <w:rPr>
                <w:rFonts w:hint="eastAsia" w:ascii="仿宋_GB2312" w:hAnsi="仿宋_GB2312" w:eastAsia="仿宋_GB2312" w:cs="仿宋_GB2312"/>
                <w:sz w:val="22"/>
                <w:szCs w:val="22"/>
              </w:rPr>
            </w:pPr>
          </w:p>
        </w:tc>
        <w:tc>
          <w:tcPr>
            <w:tcW w:w="1413" w:type="dxa"/>
            <w:vAlign w:val="center"/>
          </w:tcPr>
          <w:p>
            <w:pPr>
              <w:spacing w:line="320" w:lineRule="exact"/>
              <w:jc w:val="center"/>
              <w:rPr>
                <w:rFonts w:hint="eastAsia" w:ascii="仿宋_GB2312" w:hAnsi="仿宋_GB2312" w:eastAsia="仿宋_GB2312" w:cs="仿宋_GB2312"/>
                <w:sz w:val="22"/>
                <w:szCs w:val="22"/>
              </w:rPr>
            </w:pPr>
          </w:p>
        </w:tc>
        <w:tc>
          <w:tcPr>
            <w:tcW w:w="684"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规划</w:t>
            </w:r>
          </w:p>
        </w:tc>
        <w:tc>
          <w:tcPr>
            <w:tcW w:w="768"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嘉陵江</w:t>
            </w:r>
          </w:p>
        </w:tc>
        <w:tc>
          <w:tcPr>
            <w:tcW w:w="931" w:type="dxa"/>
            <w:vMerge w:val="continue"/>
            <w:vAlign w:val="center"/>
          </w:tcPr>
          <w:p>
            <w:pPr>
              <w:spacing w:line="320" w:lineRule="exact"/>
              <w:jc w:val="center"/>
              <w:rPr>
                <w:rFonts w:hint="eastAsia"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566"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航空</w:t>
            </w:r>
          </w:p>
        </w:tc>
        <w:tc>
          <w:tcPr>
            <w:tcW w:w="518"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机场</w:t>
            </w:r>
          </w:p>
        </w:tc>
        <w:tc>
          <w:tcPr>
            <w:tcW w:w="2437"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广元盘龙机场</w:t>
            </w:r>
          </w:p>
        </w:tc>
        <w:tc>
          <w:tcPr>
            <w:tcW w:w="979" w:type="dxa"/>
            <w:vAlign w:val="center"/>
          </w:tcPr>
          <w:p>
            <w:pPr>
              <w:spacing w:line="320" w:lineRule="exact"/>
              <w:jc w:val="center"/>
              <w:rPr>
                <w:rFonts w:hint="eastAsia" w:ascii="仿宋_GB2312" w:hAnsi="仿宋_GB2312" w:eastAsia="仿宋_GB2312" w:cs="仿宋_GB2312"/>
                <w:sz w:val="22"/>
                <w:szCs w:val="22"/>
              </w:rPr>
            </w:pPr>
          </w:p>
        </w:tc>
        <w:tc>
          <w:tcPr>
            <w:tcW w:w="1413" w:type="dxa"/>
            <w:vAlign w:val="center"/>
          </w:tcPr>
          <w:p>
            <w:pPr>
              <w:spacing w:line="320" w:lineRule="exact"/>
              <w:jc w:val="center"/>
              <w:rPr>
                <w:rFonts w:hint="eastAsia" w:ascii="仿宋_GB2312" w:hAnsi="仿宋_GB2312" w:eastAsia="仿宋_GB2312" w:cs="仿宋_GB2312"/>
                <w:sz w:val="22"/>
                <w:szCs w:val="22"/>
              </w:rPr>
            </w:pPr>
          </w:p>
        </w:tc>
        <w:tc>
          <w:tcPr>
            <w:tcW w:w="684" w:type="dxa"/>
            <w:vAlign w:val="center"/>
          </w:tcPr>
          <w:p>
            <w:pPr>
              <w:spacing w:line="32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建成</w:t>
            </w:r>
          </w:p>
        </w:tc>
        <w:tc>
          <w:tcPr>
            <w:tcW w:w="768" w:type="dxa"/>
            <w:vAlign w:val="center"/>
          </w:tcPr>
          <w:p>
            <w:pPr>
              <w:spacing w:line="320" w:lineRule="exact"/>
              <w:jc w:val="center"/>
              <w:rPr>
                <w:rFonts w:hint="eastAsia" w:ascii="仿宋_GB2312" w:hAnsi="仿宋_GB2312" w:eastAsia="仿宋_GB2312" w:cs="仿宋_GB2312"/>
                <w:sz w:val="22"/>
                <w:szCs w:val="22"/>
              </w:rPr>
            </w:pPr>
          </w:p>
        </w:tc>
        <w:tc>
          <w:tcPr>
            <w:tcW w:w="931" w:type="dxa"/>
            <w:vAlign w:val="center"/>
          </w:tcPr>
          <w:p>
            <w:pPr>
              <w:spacing w:line="320" w:lineRule="exact"/>
              <w:jc w:val="center"/>
              <w:rPr>
                <w:rFonts w:hint="eastAsia" w:ascii="仿宋_GB2312" w:hAnsi="仿宋_GB2312" w:eastAsia="仿宋_GB2312" w:cs="仿宋_GB2312"/>
                <w:sz w:val="22"/>
                <w:szCs w:val="22"/>
              </w:rPr>
            </w:pPr>
          </w:p>
        </w:tc>
      </w:tr>
    </w:tbl>
    <w:p>
      <w:pPr>
        <w:adjustRightInd w:val="0"/>
        <w:snapToGrid w:val="0"/>
        <w:spacing w:line="576" w:lineRule="exact"/>
        <w:ind w:firstLine="643" w:firstLineChars="200"/>
        <w:outlineLvl w:val="1"/>
        <w:rPr>
          <w:rFonts w:hint="eastAsia" w:ascii="仿宋_GB2312" w:hAnsi="仿宋_GB2312" w:eastAsia="仿宋_GB2312" w:cs="仿宋_GB2312"/>
          <w:b/>
          <w:sz w:val="32"/>
          <w:szCs w:val="32"/>
        </w:rPr>
      </w:pPr>
      <w:bookmarkStart w:id="56" w:name="_Toc111036284"/>
      <w:bookmarkStart w:id="57" w:name="_Toc114070033"/>
      <w:r>
        <w:rPr>
          <w:rFonts w:hint="eastAsia" w:ascii="仿宋_GB2312" w:hAnsi="仿宋_GB2312" w:eastAsia="仿宋_GB2312" w:cs="仿宋_GB2312"/>
          <w:b/>
          <w:sz w:val="32"/>
          <w:szCs w:val="32"/>
        </w:rPr>
        <w:t>（二）枢纽布局</w:t>
      </w:r>
      <w:bookmarkEnd w:id="56"/>
      <w:bookmarkEnd w:id="57"/>
    </w:p>
    <w:p>
      <w:pPr>
        <w:pStyle w:val="2"/>
        <w:spacing w:after="0" w:line="576" w:lineRule="exact"/>
        <w:ind w:firstLine="64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围绕强化枢纽站场能级为重点，结合利州“一体两翼”</w:t>
      </w:r>
      <w:r>
        <w:rPr>
          <w:rStyle w:val="22"/>
          <w:rFonts w:hint="eastAsia" w:ascii="仿宋_GB2312" w:hAnsi="仿宋_GB2312" w:eastAsia="仿宋_GB2312" w:cs="仿宋_GB2312"/>
        </w:rPr>
        <w:footnoteReference w:id="8"/>
      </w:r>
      <w:r>
        <w:rPr>
          <w:rFonts w:hint="eastAsia" w:ascii="仿宋_GB2312" w:hAnsi="仿宋_GB2312" w:eastAsia="仿宋_GB2312" w:cs="仿宋_GB2312"/>
          <w:sz w:val="32"/>
          <w:szCs w:val="32"/>
        </w:rPr>
        <w:t>城市发展空间格局和“一区五园”</w:t>
      </w:r>
      <w:r>
        <w:rPr>
          <w:rStyle w:val="22"/>
          <w:rFonts w:hint="eastAsia" w:ascii="仿宋_GB2312" w:hAnsi="仿宋_GB2312" w:eastAsia="仿宋_GB2312" w:cs="仿宋_GB2312"/>
        </w:rPr>
        <w:footnoteReference w:id="9"/>
      </w:r>
      <w:r>
        <w:rPr>
          <w:rFonts w:hint="eastAsia" w:ascii="仿宋_GB2312" w:hAnsi="仿宋_GB2312" w:eastAsia="仿宋_GB2312" w:cs="仿宋_GB2312"/>
          <w:sz w:val="32"/>
          <w:szCs w:val="32"/>
        </w:rPr>
        <w:t>制造业布局、“</w:t>
      </w:r>
      <w:bookmarkStart w:id="58" w:name="_Hlk67582128"/>
      <w:r>
        <w:rPr>
          <w:rFonts w:hint="eastAsia" w:ascii="仿宋_GB2312" w:hAnsi="仿宋_GB2312" w:eastAsia="仿宋_GB2312" w:cs="仿宋_GB2312"/>
          <w:sz w:val="32"/>
          <w:szCs w:val="32"/>
        </w:rPr>
        <w:t>一心一带四区</w:t>
      </w:r>
      <w:bookmarkEnd w:id="58"/>
      <w:r>
        <w:rPr>
          <w:rFonts w:hint="eastAsia" w:ascii="仿宋_GB2312" w:hAnsi="仿宋_GB2312" w:eastAsia="仿宋_GB2312" w:cs="仿宋_GB2312"/>
          <w:sz w:val="32"/>
          <w:szCs w:val="32"/>
        </w:rPr>
        <w:t>”</w:t>
      </w:r>
      <w:r>
        <w:rPr>
          <w:rStyle w:val="22"/>
          <w:rFonts w:hint="eastAsia" w:ascii="仿宋_GB2312" w:hAnsi="仿宋_GB2312" w:eastAsia="仿宋_GB2312" w:cs="仿宋_GB2312"/>
        </w:rPr>
        <w:footnoteReference w:id="10"/>
      </w:r>
      <w:r>
        <w:rPr>
          <w:rFonts w:hint="eastAsia" w:ascii="仿宋_GB2312" w:hAnsi="仿宋_GB2312" w:eastAsia="仿宋_GB2312" w:cs="仿宋_GB2312"/>
          <w:sz w:val="32"/>
          <w:szCs w:val="32"/>
        </w:rPr>
        <w:t>文旅产业布局、“4＋5”现代服务业体系、“5＋3”现代农业产业体系、“</w:t>
      </w:r>
      <w:bookmarkStart w:id="59" w:name="_Hlk87446847"/>
      <w:r>
        <w:rPr>
          <w:rFonts w:hint="eastAsia" w:ascii="仿宋_GB2312" w:hAnsi="仿宋_GB2312" w:eastAsia="仿宋_GB2312" w:cs="仿宋_GB2312"/>
          <w:sz w:val="32"/>
          <w:szCs w:val="32"/>
        </w:rPr>
        <w:t>一核二通道三区四中心</w:t>
      </w:r>
      <w:bookmarkEnd w:id="59"/>
      <w:r>
        <w:rPr>
          <w:rFonts w:hint="eastAsia" w:ascii="仿宋_GB2312" w:hAnsi="仿宋_GB2312" w:eastAsia="仿宋_GB2312" w:cs="仿宋_GB2312"/>
          <w:sz w:val="32"/>
          <w:szCs w:val="32"/>
        </w:rPr>
        <w:t>”</w:t>
      </w:r>
      <w:r>
        <w:rPr>
          <w:rStyle w:val="22"/>
          <w:rFonts w:hint="eastAsia" w:ascii="仿宋_GB2312" w:hAnsi="仿宋_GB2312" w:eastAsia="仿宋_GB2312" w:cs="仿宋_GB2312"/>
        </w:rPr>
        <w:footnoteReference w:id="11"/>
      </w:r>
      <w:r>
        <w:rPr>
          <w:rFonts w:hint="eastAsia" w:ascii="仿宋_GB2312" w:hAnsi="仿宋_GB2312" w:eastAsia="仿宋_GB2312" w:cs="仿宋_GB2312"/>
          <w:sz w:val="32"/>
          <w:szCs w:val="32"/>
        </w:rPr>
        <w:t>现代物流产业等产业格局，统筹考虑区位条件、发展定位、交通基础等因素，形成</w:t>
      </w:r>
      <w:r>
        <w:rPr>
          <w:rFonts w:hint="eastAsia" w:ascii="仿宋_GB2312" w:hAnsi="仿宋_GB2312" w:eastAsia="仿宋_GB2312" w:cs="仿宋_GB2312"/>
          <w:bCs/>
          <w:sz w:val="32"/>
          <w:szCs w:val="32"/>
        </w:rPr>
        <w:t>“1＋N”</w:t>
      </w:r>
      <w:r>
        <w:rPr>
          <w:rFonts w:hint="eastAsia" w:ascii="仿宋_GB2312" w:hAnsi="仿宋_GB2312" w:eastAsia="仿宋_GB2312" w:cs="仿宋_GB2312"/>
          <w:sz w:val="32"/>
          <w:szCs w:val="32"/>
        </w:rPr>
        <w:t>枢纽体系。</w:t>
      </w:r>
    </w:p>
    <w:p>
      <w:pPr>
        <w:pStyle w:val="2"/>
        <w:spacing w:after="0" w:line="576" w:lineRule="exact"/>
        <w:ind w:firstLine="645"/>
        <w:rPr>
          <w:rFonts w:hint="eastAsia" w:ascii="仿宋_GB2312" w:hAnsi="仿宋_GB2312" w:eastAsia="仿宋_GB2312" w:cs="仿宋_GB2312"/>
        </w:rPr>
      </w:pPr>
      <w:r>
        <w:rPr>
          <w:rFonts w:hint="eastAsia" w:ascii="仿宋_GB2312" w:hAnsi="仿宋_GB2312" w:eastAsia="仿宋_GB2312" w:cs="仿宋_GB2312"/>
          <w:bCs/>
          <w:sz w:val="32"/>
          <w:szCs w:val="32"/>
        </w:rPr>
        <w:t>“1”：</w:t>
      </w:r>
      <w:r>
        <w:rPr>
          <w:rFonts w:hint="eastAsia" w:ascii="仿宋_GB2312" w:hAnsi="仿宋_GB2312" w:eastAsia="仿宋_GB2312" w:cs="仿宋_GB2312"/>
          <w:sz w:val="32"/>
          <w:szCs w:val="32"/>
        </w:rPr>
        <w:t>以利州中心城镇为核心的主枢纽。考虑到中心区域涵盖文化旅游、商贸物流、生态康养等产业，西成客专、宝成铁路、兰渝铁路、广巴铁路、G5京昆高速、G108、G542等线路，以及广元站、广元南站等客运站均汇聚于中心区域，因此将利州中心城镇打造为主枢纽。</w:t>
      </w:r>
    </w:p>
    <w:tbl>
      <w:tblPr>
        <w:tblStyle w:val="23"/>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907"/>
        <w:gridCol w:w="1965"/>
        <w:gridCol w:w="4081"/>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tblHeader/>
          <w:jc w:val="center"/>
        </w:trPr>
        <w:tc>
          <w:tcPr>
            <w:tcW w:w="8845" w:type="dxa"/>
            <w:gridSpan w:val="5"/>
            <w:vAlign w:val="center"/>
          </w:tcPr>
          <w:p>
            <w:pPr>
              <w:widowControl/>
              <w:spacing w:line="340" w:lineRule="exact"/>
              <w:jc w:val="center"/>
              <w:rPr>
                <w:rFonts w:hint="eastAsia" w:ascii="仿宋_GB2312" w:hAnsi="仿宋_GB2312" w:eastAsia="仿宋_GB2312" w:cs="仿宋_GB2312"/>
                <w:b/>
                <w:bCs/>
                <w:kern w:val="0"/>
                <w:sz w:val="22"/>
                <w:szCs w:val="22"/>
              </w:rPr>
            </w:pPr>
            <w:r>
              <w:rPr>
                <w:rFonts w:hint="eastAsia" w:ascii="仿宋_GB2312" w:hAnsi="仿宋_GB2312" w:eastAsia="仿宋_GB2312" w:cs="仿宋_GB2312"/>
                <w:b/>
                <w:sz w:val="22"/>
                <w:szCs w:val="22"/>
              </w:rPr>
              <w:t>专栏3  利州中心城镇主枢纽规划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054" w:type="dxa"/>
            <w:vAlign w:val="center"/>
          </w:tcPr>
          <w:p>
            <w:pPr>
              <w:widowControl/>
              <w:spacing w:line="340" w:lineRule="exact"/>
              <w:jc w:val="center"/>
              <w:rPr>
                <w:rFonts w:hint="eastAsia" w:ascii="仿宋_GB2312" w:hAnsi="仿宋_GB2312" w:eastAsia="仿宋_GB2312" w:cs="仿宋_GB2312"/>
                <w:b/>
                <w:sz w:val="22"/>
                <w:szCs w:val="22"/>
              </w:rPr>
            </w:pPr>
            <w:r>
              <w:rPr>
                <w:rFonts w:hint="eastAsia" w:ascii="仿宋_GB2312" w:hAnsi="仿宋_GB2312" w:eastAsia="仿宋_GB2312" w:cs="仿宋_GB2312"/>
                <w:b/>
                <w:sz w:val="22"/>
                <w:szCs w:val="22"/>
              </w:rPr>
              <w:t>功能</w:t>
            </w:r>
          </w:p>
          <w:p>
            <w:pPr>
              <w:widowControl/>
              <w:spacing w:line="340" w:lineRule="exact"/>
              <w:jc w:val="center"/>
              <w:rPr>
                <w:rFonts w:hint="eastAsia" w:ascii="仿宋_GB2312" w:hAnsi="仿宋_GB2312" w:eastAsia="仿宋_GB2312" w:cs="仿宋_GB2312"/>
                <w:b/>
                <w:sz w:val="22"/>
                <w:szCs w:val="22"/>
              </w:rPr>
            </w:pPr>
            <w:r>
              <w:rPr>
                <w:rFonts w:hint="eastAsia" w:ascii="仿宋_GB2312" w:hAnsi="仿宋_GB2312" w:eastAsia="仿宋_GB2312" w:cs="仿宋_GB2312"/>
                <w:b/>
                <w:sz w:val="22"/>
                <w:szCs w:val="22"/>
              </w:rPr>
              <w:t>描述</w:t>
            </w:r>
          </w:p>
        </w:tc>
        <w:tc>
          <w:tcPr>
            <w:tcW w:w="907" w:type="dxa"/>
            <w:vAlign w:val="center"/>
          </w:tcPr>
          <w:p>
            <w:pPr>
              <w:widowControl/>
              <w:spacing w:line="340" w:lineRule="exact"/>
              <w:jc w:val="center"/>
              <w:rPr>
                <w:rFonts w:hint="eastAsia" w:ascii="仿宋_GB2312" w:hAnsi="仿宋_GB2312" w:eastAsia="仿宋_GB2312" w:cs="仿宋_GB2312"/>
                <w:b/>
                <w:sz w:val="22"/>
                <w:szCs w:val="22"/>
              </w:rPr>
            </w:pPr>
            <w:r>
              <w:rPr>
                <w:rFonts w:hint="eastAsia" w:ascii="仿宋_GB2312" w:hAnsi="仿宋_GB2312" w:eastAsia="仿宋_GB2312" w:cs="仿宋_GB2312"/>
                <w:b/>
                <w:sz w:val="22"/>
                <w:szCs w:val="22"/>
              </w:rPr>
              <w:t>枢纽站场主要组成</w:t>
            </w:r>
          </w:p>
        </w:tc>
        <w:tc>
          <w:tcPr>
            <w:tcW w:w="1965" w:type="dxa"/>
            <w:vAlign w:val="center"/>
          </w:tcPr>
          <w:p>
            <w:pPr>
              <w:widowControl/>
              <w:spacing w:line="340" w:lineRule="exact"/>
              <w:jc w:val="center"/>
              <w:rPr>
                <w:rFonts w:hint="eastAsia" w:ascii="仿宋_GB2312" w:hAnsi="仿宋_GB2312" w:eastAsia="仿宋_GB2312" w:cs="仿宋_GB2312"/>
                <w:b/>
                <w:sz w:val="22"/>
                <w:szCs w:val="22"/>
              </w:rPr>
            </w:pPr>
            <w:r>
              <w:rPr>
                <w:rFonts w:hint="eastAsia" w:ascii="仿宋_GB2312" w:hAnsi="仿宋_GB2312" w:eastAsia="仿宋_GB2312" w:cs="仿宋_GB2312"/>
                <w:b/>
                <w:sz w:val="22"/>
                <w:szCs w:val="22"/>
              </w:rPr>
              <w:t>名称</w:t>
            </w:r>
          </w:p>
        </w:tc>
        <w:tc>
          <w:tcPr>
            <w:tcW w:w="4081" w:type="dxa"/>
            <w:vAlign w:val="center"/>
          </w:tcPr>
          <w:p>
            <w:pPr>
              <w:widowControl/>
              <w:spacing w:line="340" w:lineRule="exact"/>
              <w:jc w:val="center"/>
              <w:rPr>
                <w:rFonts w:hint="eastAsia" w:ascii="仿宋_GB2312" w:hAnsi="仿宋_GB2312" w:eastAsia="仿宋_GB2312" w:cs="仿宋_GB2312"/>
                <w:b/>
                <w:sz w:val="22"/>
                <w:szCs w:val="22"/>
              </w:rPr>
            </w:pPr>
            <w:r>
              <w:rPr>
                <w:rFonts w:hint="eastAsia" w:ascii="仿宋_GB2312" w:hAnsi="仿宋_GB2312" w:eastAsia="仿宋_GB2312" w:cs="仿宋_GB2312"/>
                <w:b/>
                <w:sz w:val="22"/>
                <w:szCs w:val="22"/>
              </w:rPr>
              <w:t>功能定位</w:t>
            </w:r>
          </w:p>
        </w:tc>
        <w:tc>
          <w:tcPr>
            <w:tcW w:w="838" w:type="dxa"/>
            <w:vAlign w:val="center"/>
          </w:tcPr>
          <w:p>
            <w:pPr>
              <w:widowControl/>
              <w:spacing w:line="340" w:lineRule="exact"/>
              <w:jc w:val="center"/>
              <w:rPr>
                <w:rFonts w:hint="eastAsia" w:ascii="仿宋_GB2312" w:hAnsi="仿宋_GB2312" w:eastAsia="仿宋_GB2312" w:cs="仿宋_GB2312"/>
                <w:b/>
                <w:sz w:val="22"/>
                <w:szCs w:val="22"/>
              </w:rPr>
            </w:pPr>
            <w:r>
              <w:rPr>
                <w:rFonts w:hint="eastAsia" w:ascii="仿宋_GB2312" w:hAnsi="仿宋_GB2312" w:eastAsia="仿宋_GB2312" w:cs="仿宋_GB2312"/>
                <w:b/>
                <w:sz w:val="22"/>
                <w:szCs w:val="22"/>
              </w:rPr>
              <w:t>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4" w:type="dxa"/>
            <w:vMerge w:val="restart"/>
            <w:vAlign w:val="center"/>
          </w:tcPr>
          <w:p>
            <w:pPr>
              <w:pStyle w:val="2"/>
              <w:spacing w:after="0" w:line="340" w:lineRule="exac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广元全国性综合交通枢纽主战场，承接全国客运出行和货运流通，辐射周边区县及乡镇</w:t>
            </w:r>
          </w:p>
        </w:tc>
        <w:tc>
          <w:tcPr>
            <w:tcW w:w="907" w:type="dxa"/>
            <w:vMerge w:val="restart"/>
            <w:vAlign w:val="center"/>
          </w:tcPr>
          <w:p>
            <w:pPr>
              <w:pStyle w:val="2"/>
              <w:spacing w:after="0" w:line="340" w:lineRule="exact"/>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客运站场</w:t>
            </w:r>
          </w:p>
        </w:tc>
        <w:tc>
          <w:tcPr>
            <w:tcW w:w="1965" w:type="dxa"/>
            <w:vAlign w:val="center"/>
          </w:tcPr>
          <w:p>
            <w:pPr>
              <w:pStyle w:val="2"/>
              <w:spacing w:after="0" w:line="340" w:lineRule="exact"/>
              <w:rPr>
                <w:rFonts w:hint="eastAsia" w:ascii="仿宋_GB2312" w:hAnsi="仿宋_GB2312" w:eastAsia="仿宋_GB2312" w:cs="仿宋_GB2312"/>
                <w:sz w:val="22"/>
                <w:szCs w:val="22"/>
              </w:rPr>
            </w:pPr>
            <w:bookmarkStart w:id="60" w:name="_Hlk88567848"/>
            <w:r>
              <w:rPr>
                <w:rFonts w:hint="eastAsia" w:ascii="仿宋_GB2312" w:hAnsi="仿宋_GB2312" w:eastAsia="仿宋_GB2312" w:cs="仿宋_GB2312"/>
                <w:sz w:val="22"/>
                <w:szCs w:val="22"/>
              </w:rPr>
              <w:t>广元盘龙机场</w:t>
            </w:r>
            <w:bookmarkEnd w:id="60"/>
          </w:p>
        </w:tc>
        <w:tc>
          <w:tcPr>
            <w:tcW w:w="4081" w:type="dxa"/>
            <w:vAlign w:val="center"/>
          </w:tcPr>
          <w:p>
            <w:pPr>
              <w:pStyle w:val="2"/>
              <w:spacing w:after="0" w:line="34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4C级国内支线机场</w:t>
            </w:r>
          </w:p>
        </w:tc>
        <w:tc>
          <w:tcPr>
            <w:tcW w:w="838" w:type="dxa"/>
            <w:vAlign w:val="center"/>
          </w:tcPr>
          <w:p>
            <w:pPr>
              <w:pStyle w:val="2"/>
              <w:spacing w:after="0" w:line="34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4" w:type="dxa"/>
            <w:vMerge w:val="continue"/>
            <w:vAlign w:val="center"/>
          </w:tcPr>
          <w:p>
            <w:pPr>
              <w:pStyle w:val="2"/>
              <w:spacing w:after="0" w:line="340" w:lineRule="exact"/>
              <w:jc w:val="center"/>
              <w:rPr>
                <w:rFonts w:hint="eastAsia" w:ascii="仿宋_GB2312" w:hAnsi="仿宋_GB2312" w:eastAsia="仿宋_GB2312" w:cs="仿宋_GB2312"/>
                <w:kern w:val="0"/>
                <w:sz w:val="22"/>
                <w:szCs w:val="22"/>
              </w:rPr>
            </w:pPr>
          </w:p>
        </w:tc>
        <w:tc>
          <w:tcPr>
            <w:tcW w:w="907" w:type="dxa"/>
            <w:vMerge w:val="continue"/>
            <w:vAlign w:val="center"/>
          </w:tcPr>
          <w:p>
            <w:pPr>
              <w:pStyle w:val="2"/>
              <w:spacing w:after="0" w:line="340" w:lineRule="exact"/>
              <w:jc w:val="center"/>
              <w:rPr>
                <w:rFonts w:hint="eastAsia" w:ascii="仿宋_GB2312" w:hAnsi="仿宋_GB2312" w:eastAsia="仿宋_GB2312" w:cs="仿宋_GB2312"/>
                <w:kern w:val="0"/>
                <w:sz w:val="22"/>
                <w:szCs w:val="22"/>
              </w:rPr>
            </w:pPr>
          </w:p>
        </w:tc>
        <w:tc>
          <w:tcPr>
            <w:tcW w:w="1965" w:type="dxa"/>
            <w:vAlign w:val="center"/>
          </w:tcPr>
          <w:p>
            <w:pPr>
              <w:pStyle w:val="2"/>
              <w:spacing w:after="0" w:line="340" w:lineRule="exact"/>
              <w:rPr>
                <w:rFonts w:hint="eastAsia" w:ascii="仿宋_GB2312" w:hAnsi="仿宋_GB2312" w:eastAsia="仿宋_GB2312" w:cs="仿宋_GB2312"/>
                <w:sz w:val="22"/>
                <w:szCs w:val="22"/>
              </w:rPr>
            </w:pPr>
            <w:bookmarkStart w:id="61" w:name="_Hlk88567856"/>
            <w:r>
              <w:rPr>
                <w:rFonts w:hint="eastAsia" w:ascii="仿宋_GB2312" w:hAnsi="仿宋_GB2312" w:eastAsia="仿宋_GB2312" w:cs="仿宋_GB2312"/>
                <w:sz w:val="22"/>
                <w:szCs w:val="22"/>
              </w:rPr>
              <w:t>广元站</w:t>
            </w:r>
            <w:bookmarkEnd w:id="61"/>
          </w:p>
        </w:tc>
        <w:tc>
          <w:tcPr>
            <w:tcW w:w="4081" w:type="dxa"/>
            <w:vAlign w:val="center"/>
          </w:tcPr>
          <w:p>
            <w:pPr>
              <w:pStyle w:val="2"/>
              <w:spacing w:after="0" w:line="3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客运一等站，集聚西成客专、兰渝铁路、宝成铁路、广巴铁路，集长途汽车、公交等多种交通方式于一体的综合交通枢纽</w:t>
            </w:r>
          </w:p>
        </w:tc>
        <w:tc>
          <w:tcPr>
            <w:tcW w:w="838" w:type="dxa"/>
            <w:vAlign w:val="center"/>
          </w:tcPr>
          <w:p>
            <w:pPr>
              <w:pStyle w:val="2"/>
              <w:spacing w:after="0" w:line="34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4" w:type="dxa"/>
            <w:vMerge w:val="continue"/>
            <w:vAlign w:val="center"/>
          </w:tcPr>
          <w:p>
            <w:pPr>
              <w:pStyle w:val="2"/>
              <w:spacing w:after="0" w:line="340" w:lineRule="exact"/>
              <w:jc w:val="center"/>
              <w:rPr>
                <w:rFonts w:hint="eastAsia" w:ascii="仿宋_GB2312" w:hAnsi="仿宋_GB2312" w:eastAsia="仿宋_GB2312" w:cs="仿宋_GB2312"/>
                <w:kern w:val="0"/>
                <w:sz w:val="22"/>
                <w:szCs w:val="22"/>
              </w:rPr>
            </w:pPr>
          </w:p>
        </w:tc>
        <w:tc>
          <w:tcPr>
            <w:tcW w:w="907" w:type="dxa"/>
            <w:vMerge w:val="continue"/>
            <w:vAlign w:val="center"/>
          </w:tcPr>
          <w:p>
            <w:pPr>
              <w:pStyle w:val="2"/>
              <w:spacing w:after="0" w:line="340" w:lineRule="exact"/>
              <w:jc w:val="center"/>
              <w:rPr>
                <w:rFonts w:hint="eastAsia" w:ascii="仿宋_GB2312" w:hAnsi="仿宋_GB2312" w:eastAsia="仿宋_GB2312" w:cs="仿宋_GB2312"/>
                <w:kern w:val="0"/>
                <w:sz w:val="22"/>
                <w:szCs w:val="22"/>
              </w:rPr>
            </w:pPr>
          </w:p>
        </w:tc>
        <w:tc>
          <w:tcPr>
            <w:tcW w:w="1965" w:type="dxa"/>
            <w:vAlign w:val="center"/>
          </w:tcPr>
          <w:p>
            <w:pPr>
              <w:pStyle w:val="2"/>
              <w:spacing w:after="0" w:line="340" w:lineRule="exact"/>
              <w:rPr>
                <w:rFonts w:hint="eastAsia" w:ascii="仿宋_GB2312" w:hAnsi="仿宋_GB2312" w:eastAsia="仿宋_GB2312" w:cs="仿宋_GB2312"/>
                <w:sz w:val="22"/>
                <w:szCs w:val="22"/>
              </w:rPr>
            </w:pPr>
            <w:bookmarkStart w:id="62" w:name="_Hlk88567873"/>
            <w:r>
              <w:rPr>
                <w:rFonts w:hint="eastAsia" w:ascii="仿宋_GB2312" w:hAnsi="仿宋_GB2312" w:eastAsia="仿宋_GB2312" w:cs="仿宋_GB2312"/>
                <w:sz w:val="22"/>
                <w:szCs w:val="22"/>
              </w:rPr>
              <w:t>广元市长途汽车客运站</w:t>
            </w:r>
            <w:bookmarkEnd w:id="62"/>
            <w:r>
              <w:rPr>
                <w:rFonts w:hint="eastAsia" w:ascii="仿宋_GB2312" w:hAnsi="仿宋_GB2312" w:eastAsia="仿宋_GB2312" w:cs="仿宋_GB2312"/>
                <w:sz w:val="22"/>
                <w:szCs w:val="22"/>
              </w:rPr>
              <w:t>（上西客运站）</w:t>
            </w:r>
          </w:p>
        </w:tc>
        <w:tc>
          <w:tcPr>
            <w:tcW w:w="4081" w:type="dxa"/>
            <w:vAlign w:val="center"/>
          </w:tcPr>
          <w:p>
            <w:pPr>
              <w:pStyle w:val="2"/>
              <w:spacing w:after="0" w:line="34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市级客运站</w:t>
            </w:r>
          </w:p>
        </w:tc>
        <w:tc>
          <w:tcPr>
            <w:tcW w:w="838" w:type="dxa"/>
            <w:vAlign w:val="center"/>
          </w:tcPr>
          <w:p>
            <w:pPr>
              <w:pStyle w:val="2"/>
              <w:spacing w:after="0" w:line="34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4" w:type="dxa"/>
            <w:vMerge w:val="continue"/>
            <w:vAlign w:val="center"/>
          </w:tcPr>
          <w:p>
            <w:pPr>
              <w:pStyle w:val="2"/>
              <w:spacing w:after="0" w:line="340" w:lineRule="exact"/>
              <w:jc w:val="center"/>
              <w:rPr>
                <w:rFonts w:hint="eastAsia" w:ascii="仿宋_GB2312" w:hAnsi="仿宋_GB2312" w:eastAsia="仿宋_GB2312" w:cs="仿宋_GB2312"/>
                <w:kern w:val="0"/>
                <w:sz w:val="22"/>
                <w:szCs w:val="22"/>
              </w:rPr>
            </w:pPr>
          </w:p>
        </w:tc>
        <w:tc>
          <w:tcPr>
            <w:tcW w:w="907" w:type="dxa"/>
            <w:vMerge w:val="continue"/>
            <w:vAlign w:val="center"/>
          </w:tcPr>
          <w:p>
            <w:pPr>
              <w:pStyle w:val="2"/>
              <w:spacing w:after="0" w:line="340" w:lineRule="exact"/>
              <w:jc w:val="center"/>
              <w:rPr>
                <w:rFonts w:hint="eastAsia" w:ascii="仿宋_GB2312" w:hAnsi="仿宋_GB2312" w:eastAsia="仿宋_GB2312" w:cs="仿宋_GB2312"/>
                <w:kern w:val="0"/>
                <w:sz w:val="22"/>
                <w:szCs w:val="22"/>
              </w:rPr>
            </w:pPr>
          </w:p>
        </w:tc>
        <w:tc>
          <w:tcPr>
            <w:tcW w:w="1965" w:type="dxa"/>
            <w:vAlign w:val="center"/>
          </w:tcPr>
          <w:p>
            <w:pPr>
              <w:pStyle w:val="2"/>
              <w:spacing w:after="0" w:line="340" w:lineRule="exact"/>
              <w:rPr>
                <w:rFonts w:hint="eastAsia" w:ascii="仿宋_GB2312" w:hAnsi="仿宋_GB2312" w:eastAsia="仿宋_GB2312" w:cs="仿宋_GB2312"/>
                <w:sz w:val="22"/>
                <w:szCs w:val="22"/>
              </w:rPr>
            </w:pPr>
            <w:bookmarkStart w:id="63" w:name="_Hlk88567880"/>
            <w:r>
              <w:rPr>
                <w:rFonts w:hint="eastAsia" w:ascii="仿宋_GB2312" w:hAnsi="仿宋_GB2312" w:eastAsia="仿宋_GB2312" w:cs="仿宋_GB2312"/>
                <w:sz w:val="22"/>
                <w:szCs w:val="22"/>
              </w:rPr>
              <w:t>广元市南河汽车客运站</w:t>
            </w:r>
            <w:bookmarkEnd w:id="63"/>
          </w:p>
        </w:tc>
        <w:tc>
          <w:tcPr>
            <w:tcW w:w="4081" w:type="dxa"/>
            <w:vAlign w:val="center"/>
          </w:tcPr>
          <w:p>
            <w:pPr>
              <w:pStyle w:val="2"/>
              <w:spacing w:after="0" w:line="34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市级客运站</w:t>
            </w:r>
          </w:p>
        </w:tc>
        <w:tc>
          <w:tcPr>
            <w:tcW w:w="838" w:type="dxa"/>
            <w:vAlign w:val="center"/>
          </w:tcPr>
          <w:p>
            <w:pPr>
              <w:pStyle w:val="2"/>
              <w:spacing w:after="0" w:line="34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4" w:type="dxa"/>
            <w:vMerge w:val="continue"/>
            <w:vAlign w:val="center"/>
          </w:tcPr>
          <w:p>
            <w:pPr>
              <w:pStyle w:val="2"/>
              <w:spacing w:after="0" w:line="340" w:lineRule="exact"/>
              <w:jc w:val="center"/>
              <w:rPr>
                <w:rFonts w:hint="eastAsia" w:ascii="仿宋_GB2312" w:hAnsi="仿宋_GB2312" w:eastAsia="仿宋_GB2312" w:cs="仿宋_GB2312"/>
                <w:kern w:val="0"/>
                <w:sz w:val="22"/>
                <w:szCs w:val="22"/>
              </w:rPr>
            </w:pPr>
          </w:p>
        </w:tc>
        <w:tc>
          <w:tcPr>
            <w:tcW w:w="907" w:type="dxa"/>
            <w:vMerge w:val="continue"/>
            <w:vAlign w:val="center"/>
          </w:tcPr>
          <w:p>
            <w:pPr>
              <w:pStyle w:val="2"/>
              <w:spacing w:after="0" w:line="340" w:lineRule="exact"/>
              <w:jc w:val="center"/>
              <w:rPr>
                <w:rFonts w:hint="eastAsia" w:ascii="仿宋_GB2312" w:hAnsi="仿宋_GB2312" w:eastAsia="仿宋_GB2312" w:cs="仿宋_GB2312"/>
                <w:kern w:val="0"/>
                <w:sz w:val="22"/>
                <w:szCs w:val="22"/>
              </w:rPr>
            </w:pPr>
          </w:p>
        </w:tc>
        <w:tc>
          <w:tcPr>
            <w:tcW w:w="1965" w:type="dxa"/>
            <w:vAlign w:val="center"/>
          </w:tcPr>
          <w:p>
            <w:pPr>
              <w:pStyle w:val="2"/>
              <w:spacing w:after="0" w:line="3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广元机场综合枢纽站</w:t>
            </w:r>
          </w:p>
        </w:tc>
        <w:tc>
          <w:tcPr>
            <w:tcW w:w="4081" w:type="dxa"/>
            <w:vAlign w:val="center"/>
          </w:tcPr>
          <w:p>
            <w:pPr>
              <w:pStyle w:val="2"/>
              <w:spacing w:after="0" w:line="3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集道路客运、城市公交等多功能于一体的综合枢纽站</w:t>
            </w:r>
          </w:p>
        </w:tc>
        <w:tc>
          <w:tcPr>
            <w:tcW w:w="838" w:type="dxa"/>
            <w:vAlign w:val="center"/>
          </w:tcPr>
          <w:p>
            <w:pPr>
              <w:pStyle w:val="2"/>
              <w:spacing w:after="0" w:line="34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4" w:type="dxa"/>
            <w:vMerge w:val="continue"/>
            <w:vAlign w:val="center"/>
          </w:tcPr>
          <w:p>
            <w:pPr>
              <w:pStyle w:val="2"/>
              <w:spacing w:after="0" w:line="340" w:lineRule="exact"/>
              <w:jc w:val="center"/>
              <w:rPr>
                <w:rFonts w:hint="eastAsia" w:ascii="仿宋_GB2312" w:hAnsi="仿宋_GB2312" w:eastAsia="仿宋_GB2312" w:cs="仿宋_GB2312"/>
                <w:kern w:val="0"/>
                <w:sz w:val="22"/>
                <w:szCs w:val="22"/>
              </w:rPr>
            </w:pPr>
          </w:p>
        </w:tc>
        <w:tc>
          <w:tcPr>
            <w:tcW w:w="907" w:type="dxa"/>
            <w:vMerge w:val="continue"/>
            <w:vAlign w:val="center"/>
          </w:tcPr>
          <w:p>
            <w:pPr>
              <w:pStyle w:val="2"/>
              <w:spacing w:after="0" w:line="340" w:lineRule="exact"/>
              <w:jc w:val="center"/>
              <w:rPr>
                <w:rFonts w:hint="eastAsia" w:ascii="仿宋_GB2312" w:hAnsi="仿宋_GB2312" w:eastAsia="仿宋_GB2312" w:cs="仿宋_GB2312"/>
                <w:kern w:val="0"/>
                <w:sz w:val="22"/>
                <w:szCs w:val="22"/>
              </w:rPr>
            </w:pPr>
          </w:p>
        </w:tc>
        <w:tc>
          <w:tcPr>
            <w:tcW w:w="1965" w:type="dxa"/>
            <w:vAlign w:val="center"/>
          </w:tcPr>
          <w:p>
            <w:pPr>
              <w:pStyle w:val="2"/>
              <w:spacing w:after="0" w:line="3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嘉陵街道办事处综合运输站</w:t>
            </w:r>
          </w:p>
        </w:tc>
        <w:tc>
          <w:tcPr>
            <w:tcW w:w="4081" w:type="dxa"/>
            <w:vAlign w:val="center"/>
          </w:tcPr>
          <w:p>
            <w:pPr>
              <w:pStyle w:val="2"/>
              <w:spacing w:after="0" w:line="3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集城乡客运、快递物流服务等功能于一体的综合运输服务站</w:t>
            </w:r>
          </w:p>
        </w:tc>
        <w:tc>
          <w:tcPr>
            <w:tcW w:w="838" w:type="dxa"/>
            <w:vAlign w:val="center"/>
          </w:tcPr>
          <w:p>
            <w:pPr>
              <w:pStyle w:val="2"/>
              <w:spacing w:after="0" w:line="34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4" w:type="dxa"/>
            <w:vMerge w:val="continue"/>
            <w:vAlign w:val="center"/>
          </w:tcPr>
          <w:p>
            <w:pPr>
              <w:pStyle w:val="2"/>
              <w:spacing w:after="0" w:line="340" w:lineRule="exact"/>
              <w:jc w:val="center"/>
              <w:rPr>
                <w:rFonts w:hint="eastAsia" w:ascii="仿宋_GB2312" w:hAnsi="仿宋_GB2312" w:eastAsia="仿宋_GB2312" w:cs="仿宋_GB2312"/>
                <w:kern w:val="0"/>
                <w:sz w:val="22"/>
                <w:szCs w:val="22"/>
              </w:rPr>
            </w:pPr>
          </w:p>
        </w:tc>
        <w:tc>
          <w:tcPr>
            <w:tcW w:w="907" w:type="dxa"/>
            <w:vMerge w:val="continue"/>
            <w:vAlign w:val="center"/>
          </w:tcPr>
          <w:p>
            <w:pPr>
              <w:pStyle w:val="2"/>
              <w:spacing w:after="0" w:line="340" w:lineRule="exact"/>
              <w:jc w:val="center"/>
              <w:rPr>
                <w:rFonts w:hint="eastAsia" w:ascii="仿宋_GB2312" w:hAnsi="仿宋_GB2312" w:eastAsia="仿宋_GB2312" w:cs="仿宋_GB2312"/>
                <w:kern w:val="0"/>
                <w:sz w:val="22"/>
                <w:szCs w:val="22"/>
              </w:rPr>
            </w:pPr>
          </w:p>
        </w:tc>
        <w:tc>
          <w:tcPr>
            <w:tcW w:w="1965" w:type="dxa"/>
            <w:vAlign w:val="center"/>
          </w:tcPr>
          <w:p>
            <w:pPr>
              <w:pStyle w:val="2"/>
              <w:spacing w:after="0" w:line="3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盘龙镇综合服务站</w:t>
            </w:r>
          </w:p>
        </w:tc>
        <w:tc>
          <w:tcPr>
            <w:tcW w:w="4081" w:type="dxa"/>
            <w:vAlign w:val="center"/>
          </w:tcPr>
          <w:p>
            <w:pPr>
              <w:pStyle w:val="2"/>
              <w:spacing w:after="0" w:line="3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集城乡客运、快递物流服务等功能于一体的综合运输服务站</w:t>
            </w:r>
          </w:p>
        </w:tc>
        <w:tc>
          <w:tcPr>
            <w:tcW w:w="838" w:type="dxa"/>
            <w:vAlign w:val="center"/>
          </w:tcPr>
          <w:p>
            <w:pPr>
              <w:pStyle w:val="2"/>
              <w:spacing w:after="0" w:line="34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4" w:type="dxa"/>
            <w:vMerge w:val="continue"/>
            <w:vAlign w:val="center"/>
          </w:tcPr>
          <w:p>
            <w:pPr>
              <w:pStyle w:val="2"/>
              <w:spacing w:after="0" w:line="340" w:lineRule="exact"/>
              <w:jc w:val="center"/>
              <w:rPr>
                <w:rFonts w:hint="eastAsia" w:ascii="仿宋_GB2312" w:hAnsi="仿宋_GB2312" w:eastAsia="仿宋_GB2312" w:cs="仿宋_GB2312"/>
                <w:kern w:val="0"/>
                <w:sz w:val="22"/>
                <w:szCs w:val="22"/>
              </w:rPr>
            </w:pPr>
          </w:p>
        </w:tc>
        <w:tc>
          <w:tcPr>
            <w:tcW w:w="907" w:type="dxa"/>
            <w:vMerge w:val="restart"/>
            <w:vAlign w:val="center"/>
          </w:tcPr>
          <w:p>
            <w:pPr>
              <w:pStyle w:val="2"/>
              <w:spacing w:after="0" w:line="340" w:lineRule="exact"/>
              <w:jc w:val="center"/>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货运站场</w:t>
            </w:r>
          </w:p>
        </w:tc>
        <w:tc>
          <w:tcPr>
            <w:tcW w:w="1965" w:type="dxa"/>
            <w:vAlign w:val="center"/>
          </w:tcPr>
          <w:p>
            <w:pPr>
              <w:pStyle w:val="2"/>
              <w:spacing w:after="0" w:line="340" w:lineRule="exact"/>
              <w:rPr>
                <w:rFonts w:hint="eastAsia" w:ascii="仿宋_GB2312" w:hAnsi="仿宋_GB2312" w:eastAsia="仿宋_GB2312" w:cs="仿宋_GB2312"/>
                <w:sz w:val="22"/>
                <w:szCs w:val="22"/>
              </w:rPr>
            </w:pPr>
            <w:bookmarkStart w:id="64" w:name="_Hlk88568137"/>
            <w:r>
              <w:rPr>
                <w:rFonts w:hint="eastAsia" w:ascii="仿宋_GB2312" w:hAnsi="仿宋_GB2312" w:eastAsia="仿宋_GB2312" w:cs="仿宋_GB2312"/>
                <w:sz w:val="22"/>
                <w:szCs w:val="22"/>
              </w:rPr>
              <w:t>广元南站</w:t>
            </w:r>
            <w:bookmarkEnd w:id="64"/>
          </w:p>
        </w:tc>
        <w:tc>
          <w:tcPr>
            <w:tcW w:w="4081" w:type="dxa"/>
            <w:vAlign w:val="center"/>
          </w:tcPr>
          <w:p>
            <w:pPr>
              <w:pStyle w:val="2"/>
              <w:spacing w:after="0" w:line="3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货运编组一等站</w:t>
            </w:r>
          </w:p>
        </w:tc>
        <w:tc>
          <w:tcPr>
            <w:tcW w:w="838" w:type="dxa"/>
            <w:vAlign w:val="center"/>
          </w:tcPr>
          <w:p>
            <w:pPr>
              <w:pStyle w:val="2"/>
              <w:spacing w:after="0" w:line="34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4" w:type="dxa"/>
            <w:vMerge w:val="continue"/>
            <w:vAlign w:val="center"/>
          </w:tcPr>
          <w:p>
            <w:pPr>
              <w:pStyle w:val="2"/>
              <w:spacing w:after="0" w:line="340" w:lineRule="exact"/>
              <w:jc w:val="center"/>
              <w:rPr>
                <w:rFonts w:hint="eastAsia" w:ascii="仿宋_GB2312" w:hAnsi="仿宋_GB2312" w:eastAsia="仿宋_GB2312" w:cs="仿宋_GB2312"/>
                <w:kern w:val="0"/>
                <w:sz w:val="22"/>
                <w:szCs w:val="22"/>
              </w:rPr>
            </w:pPr>
          </w:p>
        </w:tc>
        <w:tc>
          <w:tcPr>
            <w:tcW w:w="907" w:type="dxa"/>
            <w:vMerge w:val="continue"/>
            <w:vAlign w:val="center"/>
          </w:tcPr>
          <w:p>
            <w:pPr>
              <w:pStyle w:val="2"/>
              <w:spacing w:after="0" w:line="340" w:lineRule="exact"/>
              <w:jc w:val="center"/>
              <w:rPr>
                <w:rFonts w:hint="eastAsia" w:ascii="仿宋_GB2312" w:hAnsi="仿宋_GB2312" w:eastAsia="仿宋_GB2312" w:cs="仿宋_GB2312"/>
                <w:kern w:val="0"/>
                <w:sz w:val="22"/>
                <w:szCs w:val="22"/>
              </w:rPr>
            </w:pPr>
          </w:p>
        </w:tc>
        <w:tc>
          <w:tcPr>
            <w:tcW w:w="1965" w:type="dxa"/>
            <w:vAlign w:val="center"/>
          </w:tcPr>
          <w:p>
            <w:pPr>
              <w:pStyle w:val="2"/>
              <w:spacing w:after="0" w:line="3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上西交通物流港</w:t>
            </w:r>
          </w:p>
        </w:tc>
        <w:tc>
          <w:tcPr>
            <w:tcW w:w="4081" w:type="dxa"/>
            <w:vAlign w:val="center"/>
          </w:tcPr>
          <w:p>
            <w:pPr>
              <w:pStyle w:val="2"/>
              <w:spacing w:after="0" w:line="3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集停车、仓储、中转、配送、物流信息服务等为一体的现代化物流园区</w:t>
            </w:r>
          </w:p>
        </w:tc>
        <w:tc>
          <w:tcPr>
            <w:tcW w:w="838" w:type="dxa"/>
            <w:vAlign w:val="center"/>
          </w:tcPr>
          <w:p>
            <w:pPr>
              <w:pStyle w:val="2"/>
              <w:spacing w:after="0" w:line="34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4" w:type="dxa"/>
            <w:vMerge w:val="continue"/>
            <w:vAlign w:val="center"/>
          </w:tcPr>
          <w:p>
            <w:pPr>
              <w:pStyle w:val="2"/>
              <w:spacing w:after="0" w:line="340" w:lineRule="exact"/>
              <w:jc w:val="center"/>
              <w:rPr>
                <w:rFonts w:hint="eastAsia" w:ascii="仿宋_GB2312" w:hAnsi="仿宋_GB2312" w:eastAsia="仿宋_GB2312" w:cs="仿宋_GB2312"/>
                <w:kern w:val="0"/>
                <w:sz w:val="22"/>
                <w:szCs w:val="22"/>
              </w:rPr>
            </w:pPr>
          </w:p>
        </w:tc>
        <w:tc>
          <w:tcPr>
            <w:tcW w:w="907" w:type="dxa"/>
            <w:vMerge w:val="continue"/>
            <w:vAlign w:val="center"/>
          </w:tcPr>
          <w:p>
            <w:pPr>
              <w:pStyle w:val="2"/>
              <w:spacing w:after="0" w:line="340" w:lineRule="exact"/>
              <w:jc w:val="center"/>
              <w:rPr>
                <w:rFonts w:hint="eastAsia" w:ascii="仿宋_GB2312" w:hAnsi="仿宋_GB2312" w:eastAsia="仿宋_GB2312" w:cs="仿宋_GB2312"/>
                <w:kern w:val="0"/>
                <w:sz w:val="22"/>
                <w:szCs w:val="22"/>
              </w:rPr>
            </w:pPr>
          </w:p>
        </w:tc>
        <w:tc>
          <w:tcPr>
            <w:tcW w:w="1965" w:type="dxa"/>
            <w:vAlign w:val="center"/>
          </w:tcPr>
          <w:p>
            <w:pPr>
              <w:pStyle w:val="2"/>
              <w:spacing w:after="0" w:line="3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下西广元现代物流园</w:t>
            </w:r>
          </w:p>
        </w:tc>
        <w:tc>
          <w:tcPr>
            <w:tcW w:w="4081" w:type="dxa"/>
            <w:vAlign w:val="center"/>
          </w:tcPr>
          <w:p>
            <w:pPr>
              <w:pStyle w:val="2"/>
              <w:spacing w:after="0" w:line="3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集物流配送、商贸物流和第三方物流为一体的现代综合物流集聚中心</w:t>
            </w:r>
          </w:p>
        </w:tc>
        <w:tc>
          <w:tcPr>
            <w:tcW w:w="838" w:type="dxa"/>
            <w:vAlign w:val="center"/>
          </w:tcPr>
          <w:p>
            <w:pPr>
              <w:pStyle w:val="2"/>
              <w:spacing w:after="0" w:line="34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4" w:type="dxa"/>
            <w:vMerge w:val="continue"/>
            <w:vAlign w:val="center"/>
          </w:tcPr>
          <w:p>
            <w:pPr>
              <w:pStyle w:val="2"/>
              <w:spacing w:after="0" w:line="340" w:lineRule="exact"/>
              <w:jc w:val="center"/>
              <w:rPr>
                <w:rFonts w:hint="eastAsia" w:ascii="仿宋_GB2312" w:hAnsi="仿宋_GB2312" w:eastAsia="仿宋_GB2312" w:cs="仿宋_GB2312"/>
                <w:kern w:val="0"/>
                <w:sz w:val="22"/>
                <w:szCs w:val="22"/>
              </w:rPr>
            </w:pPr>
          </w:p>
        </w:tc>
        <w:tc>
          <w:tcPr>
            <w:tcW w:w="907" w:type="dxa"/>
            <w:vMerge w:val="continue"/>
            <w:vAlign w:val="center"/>
          </w:tcPr>
          <w:p>
            <w:pPr>
              <w:pStyle w:val="2"/>
              <w:spacing w:after="0" w:line="340" w:lineRule="exact"/>
              <w:jc w:val="center"/>
              <w:rPr>
                <w:rFonts w:hint="eastAsia" w:ascii="仿宋_GB2312" w:hAnsi="仿宋_GB2312" w:eastAsia="仿宋_GB2312" w:cs="仿宋_GB2312"/>
                <w:kern w:val="0"/>
                <w:sz w:val="22"/>
                <w:szCs w:val="22"/>
              </w:rPr>
            </w:pPr>
          </w:p>
        </w:tc>
        <w:tc>
          <w:tcPr>
            <w:tcW w:w="1965" w:type="dxa"/>
            <w:vAlign w:val="center"/>
          </w:tcPr>
          <w:p>
            <w:pPr>
              <w:pStyle w:val="2"/>
              <w:spacing w:after="0" w:line="3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广元·川陕甘高铁快运物流基地</w:t>
            </w:r>
          </w:p>
        </w:tc>
        <w:tc>
          <w:tcPr>
            <w:tcW w:w="4081" w:type="dxa"/>
            <w:vAlign w:val="center"/>
          </w:tcPr>
          <w:p>
            <w:pPr>
              <w:pStyle w:val="2"/>
              <w:spacing w:after="0" w:line="3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集快递集散、商务办公、仓储配送、信息金融等功能于一体的全国首个高铁快运物流基地</w:t>
            </w:r>
          </w:p>
        </w:tc>
        <w:tc>
          <w:tcPr>
            <w:tcW w:w="838" w:type="dxa"/>
            <w:vAlign w:val="center"/>
          </w:tcPr>
          <w:p>
            <w:pPr>
              <w:pStyle w:val="2"/>
              <w:spacing w:after="0" w:line="34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开工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4" w:type="dxa"/>
            <w:vMerge w:val="continue"/>
            <w:vAlign w:val="center"/>
          </w:tcPr>
          <w:p>
            <w:pPr>
              <w:pStyle w:val="2"/>
              <w:spacing w:after="0" w:line="340" w:lineRule="exact"/>
              <w:jc w:val="center"/>
              <w:rPr>
                <w:rFonts w:hint="eastAsia" w:ascii="仿宋_GB2312" w:hAnsi="仿宋_GB2312" w:eastAsia="仿宋_GB2312" w:cs="仿宋_GB2312"/>
                <w:kern w:val="0"/>
                <w:sz w:val="22"/>
                <w:szCs w:val="22"/>
              </w:rPr>
            </w:pPr>
          </w:p>
        </w:tc>
        <w:tc>
          <w:tcPr>
            <w:tcW w:w="907" w:type="dxa"/>
            <w:vMerge w:val="continue"/>
            <w:vAlign w:val="center"/>
          </w:tcPr>
          <w:p>
            <w:pPr>
              <w:pStyle w:val="2"/>
              <w:spacing w:after="0" w:line="340" w:lineRule="exact"/>
              <w:jc w:val="center"/>
              <w:rPr>
                <w:rFonts w:hint="eastAsia" w:ascii="仿宋_GB2312" w:hAnsi="仿宋_GB2312" w:eastAsia="仿宋_GB2312" w:cs="仿宋_GB2312"/>
                <w:kern w:val="0"/>
                <w:sz w:val="22"/>
                <w:szCs w:val="22"/>
              </w:rPr>
            </w:pPr>
          </w:p>
        </w:tc>
        <w:tc>
          <w:tcPr>
            <w:tcW w:w="1965" w:type="dxa"/>
            <w:vAlign w:val="center"/>
          </w:tcPr>
          <w:p>
            <w:pPr>
              <w:pStyle w:val="2"/>
              <w:spacing w:after="0" w:line="3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广元铁路枢纽综合物流基地</w:t>
            </w:r>
          </w:p>
        </w:tc>
        <w:tc>
          <w:tcPr>
            <w:tcW w:w="4081" w:type="dxa"/>
            <w:vAlign w:val="center"/>
          </w:tcPr>
          <w:p>
            <w:pPr>
              <w:pStyle w:val="2"/>
              <w:spacing w:after="0" w:line="3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集中欧班列组货基地、节点城市冷链物流基地及铁路装卸区、生产加工仓配区和生产生活配套服务区于一体的铁路综合物流基地</w:t>
            </w:r>
          </w:p>
        </w:tc>
        <w:tc>
          <w:tcPr>
            <w:tcW w:w="838" w:type="dxa"/>
            <w:vAlign w:val="center"/>
          </w:tcPr>
          <w:p>
            <w:pPr>
              <w:pStyle w:val="2"/>
              <w:spacing w:after="0" w:line="34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4" w:type="dxa"/>
            <w:vMerge w:val="continue"/>
            <w:vAlign w:val="center"/>
          </w:tcPr>
          <w:p>
            <w:pPr>
              <w:pStyle w:val="2"/>
              <w:spacing w:after="0" w:line="340" w:lineRule="exact"/>
              <w:jc w:val="center"/>
              <w:rPr>
                <w:rFonts w:hint="eastAsia" w:ascii="仿宋_GB2312" w:hAnsi="仿宋_GB2312" w:eastAsia="仿宋_GB2312" w:cs="仿宋_GB2312"/>
                <w:kern w:val="0"/>
                <w:sz w:val="22"/>
                <w:szCs w:val="22"/>
              </w:rPr>
            </w:pPr>
          </w:p>
        </w:tc>
        <w:tc>
          <w:tcPr>
            <w:tcW w:w="907" w:type="dxa"/>
            <w:vMerge w:val="continue"/>
            <w:vAlign w:val="center"/>
          </w:tcPr>
          <w:p>
            <w:pPr>
              <w:pStyle w:val="2"/>
              <w:spacing w:after="0" w:line="340" w:lineRule="exact"/>
              <w:jc w:val="center"/>
              <w:rPr>
                <w:rFonts w:hint="eastAsia" w:ascii="仿宋_GB2312" w:hAnsi="仿宋_GB2312" w:eastAsia="仿宋_GB2312" w:cs="仿宋_GB2312"/>
                <w:kern w:val="0"/>
                <w:sz w:val="22"/>
                <w:szCs w:val="22"/>
              </w:rPr>
            </w:pPr>
          </w:p>
        </w:tc>
        <w:tc>
          <w:tcPr>
            <w:tcW w:w="1965" w:type="dxa"/>
            <w:vAlign w:val="center"/>
          </w:tcPr>
          <w:p>
            <w:pPr>
              <w:pStyle w:val="2"/>
              <w:spacing w:after="0" w:line="3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大稻坝城市配送中心</w:t>
            </w:r>
          </w:p>
        </w:tc>
        <w:tc>
          <w:tcPr>
            <w:tcW w:w="4081" w:type="dxa"/>
            <w:vAlign w:val="center"/>
          </w:tcPr>
          <w:p>
            <w:pPr>
              <w:pStyle w:val="2"/>
              <w:spacing w:after="0" w:line="34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聚力发展国际物流、冷链物流、智能物流，打造集城市配送、大宗物资、特色农产品冷链三大功能区于一体的城市配送中心</w:t>
            </w:r>
          </w:p>
        </w:tc>
        <w:tc>
          <w:tcPr>
            <w:tcW w:w="838" w:type="dxa"/>
            <w:vAlign w:val="center"/>
          </w:tcPr>
          <w:p>
            <w:pPr>
              <w:pStyle w:val="2"/>
              <w:spacing w:after="0" w:line="34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规划</w:t>
            </w:r>
          </w:p>
        </w:tc>
      </w:tr>
    </w:tbl>
    <w:p>
      <w:pPr>
        <w:overflowPunct w:val="0"/>
        <w:spacing w:line="600" w:lineRule="exact"/>
        <w:ind w:firstLine="480"/>
        <w:rPr>
          <w:rFonts w:hint="eastAsia" w:ascii="仿宋_GB2312" w:hAnsi="仿宋_GB2312" w:eastAsia="仿宋_GB2312" w:cs="仿宋_GB2312"/>
        </w:rPr>
      </w:pPr>
      <w:r>
        <w:rPr>
          <w:rFonts w:hint="eastAsia" w:ascii="仿宋_GB2312" w:hAnsi="仿宋_GB2312" w:eastAsia="仿宋_GB2312" w:cs="仿宋_GB2312"/>
          <w:bCs/>
          <w:sz w:val="32"/>
          <w:szCs w:val="32"/>
        </w:rPr>
        <w:t>“N”：</w:t>
      </w:r>
      <w:r>
        <w:rPr>
          <w:rFonts w:hint="eastAsia" w:ascii="仿宋_GB2312" w:hAnsi="仿宋_GB2312" w:eastAsia="仿宋_GB2312" w:cs="仿宋_GB2312"/>
          <w:sz w:val="32"/>
          <w:szCs w:val="32"/>
        </w:rPr>
        <w:t>以区域内多个重点乡镇为核心的乡镇综合运输服务站。结合重要产业园区、主要旅游景区等分布，以及交通条件等因素，以“服务镇村、覆盖广泛”为重点，拟打造大石镇、白朝乡、三堆镇、宝轮镇、龙潭乡、金洞乡等集乡村客运、物流服务等功能于一体的乡镇综合运输服务站。</w:t>
      </w:r>
    </w:p>
    <w:tbl>
      <w:tblPr>
        <w:tblStyle w:val="23"/>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2144"/>
        <w:gridCol w:w="4288"/>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blHeader/>
          <w:jc w:val="center"/>
        </w:trPr>
        <w:tc>
          <w:tcPr>
            <w:tcW w:w="8845" w:type="dxa"/>
            <w:gridSpan w:val="4"/>
            <w:vAlign w:val="center"/>
          </w:tcPr>
          <w:p>
            <w:pPr>
              <w:widowControl/>
              <w:spacing w:line="400" w:lineRule="exact"/>
              <w:jc w:val="center"/>
              <w:rPr>
                <w:rFonts w:hint="eastAsia" w:ascii="仿宋_GB2312" w:hAnsi="仿宋_GB2312" w:eastAsia="仿宋_GB2312" w:cs="仿宋_GB2312"/>
                <w:b/>
                <w:sz w:val="22"/>
                <w:szCs w:val="22"/>
              </w:rPr>
            </w:pPr>
            <w:r>
              <w:rPr>
                <w:rFonts w:hint="eastAsia" w:ascii="仿宋_GB2312" w:hAnsi="仿宋_GB2312" w:eastAsia="仿宋_GB2312" w:cs="仿宋_GB2312"/>
                <w:b/>
                <w:sz w:val="22"/>
                <w:szCs w:val="22"/>
              </w:rPr>
              <w:t>专栏4  利州乡镇综合服务站规划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blHeader/>
          <w:jc w:val="center"/>
        </w:trPr>
        <w:tc>
          <w:tcPr>
            <w:tcW w:w="1341" w:type="dxa"/>
            <w:vAlign w:val="center"/>
          </w:tcPr>
          <w:p>
            <w:pPr>
              <w:widowControl/>
              <w:spacing w:line="400" w:lineRule="exact"/>
              <w:jc w:val="center"/>
              <w:rPr>
                <w:rFonts w:hint="eastAsia" w:ascii="仿宋_GB2312" w:hAnsi="仿宋_GB2312" w:eastAsia="仿宋_GB2312" w:cs="仿宋_GB2312"/>
                <w:b/>
                <w:sz w:val="22"/>
                <w:szCs w:val="22"/>
              </w:rPr>
            </w:pPr>
            <w:r>
              <w:rPr>
                <w:rFonts w:hint="eastAsia" w:ascii="仿宋_GB2312" w:hAnsi="仿宋_GB2312" w:eastAsia="仿宋_GB2312" w:cs="仿宋_GB2312"/>
                <w:b/>
                <w:sz w:val="22"/>
                <w:szCs w:val="22"/>
              </w:rPr>
              <w:t>功能描述</w:t>
            </w:r>
          </w:p>
        </w:tc>
        <w:tc>
          <w:tcPr>
            <w:tcW w:w="2144" w:type="dxa"/>
            <w:vAlign w:val="center"/>
          </w:tcPr>
          <w:p>
            <w:pPr>
              <w:widowControl/>
              <w:spacing w:line="400" w:lineRule="exact"/>
              <w:jc w:val="center"/>
              <w:rPr>
                <w:rFonts w:hint="eastAsia" w:ascii="仿宋_GB2312" w:hAnsi="仿宋_GB2312" w:eastAsia="仿宋_GB2312" w:cs="仿宋_GB2312"/>
                <w:b/>
                <w:sz w:val="22"/>
                <w:szCs w:val="22"/>
              </w:rPr>
            </w:pPr>
            <w:r>
              <w:rPr>
                <w:rFonts w:hint="eastAsia" w:ascii="仿宋_GB2312" w:hAnsi="仿宋_GB2312" w:eastAsia="仿宋_GB2312" w:cs="仿宋_GB2312"/>
                <w:b/>
                <w:sz w:val="22"/>
                <w:szCs w:val="22"/>
              </w:rPr>
              <w:t>名称</w:t>
            </w:r>
          </w:p>
        </w:tc>
        <w:tc>
          <w:tcPr>
            <w:tcW w:w="4288" w:type="dxa"/>
            <w:vAlign w:val="center"/>
          </w:tcPr>
          <w:p>
            <w:pPr>
              <w:widowControl/>
              <w:spacing w:line="400" w:lineRule="exact"/>
              <w:jc w:val="center"/>
              <w:rPr>
                <w:rFonts w:hint="eastAsia" w:ascii="仿宋_GB2312" w:hAnsi="仿宋_GB2312" w:eastAsia="仿宋_GB2312" w:cs="仿宋_GB2312"/>
                <w:b/>
                <w:sz w:val="22"/>
                <w:szCs w:val="22"/>
              </w:rPr>
            </w:pPr>
            <w:r>
              <w:rPr>
                <w:rFonts w:hint="eastAsia" w:ascii="仿宋_GB2312" w:hAnsi="仿宋_GB2312" w:eastAsia="仿宋_GB2312" w:cs="仿宋_GB2312"/>
                <w:b/>
                <w:sz w:val="22"/>
                <w:szCs w:val="22"/>
              </w:rPr>
              <w:t>功能定位</w:t>
            </w:r>
          </w:p>
        </w:tc>
        <w:tc>
          <w:tcPr>
            <w:tcW w:w="1072" w:type="dxa"/>
            <w:vAlign w:val="center"/>
          </w:tcPr>
          <w:p>
            <w:pPr>
              <w:widowControl/>
              <w:spacing w:line="400" w:lineRule="exact"/>
              <w:jc w:val="center"/>
              <w:rPr>
                <w:rFonts w:hint="eastAsia" w:ascii="仿宋_GB2312" w:hAnsi="仿宋_GB2312" w:eastAsia="仿宋_GB2312" w:cs="仿宋_GB2312"/>
                <w:b/>
                <w:sz w:val="22"/>
                <w:szCs w:val="22"/>
              </w:rPr>
            </w:pPr>
            <w:r>
              <w:rPr>
                <w:rFonts w:hint="eastAsia" w:ascii="仿宋_GB2312" w:hAnsi="仿宋_GB2312" w:eastAsia="仿宋_GB2312" w:cs="仿宋_GB2312"/>
                <w:b/>
                <w:sz w:val="22"/>
                <w:szCs w:val="22"/>
              </w:rPr>
              <w:t>建设</w:t>
            </w:r>
          </w:p>
          <w:p>
            <w:pPr>
              <w:widowControl/>
              <w:spacing w:line="400" w:lineRule="exact"/>
              <w:jc w:val="center"/>
              <w:rPr>
                <w:rFonts w:hint="eastAsia" w:ascii="仿宋_GB2312" w:hAnsi="仿宋_GB2312" w:eastAsia="仿宋_GB2312" w:cs="仿宋_GB2312"/>
                <w:b/>
                <w:sz w:val="22"/>
                <w:szCs w:val="22"/>
              </w:rPr>
            </w:pPr>
            <w:r>
              <w:rPr>
                <w:rFonts w:hint="eastAsia" w:ascii="仿宋_GB2312" w:hAnsi="仿宋_GB2312" w:eastAsia="仿宋_GB2312" w:cs="仿宋_GB2312"/>
                <w:b/>
                <w:sz w:val="22"/>
                <w:szCs w:val="22"/>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1341" w:type="dxa"/>
            <w:vMerge w:val="restart"/>
            <w:vAlign w:val="center"/>
          </w:tcPr>
          <w:p>
            <w:pPr>
              <w:pStyle w:val="2"/>
              <w:spacing w:after="0" w:line="400" w:lineRule="exact"/>
              <w:rPr>
                <w:rFonts w:hint="eastAsia"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承接各乡镇及相邻区县客运出行和货运流通</w:t>
            </w:r>
          </w:p>
        </w:tc>
        <w:tc>
          <w:tcPr>
            <w:tcW w:w="2144" w:type="dxa"/>
            <w:vAlign w:val="center"/>
          </w:tcPr>
          <w:p>
            <w:pPr>
              <w:pStyle w:val="2"/>
              <w:spacing w:after="0" w:line="40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大石镇综合服务站</w:t>
            </w:r>
          </w:p>
        </w:tc>
        <w:tc>
          <w:tcPr>
            <w:tcW w:w="4288" w:type="dxa"/>
            <w:vAlign w:val="center"/>
          </w:tcPr>
          <w:p>
            <w:pPr>
              <w:pStyle w:val="2"/>
              <w:spacing w:after="0" w:line="40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主要服务于大石镇、荣山镇等乡镇及昭化区等周边区县</w:t>
            </w:r>
          </w:p>
        </w:tc>
        <w:tc>
          <w:tcPr>
            <w:tcW w:w="1072" w:type="dxa"/>
            <w:vAlign w:val="center"/>
          </w:tcPr>
          <w:p>
            <w:pPr>
              <w:pStyle w:val="2"/>
              <w:spacing w:after="0" w:line="40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1341" w:type="dxa"/>
            <w:vMerge w:val="continue"/>
            <w:vAlign w:val="center"/>
          </w:tcPr>
          <w:p>
            <w:pPr>
              <w:pStyle w:val="2"/>
              <w:spacing w:after="0" w:line="400" w:lineRule="exact"/>
              <w:rPr>
                <w:rFonts w:hint="eastAsia" w:ascii="仿宋_GB2312" w:hAnsi="仿宋_GB2312" w:eastAsia="仿宋_GB2312" w:cs="仿宋_GB2312"/>
                <w:kern w:val="0"/>
                <w:sz w:val="22"/>
                <w:szCs w:val="22"/>
              </w:rPr>
            </w:pPr>
          </w:p>
        </w:tc>
        <w:tc>
          <w:tcPr>
            <w:tcW w:w="2144" w:type="dxa"/>
            <w:vAlign w:val="center"/>
          </w:tcPr>
          <w:p>
            <w:pPr>
              <w:pStyle w:val="2"/>
              <w:spacing w:after="0" w:line="40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三堆镇综合服务站</w:t>
            </w:r>
          </w:p>
        </w:tc>
        <w:tc>
          <w:tcPr>
            <w:tcW w:w="4288" w:type="dxa"/>
            <w:vAlign w:val="center"/>
          </w:tcPr>
          <w:p>
            <w:pPr>
              <w:pStyle w:val="2"/>
              <w:spacing w:after="0" w:line="40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主要服务于三堆镇、金洞乡等乡镇及青川县等周边区县</w:t>
            </w:r>
          </w:p>
        </w:tc>
        <w:tc>
          <w:tcPr>
            <w:tcW w:w="1072" w:type="dxa"/>
            <w:vAlign w:val="center"/>
          </w:tcPr>
          <w:p>
            <w:pPr>
              <w:pStyle w:val="2"/>
              <w:spacing w:after="0" w:line="40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1341" w:type="dxa"/>
            <w:vMerge w:val="continue"/>
            <w:vAlign w:val="center"/>
          </w:tcPr>
          <w:p>
            <w:pPr>
              <w:pStyle w:val="2"/>
              <w:spacing w:after="0" w:line="400" w:lineRule="exact"/>
              <w:jc w:val="center"/>
              <w:rPr>
                <w:rFonts w:hint="eastAsia" w:ascii="仿宋_GB2312" w:hAnsi="仿宋_GB2312" w:eastAsia="仿宋_GB2312" w:cs="仿宋_GB2312"/>
                <w:kern w:val="0"/>
                <w:sz w:val="22"/>
                <w:szCs w:val="22"/>
              </w:rPr>
            </w:pPr>
          </w:p>
        </w:tc>
        <w:tc>
          <w:tcPr>
            <w:tcW w:w="2144" w:type="dxa"/>
            <w:vAlign w:val="center"/>
          </w:tcPr>
          <w:p>
            <w:pPr>
              <w:pStyle w:val="2"/>
              <w:spacing w:after="0" w:line="40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白朝乡综合服务站</w:t>
            </w:r>
          </w:p>
        </w:tc>
        <w:tc>
          <w:tcPr>
            <w:tcW w:w="4288" w:type="dxa"/>
            <w:vAlign w:val="center"/>
          </w:tcPr>
          <w:p>
            <w:pPr>
              <w:pStyle w:val="2"/>
              <w:spacing w:after="0" w:line="40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主要服务于白朝乡等乡镇及青川县、剑阁县等周边区县</w:t>
            </w:r>
          </w:p>
        </w:tc>
        <w:tc>
          <w:tcPr>
            <w:tcW w:w="1072" w:type="dxa"/>
            <w:vAlign w:val="center"/>
          </w:tcPr>
          <w:p>
            <w:pPr>
              <w:pStyle w:val="2"/>
              <w:spacing w:after="0" w:line="40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1341" w:type="dxa"/>
            <w:vMerge w:val="continue"/>
            <w:vAlign w:val="center"/>
          </w:tcPr>
          <w:p>
            <w:pPr>
              <w:pStyle w:val="2"/>
              <w:spacing w:after="0" w:line="400" w:lineRule="exact"/>
              <w:jc w:val="center"/>
              <w:rPr>
                <w:rFonts w:hint="eastAsia" w:ascii="仿宋_GB2312" w:hAnsi="仿宋_GB2312" w:eastAsia="仿宋_GB2312" w:cs="仿宋_GB2312"/>
                <w:kern w:val="0"/>
                <w:sz w:val="22"/>
                <w:szCs w:val="22"/>
              </w:rPr>
            </w:pPr>
          </w:p>
        </w:tc>
        <w:tc>
          <w:tcPr>
            <w:tcW w:w="2144" w:type="dxa"/>
            <w:vAlign w:val="center"/>
          </w:tcPr>
          <w:p>
            <w:pPr>
              <w:pStyle w:val="2"/>
              <w:spacing w:after="0" w:line="40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金洞乡综合服务站</w:t>
            </w:r>
          </w:p>
        </w:tc>
        <w:tc>
          <w:tcPr>
            <w:tcW w:w="4288" w:type="dxa"/>
            <w:vAlign w:val="center"/>
          </w:tcPr>
          <w:p>
            <w:pPr>
              <w:pStyle w:val="2"/>
              <w:spacing w:after="0" w:line="40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主要服务金洞乡等乡镇及青川县、朝天区等周边区县</w:t>
            </w:r>
          </w:p>
        </w:tc>
        <w:tc>
          <w:tcPr>
            <w:tcW w:w="1072" w:type="dxa"/>
            <w:vAlign w:val="center"/>
          </w:tcPr>
          <w:p>
            <w:pPr>
              <w:pStyle w:val="2"/>
              <w:spacing w:after="0" w:line="40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1341" w:type="dxa"/>
            <w:vMerge w:val="continue"/>
            <w:vAlign w:val="center"/>
          </w:tcPr>
          <w:p>
            <w:pPr>
              <w:pStyle w:val="2"/>
              <w:spacing w:after="0" w:line="400" w:lineRule="exact"/>
              <w:jc w:val="center"/>
              <w:rPr>
                <w:rFonts w:hint="eastAsia" w:ascii="仿宋_GB2312" w:hAnsi="仿宋_GB2312" w:eastAsia="仿宋_GB2312" w:cs="仿宋_GB2312"/>
                <w:kern w:val="0"/>
                <w:sz w:val="22"/>
                <w:szCs w:val="22"/>
              </w:rPr>
            </w:pPr>
          </w:p>
        </w:tc>
        <w:tc>
          <w:tcPr>
            <w:tcW w:w="2144" w:type="dxa"/>
            <w:vAlign w:val="center"/>
          </w:tcPr>
          <w:p>
            <w:pPr>
              <w:pStyle w:val="2"/>
              <w:spacing w:after="0" w:line="40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龙潭乡综合服务站</w:t>
            </w:r>
          </w:p>
        </w:tc>
        <w:tc>
          <w:tcPr>
            <w:tcW w:w="4288" w:type="dxa"/>
            <w:vAlign w:val="center"/>
          </w:tcPr>
          <w:p>
            <w:pPr>
              <w:pStyle w:val="2"/>
              <w:spacing w:after="0" w:line="40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主要服务于龙潭乡等周边乡镇及昭化区等周边区县</w:t>
            </w:r>
          </w:p>
        </w:tc>
        <w:tc>
          <w:tcPr>
            <w:tcW w:w="1072" w:type="dxa"/>
            <w:vAlign w:val="center"/>
          </w:tcPr>
          <w:p>
            <w:pPr>
              <w:pStyle w:val="2"/>
              <w:spacing w:after="0" w:line="40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1341" w:type="dxa"/>
            <w:vMerge w:val="continue"/>
            <w:vAlign w:val="center"/>
          </w:tcPr>
          <w:p>
            <w:pPr>
              <w:pStyle w:val="2"/>
              <w:spacing w:after="0" w:line="400" w:lineRule="exact"/>
              <w:jc w:val="center"/>
              <w:rPr>
                <w:rFonts w:hint="eastAsia" w:ascii="仿宋_GB2312" w:hAnsi="仿宋_GB2312" w:eastAsia="仿宋_GB2312" w:cs="仿宋_GB2312"/>
                <w:kern w:val="0"/>
                <w:sz w:val="22"/>
                <w:szCs w:val="22"/>
              </w:rPr>
            </w:pPr>
          </w:p>
        </w:tc>
        <w:tc>
          <w:tcPr>
            <w:tcW w:w="2144" w:type="dxa"/>
            <w:vAlign w:val="center"/>
          </w:tcPr>
          <w:p>
            <w:pPr>
              <w:pStyle w:val="2"/>
              <w:spacing w:after="0" w:line="40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宝轮镇综合服务站</w:t>
            </w:r>
          </w:p>
        </w:tc>
        <w:tc>
          <w:tcPr>
            <w:tcW w:w="4288" w:type="dxa"/>
            <w:vAlign w:val="center"/>
          </w:tcPr>
          <w:p>
            <w:pPr>
              <w:pStyle w:val="2"/>
              <w:spacing w:after="0" w:line="400" w:lineRule="exac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主要服务于宝龙镇、盘龙镇等乡镇及剑阁县、昭化区等周边区县</w:t>
            </w:r>
          </w:p>
        </w:tc>
        <w:tc>
          <w:tcPr>
            <w:tcW w:w="1072" w:type="dxa"/>
            <w:vAlign w:val="center"/>
          </w:tcPr>
          <w:p>
            <w:pPr>
              <w:pStyle w:val="2"/>
              <w:spacing w:after="0" w:line="400" w:lineRule="exact"/>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改建</w:t>
            </w:r>
          </w:p>
        </w:tc>
      </w:tr>
    </w:tbl>
    <w:p>
      <w:pPr>
        <w:overflowPunct w:val="0"/>
        <w:adjustRightInd w:val="0"/>
        <w:snapToGrid w:val="0"/>
        <w:spacing w:line="600" w:lineRule="exact"/>
        <w:ind w:firstLine="640" w:firstLineChars="200"/>
        <w:outlineLvl w:val="0"/>
        <w:rPr>
          <w:rFonts w:hint="eastAsia" w:ascii="仿宋_GB2312" w:hAnsi="仿宋_GB2312" w:eastAsia="仿宋_GB2312" w:cs="仿宋_GB2312"/>
          <w:sz w:val="32"/>
          <w:szCs w:val="32"/>
        </w:rPr>
      </w:pPr>
      <w:bookmarkStart w:id="65" w:name="_Toc114070034"/>
      <w:bookmarkStart w:id="66" w:name="_Toc111036285"/>
      <w:r>
        <w:rPr>
          <w:rFonts w:hint="eastAsia" w:ascii="仿宋_GB2312" w:hAnsi="仿宋_GB2312" w:eastAsia="仿宋_GB2312" w:cs="仿宋_GB2312"/>
          <w:sz w:val="32"/>
          <w:szCs w:val="32"/>
        </w:rPr>
        <w:t>六、发展任务</w:t>
      </w:r>
      <w:bookmarkEnd w:id="65"/>
      <w:bookmarkEnd w:id="66"/>
    </w:p>
    <w:p>
      <w:pPr>
        <w:pStyle w:val="2"/>
        <w:overflowPunct w:val="0"/>
        <w:spacing w:after="0"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四五”时期，利州综合交通运输发展将围绕“广元全国性综合交通枢纽的核心区”发展定位，统筹协调发展“公铁水航”，围绕对外通道、内部路网、枢纽站场、运输服务、智慧绿色安全、枢纽经济、行业治理等方面，提出“七大任务”。</w:t>
      </w:r>
    </w:p>
    <w:p>
      <w:pPr>
        <w:overflowPunct w:val="0"/>
        <w:adjustRightInd w:val="0"/>
        <w:snapToGrid w:val="0"/>
        <w:spacing w:line="630" w:lineRule="exact"/>
        <w:ind w:firstLine="643" w:firstLineChars="200"/>
        <w:outlineLvl w:val="1"/>
        <w:rPr>
          <w:rFonts w:hint="eastAsia" w:ascii="仿宋_GB2312" w:hAnsi="仿宋_GB2312" w:eastAsia="仿宋_GB2312" w:cs="仿宋_GB2312"/>
          <w:b/>
          <w:sz w:val="32"/>
          <w:szCs w:val="32"/>
        </w:rPr>
      </w:pPr>
      <w:bookmarkStart w:id="67" w:name="_Toc114070035"/>
      <w:bookmarkStart w:id="68" w:name="_Toc111036286"/>
      <w:r>
        <w:rPr>
          <w:rFonts w:hint="eastAsia" w:ascii="仿宋_GB2312" w:hAnsi="仿宋_GB2312" w:eastAsia="仿宋_GB2312" w:cs="仿宋_GB2312"/>
          <w:b/>
          <w:sz w:val="32"/>
          <w:szCs w:val="32"/>
        </w:rPr>
        <w:t>（一）畅通道扩大辐射范围</w:t>
      </w:r>
      <w:bookmarkEnd w:id="67"/>
      <w:bookmarkEnd w:id="68"/>
    </w:p>
    <w:p>
      <w:pPr>
        <w:overflowPunct w:val="0"/>
        <w:adjustRightInd w:val="0"/>
        <w:snapToGrid w:val="0"/>
        <w:spacing w:line="630" w:lineRule="exact"/>
        <w:ind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bCs/>
          <w:sz w:val="32"/>
          <w:szCs w:val="40"/>
        </w:rPr>
        <w:t>铁路。</w:t>
      </w:r>
      <w:r>
        <w:rPr>
          <w:rFonts w:hint="eastAsia" w:ascii="仿宋_GB2312" w:hAnsi="仿宋_GB2312" w:eastAsia="仿宋_GB2312" w:cs="仿宋_GB2312"/>
          <w:sz w:val="32"/>
          <w:szCs w:val="32"/>
        </w:rPr>
        <w:t>积极配合广元动车所建设，为增加始发停靠及发展高铁货运奠定良好基础。积极配合建设广元至巴中铁路扩能改造工程项目，畅通西北地区经兰渝铁路接广巴达万铁路联系长江的铁水联运货运大通道。配合研究兰渝高铁远期规划。</w:t>
      </w:r>
    </w:p>
    <w:p>
      <w:pPr>
        <w:overflowPunct w:val="0"/>
        <w:adjustRightInd w:val="0"/>
        <w:snapToGrid w:val="0"/>
        <w:spacing w:line="63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40"/>
        </w:rPr>
        <w:t>高速公路。</w:t>
      </w:r>
      <w:r>
        <w:rPr>
          <w:rFonts w:hint="eastAsia" w:ascii="仿宋_GB2312" w:hAnsi="仿宋_GB2312" w:eastAsia="仿宋_GB2312" w:cs="仿宋_GB2312"/>
          <w:sz w:val="32"/>
          <w:szCs w:val="32"/>
        </w:rPr>
        <w:t>加快建设G5京昆高速广元至绵阳段、G5京昆高速川陕界至广元段，实现G5京昆高速复线贯通，缓解高速公路通行压力，提升南联成都、北通陕西的北向大通道效能。</w:t>
      </w:r>
    </w:p>
    <w:p>
      <w:pPr>
        <w:overflowPunct w:val="0"/>
        <w:adjustRightInd w:val="0"/>
        <w:snapToGrid w:val="0"/>
        <w:spacing w:line="63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40"/>
        </w:rPr>
        <w:t>内河水运。</w:t>
      </w:r>
      <w:r>
        <w:rPr>
          <w:rFonts w:hint="eastAsia" w:ascii="仿宋_GB2312" w:hAnsi="仿宋_GB2312" w:eastAsia="仿宋_GB2312" w:cs="仿宋_GB2312"/>
          <w:sz w:val="32"/>
          <w:szCs w:val="32"/>
        </w:rPr>
        <w:t>推进航道养护专项工程，配合推进等级航道达标升级。积极推进“水运＋旅游”转型发展，推进建设以栖凤湖为主的水上旅游码头，新建干溪河旅游码头和千佛崖旅游码头。远期规划建设利州港区袁家坝作业区。积极推进平安渡运工程，配合保留渡口按交通运输部标准化要求进行改造，对老旧客渡船按新能源船型更新。积极推进信息化水平，配合继续实施监测、巡航和救助装备设施建设，查漏补缺。</w:t>
      </w:r>
    </w:p>
    <w:p>
      <w:pPr>
        <w:overflowPunct w:val="0"/>
        <w:adjustRightInd w:val="0"/>
        <w:snapToGrid w:val="0"/>
        <w:spacing w:line="63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40"/>
        </w:rPr>
        <w:t>航空。</w:t>
      </w:r>
      <w:r>
        <w:rPr>
          <w:rFonts w:hint="eastAsia" w:ascii="仿宋_GB2312" w:hAnsi="仿宋_GB2312" w:eastAsia="仿宋_GB2312" w:cs="仿宋_GB2312"/>
          <w:sz w:val="32"/>
          <w:szCs w:val="32"/>
        </w:rPr>
        <w:t>积极配合实施广元机场改扩建工程，并配合争取设立航空口岸、新开和加密客运班线、发展航空货运。配合建设广元通用航空产业园以及停机坪、飞机机库、机场油库扩容、综合油料配送中心等配套设施。积极发展航空飞行院校，配合建设龙浩航校集团总部基地项目。</w:t>
      </w:r>
    </w:p>
    <w:tbl>
      <w:tblPr>
        <w:tblStyle w:val="23"/>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blHeader/>
          <w:jc w:val="center"/>
        </w:trPr>
        <w:tc>
          <w:tcPr>
            <w:tcW w:w="8845" w:type="dxa"/>
            <w:vAlign w:val="center"/>
          </w:tcPr>
          <w:p>
            <w:pPr>
              <w:spacing w:line="400" w:lineRule="exact"/>
              <w:jc w:val="center"/>
              <w:rPr>
                <w:rFonts w:hint="eastAsia" w:ascii="仿宋_GB2312" w:hAnsi="仿宋_GB2312" w:eastAsia="仿宋_GB2312" w:cs="仿宋_GB2312"/>
                <w:b/>
                <w:sz w:val="24"/>
              </w:rPr>
            </w:pPr>
            <w:r>
              <w:rPr>
                <w:rFonts w:hint="eastAsia" w:ascii="仿宋_GB2312" w:hAnsi="仿宋_GB2312" w:eastAsia="仿宋_GB2312" w:cs="仿宋_GB2312"/>
                <w:b/>
                <w:bCs/>
                <w:kern w:val="0"/>
                <w:sz w:val="24"/>
              </w:rPr>
              <w:t>专栏5  利州区“十四五”时期对外大通道重点建设项目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45" w:type="dxa"/>
            <w:vAlign w:val="center"/>
          </w:tcPr>
          <w:p>
            <w:pPr>
              <w:spacing w:line="400" w:lineRule="exact"/>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1．铁路</w:t>
            </w:r>
          </w:p>
          <w:p>
            <w:pPr>
              <w:spacing w:line="400" w:lineRule="exact"/>
              <w:ind w:firstLine="482" w:firstLineChars="200"/>
              <w:rPr>
                <w:rFonts w:hint="eastAsia" w:ascii="仿宋_GB2312" w:hAnsi="仿宋_GB2312" w:eastAsia="仿宋_GB2312" w:cs="仿宋_GB2312"/>
                <w:kern w:val="0"/>
                <w:sz w:val="24"/>
              </w:rPr>
            </w:pPr>
            <w:r>
              <w:rPr>
                <w:rFonts w:hint="eastAsia" w:ascii="仿宋_GB2312" w:hAnsi="仿宋_GB2312" w:eastAsia="仿宋_GB2312" w:cs="仿宋_GB2312"/>
                <w:b/>
                <w:bCs/>
                <w:kern w:val="0"/>
                <w:sz w:val="24"/>
              </w:rPr>
              <w:t>续建项目：</w:t>
            </w:r>
            <w:r>
              <w:rPr>
                <w:rFonts w:hint="eastAsia" w:ascii="仿宋_GB2312" w:hAnsi="仿宋_GB2312" w:eastAsia="仿宋_GB2312" w:cs="仿宋_GB2312"/>
                <w:kern w:val="0"/>
                <w:sz w:val="24"/>
              </w:rPr>
              <w:t>广元动车运用所。</w:t>
            </w:r>
          </w:p>
          <w:p>
            <w:pPr>
              <w:spacing w:line="400" w:lineRule="exact"/>
              <w:ind w:firstLine="482" w:firstLineChars="200"/>
              <w:rPr>
                <w:rFonts w:hint="eastAsia" w:ascii="仿宋_GB2312" w:hAnsi="仿宋_GB2312" w:eastAsia="仿宋_GB2312" w:cs="仿宋_GB2312"/>
                <w:kern w:val="0"/>
                <w:sz w:val="24"/>
              </w:rPr>
            </w:pPr>
            <w:r>
              <w:rPr>
                <w:rFonts w:hint="eastAsia" w:ascii="仿宋_GB2312" w:hAnsi="仿宋_GB2312" w:eastAsia="仿宋_GB2312" w:cs="仿宋_GB2312"/>
                <w:b/>
                <w:bCs/>
                <w:kern w:val="0"/>
                <w:sz w:val="24"/>
              </w:rPr>
              <w:t>力争新开工项目：</w:t>
            </w:r>
            <w:r>
              <w:rPr>
                <w:rFonts w:hint="eastAsia" w:ascii="仿宋_GB2312" w:hAnsi="仿宋_GB2312" w:eastAsia="仿宋_GB2312" w:cs="仿宋_GB2312"/>
                <w:kern w:val="0"/>
                <w:sz w:val="24"/>
              </w:rPr>
              <w:t>广元至巴中铁路扩能改造。</w:t>
            </w:r>
          </w:p>
          <w:p>
            <w:pPr>
              <w:spacing w:line="400" w:lineRule="exact"/>
              <w:ind w:firstLine="482" w:firstLineChars="200"/>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远期规划研究项目：</w:t>
            </w:r>
            <w:r>
              <w:rPr>
                <w:rFonts w:hint="eastAsia" w:ascii="仿宋_GB2312" w:hAnsi="仿宋_GB2312" w:eastAsia="仿宋_GB2312" w:cs="仿宋_GB2312"/>
                <w:kern w:val="0"/>
                <w:sz w:val="24"/>
              </w:rPr>
              <w:t>兰渝高铁。</w:t>
            </w:r>
          </w:p>
          <w:p>
            <w:pPr>
              <w:spacing w:line="400" w:lineRule="exact"/>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2．高速公路</w:t>
            </w:r>
          </w:p>
          <w:p>
            <w:pPr>
              <w:spacing w:line="400" w:lineRule="exact"/>
              <w:ind w:firstLine="482" w:firstLineChars="200"/>
              <w:rPr>
                <w:rFonts w:hint="eastAsia" w:ascii="仿宋_GB2312" w:hAnsi="仿宋_GB2312" w:eastAsia="仿宋_GB2312" w:cs="仿宋_GB2312"/>
                <w:kern w:val="0"/>
                <w:sz w:val="24"/>
              </w:rPr>
            </w:pPr>
            <w:r>
              <w:rPr>
                <w:rFonts w:hint="eastAsia" w:ascii="仿宋_GB2312" w:hAnsi="仿宋_GB2312" w:eastAsia="仿宋_GB2312" w:cs="仿宋_GB2312"/>
                <w:b/>
                <w:bCs/>
                <w:kern w:val="0"/>
                <w:sz w:val="24"/>
              </w:rPr>
              <w:t>新开工项目：</w:t>
            </w:r>
            <w:r>
              <w:rPr>
                <w:rFonts w:hint="eastAsia" w:ascii="仿宋_GB2312" w:hAnsi="仿宋_GB2312" w:eastAsia="仿宋_GB2312" w:cs="仿宋_GB2312"/>
                <w:kern w:val="0"/>
                <w:sz w:val="24"/>
              </w:rPr>
              <w:t>24.4公里，G5京昆高速广元至绵阳段扩容、G5京昆高速川陕界至广元段扩容。</w:t>
            </w:r>
          </w:p>
          <w:p>
            <w:pPr>
              <w:pStyle w:val="2"/>
              <w:spacing w:after="0" w:line="400" w:lineRule="exact"/>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3．水运</w:t>
            </w:r>
          </w:p>
          <w:p>
            <w:pPr>
              <w:adjustRightInd w:val="0"/>
              <w:snapToGrid w:val="0"/>
              <w:spacing w:line="400" w:lineRule="exact"/>
              <w:ind w:firstLine="482" w:firstLineChars="200"/>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新开工项目：</w:t>
            </w:r>
            <w:r>
              <w:rPr>
                <w:rFonts w:hint="eastAsia" w:ascii="仿宋_GB2312" w:hAnsi="仿宋_GB2312" w:eastAsia="仿宋_GB2312" w:cs="仿宋_GB2312"/>
                <w:kern w:val="0"/>
                <w:sz w:val="24"/>
              </w:rPr>
              <w:t>448延米，白龙江大桥加固改造。</w:t>
            </w:r>
          </w:p>
          <w:p>
            <w:pPr>
              <w:adjustRightInd w:val="0"/>
              <w:snapToGrid w:val="0"/>
              <w:spacing w:line="400" w:lineRule="exact"/>
              <w:ind w:firstLine="482" w:firstLineChars="200"/>
              <w:rPr>
                <w:rFonts w:hint="eastAsia" w:ascii="仿宋_GB2312" w:hAnsi="仿宋_GB2312" w:eastAsia="仿宋_GB2312" w:cs="仿宋_GB2312"/>
                <w:sz w:val="24"/>
              </w:rPr>
            </w:pPr>
            <w:r>
              <w:rPr>
                <w:rFonts w:hint="eastAsia" w:ascii="仿宋_GB2312" w:hAnsi="仿宋_GB2312" w:eastAsia="仿宋_GB2312" w:cs="仿宋_GB2312"/>
                <w:b/>
                <w:bCs/>
                <w:kern w:val="0"/>
                <w:sz w:val="24"/>
              </w:rPr>
              <w:t>远期规划项目：</w:t>
            </w:r>
            <w:r>
              <w:rPr>
                <w:rFonts w:hint="eastAsia" w:ascii="仿宋_GB2312" w:hAnsi="仿宋_GB2312" w:eastAsia="仿宋_GB2312" w:cs="仿宋_GB2312"/>
                <w:kern w:val="0"/>
                <w:sz w:val="24"/>
              </w:rPr>
              <w:t>1100延米，金洞乡白龙江特大桥新建工程；利</w:t>
            </w:r>
            <w:r>
              <w:rPr>
                <w:rFonts w:hint="eastAsia" w:ascii="仿宋_GB2312" w:hAnsi="仿宋_GB2312" w:eastAsia="仿宋_GB2312" w:cs="仿宋_GB2312"/>
                <w:sz w:val="24"/>
              </w:rPr>
              <w:t>州港区袁家坝作业区。</w:t>
            </w:r>
          </w:p>
          <w:p>
            <w:pPr>
              <w:pStyle w:val="2"/>
              <w:spacing w:after="0" w:line="400" w:lineRule="exact"/>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4．航空</w:t>
            </w:r>
          </w:p>
          <w:p>
            <w:pPr>
              <w:adjustRightInd w:val="0"/>
              <w:snapToGrid w:val="0"/>
              <w:spacing w:line="400" w:lineRule="exact"/>
              <w:ind w:firstLine="482" w:firstLineChars="200"/>
              <w:rPr>
                <w:rFonts w:hint="eastAsia" w:ascii="仿宋_GB2312" w:hAnsi="仿宋_GB2312" w:eastAsia="仿宋_GB2312" w:cs="仿宋_GB2312"/>
                <w:sz w:val="24"/>
              </w:rPr>
            </w:pPr>
            <w:r>
              <w:rPr>
                <w:rFonts w:hint="eastAsia" w:ascii="仿宋_GB2312" w:hAnsi="仿宋_GB2312" w:eastAsia="仿宋_GB2312" w:cs="仿宋_GB2312"/>
                <w:b/>
                <w:bCs/>
                <w:sz w:val="24"/>
              </w:rPr>
              <w:t>续建项目：</w:t>
            </w:r>
            <w:r>
              <w:rPr>
                <w:rFonts w:hint="eastAsia" w:ascii="仿宋_GB2312" w:hAnsi="仿宋_GB2312" w:eastAsia="仿宋_GB2312" w:cs="仿宋_GB2312"/>
                <w:sz w:val="24"/>
              </w:rPr>
              <w:t>广元通用航空产业园。</w:t>
            </w:r>
          </w:p>
          <w:p>
            <w:pPr>
              <w:adjustRightInd w:val="0"/>
              <w:snapToGrid w:val="0"/>
              <w:spacing w:line="400" w:lineRule="exact"/>
              <w:ind w:firstLine="482" w:firstLineChars="200"/>
              <w:rPr>
                <w:rFonts w:hint="eastAsia" w:ascii="仿宋_GB2312" w:hAnsi="仿宋_GB2312" w:eastAsia="仿宋_GB2312" w:cs="仿宋_GB2312"/>
                <w:b/>
                <w:bCs/>
                <w:kern w:val="0"/>
                <w:sz w:val="24"/>
              </w:rPr>
            </w:pPr>
            <w:r>
              <w:rPr>
                <w:rFonts w:hint="eastAsia" w:ascii="仿宋_GB2312" w:hAnsi="仿宋_GB2312" w:eastAsia="仿宋_GB2312" w:cs="仿宋_GB2312"/>
                <w:b/>
                <w:bCs/>
                <w:sz w:val="24"/>
              </w:rPr>
              <w:t>新开工项目：</w:t>
            </w:r>
            <w:r>
              <w:rPr>
                <w:rFonts w:hint="eastAsia" w:ascii="仿宋_GB2312" w:hAnsi="仿宋_GB2312" w:eastAsia="仿宋_GB2312" w:cs="仿宋_GB2312"/>
                <w:sz w:val="24"/>
              </w:rPr>
              <w:t>广元机场改扩建项目、龙浩航校集团总部基地项目、机场油库扩容建设项目、综合油料配送中心项目。</w:t>
            </w:r>
          </w:p>
        </w:tc>
      </w:tr>
    </w:tbl>
    <w:p>
      <w:pPr>
        <w:overflowPunct w:val="0"/>
        <w:adjustRightInd w:val="0"/>
        <w:snapToGrid w:val="0"/>
        <w:spacing w:line="576" w:lineRule="exact"/>
        <w:ind w:firstLine="643" w:firstLineChars="200"/>
        <w:outlineLvl w:val="1"/>
        <w:rPr>
          <w:rFonts w:hint="eastAsia" w:ascii="仿宋_GB2312" w:hAnsi="仿宋_GB2312" w:eastAsia="仿宋_GB2312" w:cs="仿宋_GB2312"/>
          <w:b/>
          <w:sz w:val="32"/>
          <w:szCs w:val="32"/>
        </w:rPr>
      </w:pPr>
      <w:bookmarkStart w:id="69" w:name="_Toc114070036"/>
      <w:bookmarkStart w:id="70" w:name="_Toc111036287"/>
      <w:r>
        <w:rPr>
          <w:rFonts w:hint="eastAsia" w:ascii="仿宋_GB2312" w:hAnsi="仿宋_GB2312" w:eastAsia="仿宋_GB2312" w:cs="仿宋_GB2312"/>
          <w:b/>
          <w:sz w:val="32"/>
          <w:szCs w:val="32"/>
        </w:rPr>
        <w:t>（二）优网络增强承载能力</w:t>
      </w:r>
      <w:bookmarkEnd w:id="69"/>
      <w:bookmarkEnd w:id="70"/>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40"/>
        </w:rPr>
        <w:t>普通国省道。</w:t>
      </w:r>
      <w:r>
        <w:rPr>
          <w:rFonts w:hint="eastAsia" w:ascii="仿宋_GB2312" w:hAnsi="仿宋_GB2312" w:eastAsia="仿宋_GB2312" w:cs="仿宋_GB2312"/>
          <w:sz w:val="32"/>
          <w:szCs w:val="32"/>
        </w:rPr>
        <w:t>围绕提升县际、乡镇之间互联互通的干线路网质量，推进普通国省道提档升级、消除低等级路段，提高普通国省道路面质量和通行服务水平。普通国道，实施G212南山隧道新建工程、G108利州区宝轮过境段改建工程、以及研究规划G108广元城区过境段改建工程等一批绕避城镇的普通国省道过境公路项目，提升公路过境通行能力，促进公路与城市道路的有效衔接。以利州中心城区通往周边县区一级路升级改造为重点，实施G542利州区盘龙至昭化区元坝段改建工程、G108朝天区中子（川陕界）至利州区瓷窑铺段改建工程等项目，研究规划G212利州区金洞乡至昭化镇段公路等项目。普通省道，以提升乡镇通三级及以上公路连通率和低标路段提档升级为重点，实施S301利州区三堆镇（羊盘至观音店）段改建工程、S416朝天区麻柳至利州区大石段新建工程（黑石坡至曾家山旅游公路）、S416广元城区至三堆段改建工程、S205朝天区云雾山（川陕界）至利州区塔山湾段改建工程、S416利州三堆至白朝段改建工程、S416利州区白朝乡至青川县建峰乡公路改建工程等项目，研究规划S224朝天界渔河桥至旺苍界鱼龙村等项目。</w:t>
      </w:r>
    </w:p>
    <w:p>
      <w:pPr>
        <w:pStyle w:val="2"/>
        <w:overflowPunct w:val="0"/>
        <w:spacing w:after="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40"/>
        </w:rPr>
        <w:t>其他重要干线公路。</w:t>
      </w:r>
      <w:r>
        <w:rPr>
          <w:rFonts w:hint="eastAsia" w:ascii="仿宋_GB2312" w:hAnsi="仿宋_GB2312" w:eastAsia="仿宋_GB2312" w:cs="仿宋_GB2312"/>
          <w:sz w:val="32"/>
          <w:szCs w:val="32"/>
        </w:rPr>
        <w:t>围绕强化与中心城区周边、重要交通枢纽、重要经济节点等的衔接，加快推进一批大容量快速通道，提高重要干线、交通节点之间的互联互通水平，提升综合交通运输系统的衔接性。依托G75高速、G5绵广高速扩容、G5广陕高速扩容等项目，建设G75广甘高速互通立交工程、G75广甘高速金洞至青川观音乡互通连接工程、G5扩容广元互通（赵家坪）至万源连接线等项目，以及研究规划G5扩容荣山出口至广元城区快速通道等一批高速公路互通连接线。围绕提高至重点旅游景区的快速通行能力，建设万源至龙潭乡AAAA景区快速通道，以及研究回龙河至天曌山隧道工程等项目。</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40"/>
        </w:rPr>
        <w:t>农村公路。</w:t>
      </w:r>
      <w:r>
        <w:rPr>
          <w:rFonts w:hint="eastAsia" w:ascii="仿宋_GB2312" w:hAnsi="仿宋_GB2312" w:eastAsia="仿宋_GB2312" w:cs="仿宋_GB2312"/>
          <w:sz w:val="32"/>
          <w:szCs w:val="32"/>
        </w:rPr>
        <w:t>根据全省路网调整规划和两项改革“后半篇”文章对交通发展的要求，结合全区发展实际，“十四五”期间大力实施撤并建制村通畅工程、幸福美丽乡村路建设、县乡道改善提升、通村公路提档升级（四级双车道）、通组硬化路建设、新（改）建桥梁、安全生命防护工程等七大工程。</w:t>
      </w:r>
      <w:r>
        <w:rPr>
          <w:rFonts w:hint="eastAsia" w:ascii="仿宋_GB2312" w:hAnsi="仿宋_GB2312" w:eastAsia="仿宋_GB2312" w:cs="仿宋_GB2312"/>
          <w:bCs/>
          <w:sz w:val="32"/>
          <w:szCs w:val="40"/>
        </w:rPr>
        <w:t>（1）撤并建制村畅通工程。</w:t>
      </w:r>
      <w:r>
        <w:rPr>
          <w:rFonts w:hint="eastAsia" w:ascii="仿宋_GB2312" w:hAnsi="仿宋_GB2312" w:eastAsia="仿宋_GB2312" w:cs="仿宋_GB2312"/>
          <w:sz w:val="32"/>
          <w:szCs w:val="32"/>
        </w:rPr>
        <w:t>村级建制调整改革后，全区有41对有撤并关系的建制村间缺乏便捷直连道路。按照全省两项改革“后半篇”文章对提升发展质量的要求，“十四五”全区累计实施撤并建制村畅通工程173.9公里，通过新建或拓宽改造等方式实现所有撤并建制村与新村委会之间均有4.5米及以上硬化路直连。</w:t>
      </w:r>
      <w:r>
        <w:rPr>
          <w:rFonts w:hint="eastAsia" w:ascii="仿宋_GB2312" w:hAnsi="仿宋_GB2312" w:eastAsia="仿宋_GB2312" w:cs="仿宋_GB2312"/>
          <w:bCs/>
          <w:sz w:val="32"/>
          <w:szCs w:val="40"/>
        </w:rPr>
        <w:t>（2）幸福美丽乡村</w:t>
      </w:r>
      <w:r>
        <w:rPr>
          <w:rFonts w:hint="eastAsia" w:ascii="仿宋_GB2312" w:hAnsi="仿宋_GB2312" w:eastAsia="仿宋_GB2312" w:cs="仿宋_GB2312"/>
          <w:bCs/>
          <w:spacing w:val="6"/>
          <w:sz w:val="32"/>
          <w:szCs w:val="40"/>
        </w:rPr>
        <w:t>路建设。</w:t>
      </w:r>
      <w:r>
        <w:rPr>
          <w:rFonts w:hint="eastAsia" w:ascii="仿宋_GB2312" w:hAnsi="仿宋_GB2312" w:eastAsia="仿宋_GB2312" w:cs="仿宋_GB2312"/>
          <w:spacing w:val="6"/>
          <w:sz w:val="32"/>
          <w:szCs w:val="32"/>
        </w:rPr>
        <w:t>结合全区建设中国生态康养旅游名市核心区以及构建“5</w:t>
      </w:r>
      <w:r>
        <w:rPr>
          <w:rFonts w:hint="eastAsia" w:ascii="仿宋_GB2312" w:hAnsi="仿宋_GB2312" w:eastAsia="仿宋_GB2312" w:cs="仿宋_GB2312"/>
          <w:sz w:val="32"/>
          <w:szCs w:val="32"/>
        </w:rPr>
        <w:t>＋3”现代农业产业体系需要，围绕区域内主要旅游景区、重要产业园区等经济节点分布，着力加强交通运输对产业的衔接与支撑，培育“交通＋旅游”“交通＋产业”融合发展新态势，加快建设“快进慢游”旅游交通网络，“十四五”全区累计实施幸福美丽乡村路108.3公里。</w:t>
      </w:r>
      <w:r>
        <w:rPr>
          <w:rFonts w:hint="eastAsia" w:ascii="仿宋_GB2312" w:hAnsi="仿宋_GB2312" w:eastAsia="仿宋_GB2312" w:cs="仿宋_GB2312"/>
          <w:bCs/>
          <w:sz w:val="32"/>
          <w:szCs w:val="40"/>
        </w:rPr>
        <w:t>（3）县乡道改善提升。</w:t>
      </w:r>
      <w:r>
        <w:rPr>
          <w:rFonts w:hint="eastAsia" w:ascii="仿宋_GB2312" w:hAnsi="仿宋_GB2312" w:eastAsia="仿宋_GB2312" w:cs="仿宋_GB2312"/>
          <w:sz w:val="32"/>
          <w:szCs w:val="32"/>
        </w:rPr>
        <w:t>结合新型城镇化和美丽宜居乡村建设，以提升镇村对外畅通能力为目标，着力改善重要乡镇至周边区域的县乡道路段。“十四五”全区累计实施县乡道改善119公里，实现重要乡镇由三级及以上公路多路径连接。</w:t>
      </w:r>
      <w:r>
        <w:rPr>
          <w:rFonts w:hint="eastAsia" w:ascii="仿宋_GB2312" w:hAnsi="仿宋_GB2312" w:eastAsia="仿宋_GB2312" w:cs="仿宋_GB2312"/>
          <w:bCs/>
          <w:sz w:val="32"/>
          <w:szCs w:val="40"/>
        </w:rPr>
        <w:t>（4）通村公路提档升级（四级双车道）。</w:t>
      </w:r>
      <w:r>
        <w:rPr>
          <w:rFonts w:hint="eastAsia" w:ascii="仿宋_GB2312" w:hAnsi="仿宋_GB2312" w:eastAsia="仿宋_GB2312" w:cs="仿宋_GB2312"/>
          <w:sz w:val="32"/>
          <w:szCs w:val="32"/>
        </w:rPr>
        <w:t>积极消除规划库中存在的村道未达标路段（路面宽度4.5米以下），推进窄路基路面改造及加宽工程，不符合拓宽条件的按需增设错车道或错车带。“十四五”全区累计实施四级双车道通村公路142公里，通过改建方式实现村委会与周边村组之间均有4.5米及以上四级双车道直连。</w:t>
      </w:r>
      <w:r>
        <w:rPr>
          <w:rFonts w:hint="eastAsia" w:ascii="仿宋_GB2312" w:hAnsi="仿宋_GB2312" w:eastAsia="仿宋_GB2312" w:cs="仿宋_GB2312"/>
          <w:bCs/>
          <w:sz w:val="32"/>
          <w:szCs w:val="40"/>
        </w:rPr>
        <w:t>（5）通组硬化路建设。</w:t>
      </w:r>
      <w:r>
        <w:rPr>
          <w:rFonts w:hint="eastAsia" w:ascii="仿宋_GB2312" w:hAnsi="仿宋_GB2312" w:eastAsia="仿宋_GB2312" w:cs="仿宋_GB2312"/>
          <w:sz w:val="32"/>
          <w:szCs w:val="32"/>
        </w:rPr>
        <w:t>贯彻落实交通建设项目更多地向进村入户倾斜的要求，以提升路网通达深度为目标，重点实施常住人口30户以上自然村（组）通硬化路建设。“十四五”全区累计实施通组硬化路35.7公里，力争实现100％的30户以上自然村（组）通3.5米及以上硬化路。</w:t>
      </w:r>
      <w:r>
        <w:rPr>
          <w:rFonts w:hint="eastAsia" w:ascii="仿宋_GB2312" w:hAnsi="仿宋_GB2312" w:eastAsia="仿宋_GB2312" w:cs="仿宋_GB2312"/>
          <w:bCs/>
          <w:sz w:val="32"/>
          <w:szCs w:val="40"/>
        </w:rPr>
        <w:t>（6）新（改）建桥梁。</w:t>
      </w:r>
      <w:r>
        <w:rPr>
          <w:rFonts w:hint="eastAsia" w:ascii="仿宋_GB2312" w:hAnsi="仿宋_GB2312" w:eastAsia="仿宋_GB2312" w:cs="仿宋_GB2312"/>
          <w:sz w:val="32"/>
          <w:szCs w:val="32"/>
        </w:rPr>
        <w:t>加大便民桥建设力度，主要解决因“有路缺桥”而造成的绕行问题。“十四五”全区累计实施桥梁新建30座、危桥改造25座、铁索桥改公路桥4座。</w:t>
      </w:r>
      <w:r>
        <w:rPr>
          <w:rFonts w:hint="eastAsia" w:ascii="仿宋_GB2312" w:hAnsi="仿宋_GB2312" w:eastAsia="仿宋_GB2312" w:cs="仿宋_GB2312"/>
          <w:bCs/>
          <w:sz w:val="32"/>
          <w:szCs w:val="40"/>
        </w:rPr>
        <w:t>（7）安全生命防护工程。</w:t>
      </w:r>
      <w:r>
        <w:rPr>
          <w:rFonts w:hint="eastAsia" w:ascii="仿宋_GB2312" w:hAnsi="仿宋_GB2312" w:eastAsia="仿宋_GB2312" w:cs="仿宋_GB2312"/>
          <w:sz w:val="32"/>
          <w:szCs w:val="32"/>
        </w:rPr>
        <w:t>围绕加强提升公路防洪防灾能力，提升公路安全水平，加快完善农村公路安防、桥涵、排水、标志标牌、管养等配套设施。“十四五”全区累计实施安全生命防护工程100公里。</w:t>
      </w:r>
    </w:p>
    <w:tbl>
      <w:tblPr>
        <w:tblStyle w:val="23"/>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blHeader/>
          <w:jc w:val="center"/>
        </w:trPr>
        <w:tc>
          <w:tcPr>
            <w:tcW w:w="8845" w:type="dxa"/>
            <w:vAlign w:val="center"/>
          </w:tcPr>
          <w:p>
            <w:pPr>
              <w:spacing w:line="420" w:lineRule="exact"/>
              <w:jc w:val="center"/>
              <w:rPr>
                <w:rFonts w:hint="eastAsia" w:ascii="仿宋_GB2312" w:hAnsi="仿宋_GB2312" w:eastAsia="仿宋_GB2312" w:cs="仿宋_GB2312"/>
                <w:b/>
                <w:sz w:val="24"/>
              </w:rPr>
            </w:pPr>
            <w:r>
              <w:rPr>
                <w:rFonts w:hint="eastAsia" w:ascii="仿宋_GB2312" w:hAnsi="仿宋_GB2312" w:eastAsia="仿宋_GB2312" w:cs="仿宋_GB2312"/>
                <w:b/>
                <w:bCs/>
                <w:kern w:val="0"/>
                <w:sz w:val="24"/>
              </w:rPr>
              <w:t>专栏6  利州区“十四五”时期内部路网重点建设项目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9" w:hRule="atLeast"/>
          <w:jc w:val="center"/>
        </w:trPr>
        <w:tc>
          <w:tcPr>
            <w:tcW w:w="8845" w:type="dxa"/>
            <w:vAlign w:val="center"/>
          </w:tcPr>
          <w:p>
            <w:pPr>
              <w:spacing w:line="420" w:lineRule="exact"/>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1．普通国道</w:t>
            </w:r>
          </w:p>
          <w:p>
            <w:pPr>
              <w:pStyle w:val="2"/>
              <w:spacing w:after="0" w:line="420" w:lineRule="exact"/>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续建项目1个、6.7公里：G212南山隧道新建工程。</w:t>
            </w:r>
          </w:p>
          <w:p>
            <w:pPr>
              <w:pStyle w:val="2"/>
              <w:spacing w:after="0" w:line="420" w:lineRule="exact"/>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新开工项目3个、44.1公里：G108利州区宝轮过境段改建工程、G108朝天区中子（川陕界）至利州区瓷窑铺段改建工程、G542利州区盘龙至昭化区元坝段改建工程。</w:t>
            </w:r>
          </w:p>
          <w:p>
            <w:pPr>
              <w:pStyle w:val="2"/>
              <w:spacing w:after="0" w:line="420" w:lineRule="exact"/>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sz w:val="24"/>
              </w:rPr>
              <w:t>远期规划项目：</w:t>
            </w:r>
            <w:r>
              <w:rPr>
                <w:rFonts w:hint="eastAsia" w:ascii="仿宋_GB2312" w:hAnsi="仿宋_GB2312" w:eastAsia="仿宋_GB2312" w:cs="仿宋_GB2312"/>
                <w:kern w:val="0"/>
                <w:sz w:val="24"/>
              </w:rPr>
              <w:t>G108广元城区过境段改建工程、G212利州区金洞乡至昭化镇段公路。</w:t>
            </w:r>
          </w:p>
          <w:p>
            <w:pPr>
              <w:spacing w:line="420" w:lineRule="exact"/>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2．普通省道</w:t>
            </w:r>
          </w:p>
          <w:p>
            <w:pPr>
              <w:spacing w:line="420" w:lineRule="exact"/>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sz w:val="24"/>
              </w:rPr>
              <w:t>续建项目1个、26.1公里：</w:t>
            </w:r>
            <w:r>
              <w:rPr>
                <w:rFonts w:hint="eastAsia" w:ascii="仿宋_GB2312" w:hAnsi="仿宋_GB2312" w:eastAsia="仿宋_GB2312" w:cs="仿宋_GB2312"/>
                <w:kern w:val="0"/>
                <w:sz w:val="24"/>
              </w:rPr>
              <w:t>S301利州区三堆镇（羊盘至观音店）段改建工程。</w:t>
            </w:r>
          </w:p>
          <w:p>
            <w:pPr>
              <w:spacing w:line="420" w:lineRule="exact"/>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新开工项目5个、124.3公里：S416朝天区麻柳至利州区大石段新建工程（黑石坡至曾家山旅游公路）、S416广元城区至三堆段改建工程、S205朝天区云雾山（川陕界）至利州区塔山湾段改建工程、S416利州三堆至白朝段改建工程、S416利州区白朝乡至青川县建峰乡公路改建工程。</w:t>
            </w:r>
          </w:p>
          <w:p>
            <w:pPr>
              <w:spacing w:line="420" w:lineRule="exact"/>
              <w:ind w:firstLine="480" w:firstLineChars="200"/>
              <w:rPr>
                <w:rFonts w:hint="eastAsia" w:ascii="仿宋_GB2312" w:hAnsi="仿宋_GB2312" w:eastAsia="仿宋_GB2312" w:cs="仿宋_GB2312"/>
              </w:rPr>
            </w:pPr>
            <w:r>
              <w:rPr>
                <w:rFonts w:hint="eastAsia" w:ascii="仿宋_GB2312" w:hAnsi="仿宋_GB2312" w:eastAsia="仿宋_GB2312" w:cs="仿宋_GB2312"/>
                <w:kern w:val="0"/>
                <w:sz w:val="24"/>
              </w:rPr>
              <w:t>远期规划项目：S224朝天界渔河桥至旺苍界鱼龙村。</w:t>
            </w:r>
          </w:p>
          <w:p>
            <w:pPr>
              <w:pStyle w:val="2"/>
              <w:spacing w:after="0" w:line="420" w:lineRule="exact"/>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3．其他重要干线</w:t>
            </w:r>
          </w:p>
          <w:p>
            <w:pPr>
              <w:spacing w:line="4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“十四五”规划项目</w:t>
            </w:r>
            <w:r>
              <w:rPr>
                <w:rFonts w:hint="eastAsia" w:ascii="仿宋_GB2312" w:hAnsi="仿宋_GB2312" w:eastAsia="仿宋_GB2312" w:cs="仿宋_GB2312"/>
                <w:kern w:val="0"/>
                <w:sz w:val="24"/>
              </w:rPr>
              <w:t>：G5扩容广元互通（赵家坪）至万源连接线、万源至龙潭乡AAAA景区快速通道、G75广甘高速互通立交工程、G75广甘高速金洞至青川观音乡互通连接工程。</w:t>
            </w:r>
          </w:p>
          <w:p>
            <w:pPr>
              <w:spacing w:line="420" w:lineRule="exact"/>
              <w:ind w:firstLine="480" w:firstLineChars="200"/>
              <w:rPr>
                <w:rFonts w:hint="eastAsia" w:ascii="仿宋_GB2312" w:hAnsi="仿宋_GB2312" w:eastAsia="仿宋_GB2312" w:cs="仿宋_GB2312"/>
                <w:spacing w:val="4"/>
                <w:sz w:val="24"/>
              </w:rPr>
            </w:pPr>
            <w:r>
              <w:rPr>
                <w:rFonts w:hint="eastAsia" w:ascii="仿宋_GB2312" w:hAnsi="仿宋_GB2312" w:eastAsia="仿宋_GB2312" w:cs="仿宋_GB2312"/>
                <w:sz w:val="24"/>
              </w:rPr>
              <w:t>远</w:t>
            </w:r>
            <w:r>
              <w:rPr>
                <w:rFonts w:hint="eastAsia" w:ascii="仿宋_GB2312" w:hAnsi="仿宋_GB2312" w:eastAsia="仿宋_GB2312" w:cs="仿宋_GB2312"/>
                <w:spacing w:val="4"/>
                <w:sz w:val="24"/>
              </w:rPr>
              <w:t>期规划项目</w:t>
            </w:r>
            <w:r>
              <w:rPr>
                <w:rFonts w:hint="eastAsia" w:ascii="仿宋_GB2312" w:hAnsi="仿宋_GB2312" w:eastAsia="仿宋_GB2312" w:cs="仿宋_GB2312"/>
                <w:spacing w:val="4"/>
                <w:kern w:val="0"/>
                <w:sz w:val="24"/>
              </w:rPr>
              <w:t>：G5扩容荣山出口至广元城区快速通道、回龙河至天曌山隧道工程。</w:t>
            </w:r>
          </w:p>
          <w:p>
            <w:pPr>
              <w:pStyle w:val="2"/>
              <w:spacing w:after="0" w:line="420" w:lineRule="exact"/>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4．农村公路</w:t>
            </w:r>
          </w:p>
          <w:p>
            <w:pPr>
              <w:adjustRightInd w:val="0"/>
              <w:snapToGrid w:val="0"/>
              <w:spacing w:line="4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十四五”期规划实施撤并建制村通畅工程173.9公里，幸福美丽乡村路108.3公里，县乡道改善提升119公里，通村公路提档升级（四级双车道）142公里，通组路35.7公里，新建桥梁30座、危桥改造25座、铁索桥改公路桥4座，安全生命防护工程100公里。</w:t>
            </w:r>
          </w:p>
          <w:p>
            <w:pPr>
              <w:pStyle w:val="2"/>
              <w:spacing w:after="0" w:line="420" w:lineRule="exact"/>
              <w:ind w:firstLine="480" w:firstLineChars="200"/>
              <w:rPr>
                <w:rFonts w:hint="eastAsia" w:ascii="仿宋_GB2312" w:hAnsi="仿宋_GB2312" w:eastAsia="仿宋_GB2312" w:cs="仿宋_GB2312"/>
              </w:rPr>
            </w:pPr>
            <w:r>
              <w:rPr>
                <w:rFonts w:hint="eastAsia" w:ascii="仿宋_GB2312" w:hAnsi="仿宋_GB2312" w:eastAsia="仿宋_GB2312" w:cs="仿宋_GB2312"/>
                <w:sz w:val="24"/>
              </w:rPr>
              <w:t>“十五五”期、“十六五”期，分别规划建设农村公路940、1049公里。</w:t>
            </w:r>
          </w:p>
        </w:tc>
      </w:tr>
    </w:tbl>
    <w:p>
      <w:pPr>
        <w:overflowPunct w:val="0"/>
        <w:adjustRightInd w:val="0"/>
        <w:snapToGrid w:val="0"/>
        <w:spacing w:line="576" w:lineRule="exact"/>
        <w:ind w:firstLine="643" w:firstLineChars="200"/>
        <w:outlineLvl w:val="1"/>
        <w:rPr>
          <w:rFonts w:hint="eastAsia" w:ascii="仿宋_GB2312" w:hAnsi="仿宋_GB2312" w:eastAsia="仿宋_GB2312" w:cs="仿宋_GB2312"/>
          <w:b/>
          <w:sz w:val="32"/>
          <w:szCs w:val="32"/>
        </w:rPr>
      </w:pPr>
      <w:bookmarkStart w:id="71" w:name="_Toc111036288"/>
      <w:bookmarkStart w:id="72" w:name="_Toc114070037"/>
      <w:r>
        <w:rPr>
          <w:rFonts w:hint="eastAsia" w:ascii="仿宋_GB2312" w:hAnsi="仿宋_GB2312" w:eastAsia="仿宋_GB2312" w:cs="仿宋_GB2312"/>
          <w:b/>
          <w:sz w:val="32"/>
          <w:szCs w:val="32"/>
        </w:rPr>
        <w:t>（三）强站场提升枢纽能级</w:t>
      </w:r>
      <w:bookmarkEnd w:id="71"/>
      <w:bookmarkEnd w:id="72"/>
    </w:p>
    <w:p>
      <w:pPr>
        <w:pStyle w:val="2"/>
        <w:overflowPunct w:val="0"/>
        <w:spacing w:after="0" w:line="576" w:lineRule="exact"/>
        <w:ind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bCs/>
          <w:sz w:val="32"/>
          <w:szCs w:val="40"/>
        </w:rPr>
        <w:t>综合客运站场。</w:t>
      </w:r>
      <w:r>
        <w:rPr>
          <w:rFonts w:hint="eastAsia" w:ascii="仿宋_GB2312" w:hAnsi="仿宋_GB2312" w:eastAsia="仿宋_GB2312" w:cs="仿宋_GB2312"/>
          <w:sz w:val="32"/>
          <w:szCs w:val="40"/>
        </w:rPr>
        <w:t>配合建设兼有道路客运、城市公交等功能的广元机场综合枢纽站，促进与航空运输的有效衔接。加快推进单一功能客运站向综合型运输服务站转型，整合现有乡镇客运站资源，在大石镇、白朝乡、三堆镇、宝轮镇、龙潭乡等重点镇建设集客运、货运物流、汽车维修、邮政快递、网络电商、农产品售卖等功能于一体的乡镇综合运输服务站。</w:t>
      </w:r>
    </w:p>
    <w:p>
      <w:pPr>
        <w:pStyle w:val="2"/>
        <w:overflowPunct w:val="0"/>
        <w:spacing w:after="0" w:line="576" w:lineRule="exact"/>
        <w:ind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bCs/>
          <w:sz w:val="32"/>
          <w:szCs w:val="40"/>
        </w:rPr>
        <w:t>普通客运站点。</w:t>
      </w:r>
      <w:r>
        <w:rPr>
          <w:rFonts w:hint="eastAsia" w:ascii="仿宋_GB2312" w:hAnsi="仿宋_GB2312" w:eastAsia="仿宋_GB2312" w:cs="仿宋_GB2312"/>
          <w:sz w:val="32"/>
          <w:szCs w:val="40"/>
        </w:rPr>
        <w:t>配合改扩建广元市长途汽车客运站、广元市南河汽车客运站，加快完善村级招呼站建设，提升城乡客运服务水平。</w:t>
      </w:r>
    </w:p>
    <w:p>
      <w:pPr>
        <w:pStyle w:val="2"/>
        <w:overflowPunct w:val="0"/>
        <w:spacing w:after="0" w:line="576" w:lineRule="exact"/>
        <w:ind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bCs/>
          <w:sz w:val="32"/>
          <w:szCs w:val="40"/>
        </w:rPr>
        <w:t>物流港站。</w:t>
      </w:r>
      <w:r>
        <w:rPr>
          <w:rFonts w:hint="eastAsia" w:ascii="仿宋_GB2312" w:hAnsi="仿宋_GB2312" w:eastAsia="仿宋_GB2312" w:cs="仿宋_GB2312"/>
          <w:sz w:val="32"/>
          <w:szCs w:val="40"/>
        </w:rPr>
        <w:t>配合建设集高铁快运物资收发、集散、分拣、仓储、包装、配送等功能于一体，支撑多产业供应链业务的广元·川陕甘高铁快运物流基地（一期）。配合建设集货物装卸仓储转运等功能一体的广元铁路枢纽综合物流基地、广元上西物流园二期、大稻坝冷链物流仓储配送中心等项目。积极配合补齐口岸功能，配合申建保税物流中心（B型）等保税区。</w:t>
      </w:r>
    </w:p>
    <w:p>
      <w:pPr>
        <w:pStyle w:val="2"/>
        <w:overflowPunct w:val="0"/>
        <w:spacing w:after="0" w:line="576" w:lineRule="exact"/>
        <w:ind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bCs/>
          <w:sz w:val="32"/>
          <w:szCs w:val="40"/>
        </w:rPr>
        <w:t>枢纽集疏运体系。</w:t>
      </w:r>
      <w:r>
        <w:rPr>
          <w:rFonts w:hint="eastAsia" w:ascii="仿宋_GB2312" w:hAnsi="仿宋_GB2312" w:eastAsia="仿宋_GB2312" w:cs="仿宋_GB2312"/>
          <w:sz w:val="32"/>
          <w:szCs w:val="40"/>
        </w:rPr>
        <w:t>配合建设回龙河工业园区至广元·川陕甘高铁快运物流基地连接线、广元·川陕甘高铁快运物流基地进场道路工程等货运枢纽集疏运公路，补齐广元枢纽干线路网互联互通不足短板，发挥好高铁快运物流基地的作用。</w:t>
      </w:r>
    </w:p>
    <w:tbl>
      <w:tblPr>
        <w:tblStyle w:val="23"/>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jc w:val="center"/>
        </w:trPr>
        <w:tc>
          <w:tcPr>
            <w:tcW w:w="8845" w:type="dxa"/>
          </w:tcPr>
          <w:p>
            <w:pPr>
              <w:spacing w:line="40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专栏7  利州区“十四五”时期站场枢纽重点建设项目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1" w:hRule="atLeast"/>
          <w:jc w:val="center"/>
        </w:trPr>
        <w:tc>
          <w:tcPr>
            <w:tcW w:w="8845" w:type="dxa"/>
            <w:vAlign w:val="center"/>
          </w:tcPr>
          <w:p>
            <w:pPr>
              <w:spacing w:line="400" w:lineRule="exact"/>
              <w:rPr>
                <w:rFonts w:hint="eastAsia" w:ascii="仿宋_GB2312" w:hAnsi="仿宋_GB2312" w:eastAsia="仿宋_GB2312" w:cs="仿宋_GB2312"/>
                <w:b/>
                <w:bCs/>
                <w:sz w:val="24"/>
                <w:szCs w:val="28"/>
              </w:rPr>
            </w:pPr>
            <w:r>
              <w:rPr>
                <w:rFonts w:hint="eastAsia" w:ascii="仿宋_GB2312" w:hAnsi="仿宋_GB2312" w:eastAsia="仿宋_GB2312" w:cs="仿宋_GB2312"/>
                <w:b/>
                <w:bCs/>
                <w:sz w:val="24"/>
                <w:szCs w:val="28"/>
              </w:rPr>
              <w:t>1．综合客运枢纽站</w:t>
            </w:r>
          </w:p>
          <w:p>
            <w:pPr>
              <w:spacing w:line="40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广元机场综合枢纽站。</w:t>
            </w:r>
          </w:p>
          <w:p>
            <w:pPr>
              <w:spacing w:line="400" w:lineRule="exact"/>
              <w:rPr>
                <w:rFonts w:hint="eastAsia" w:ascii="仿宋_GB2312" w:hAnsi="仿宋_GB2312" w:eastAsia="仿宋_GB2312" w:cs="仿宋_GB2312"/>
                <w:b/>
                <w:bCs/>
                <w:sz w:val="24"/>
                <w:szCs w:val="28"/>
              </w:rPr>
            </w:pPr>
            <w:r>
              <w:rPr>
                <w:rFonts w:hint="eastAsia" w:ascii="仿宋_GB2312" w:hAnsi="仿宋_GB2312" w:eastAsia="仿宋_GB2312" w:cs="仿宋_GB2312"/>
                <w:b/>
                <w:bCs/>
                <w:sz w:val="24"/>
                <w:szCs w:val="28"/>
              </w:rPr>
              <w:t>2．普通公路客运站</w:t>
            </w:r>
          </w:p>
          <w:p>
            <w:pPr>
              <w:pStyle w:val="2"/>
              <w:spacing w:after="0" w:line="400" w:lineRule="exact"/>
              <w:ind w:firstLine="480" w:firstLineChars="200"/>
              <w:rPr>
                <w:rFonts w:hint="eastAsia" w:ascii="仿宋_GB2312" w:hAnsi="仿宋_GB2312" w:eastAsia="仿宋_GB2312" w:cs="仿宋_GB2312"/>
                <w:b/>
                <w:bCs/>
                <w:sz w:val="24"/>
                <w:szCs w:val="28"/>
              </w:rPr>
            </w:pPr>
            <w:r>
              <w:rPr>
                <w:rFonts w:hint="eastAsia" w:ascii="仿宋_GB2312" w:hAnsi="仿宋_GB2312" w:eastAsia="仿宋_GB2312" w:cs="仿宋_GB2312"/>
                <w:sz w:val="24"/>
                <w:szCs w:val="28"/>
              </w:rPr>
              <w:t>广元市长途汽车客运站（上西客运站）、广元市汽车客运站（南河客运站）。</w:t>
            </w:r>
          </w:p>
          <w:p>
            <w:pPr>
              <w:pStyle w:val="2"/>
              <w:spacing w:after="0" w:line="400" w:lineRule="exact"/>
              <w:rPr>
                <w:rFonts w:hint="eastAsia" w:ascii="仿宋_GB2312" w:hAnsi="仿宋_GB2312" w:eastAsia="仿宋_GB2312" w:cs="仿宋_GB2312"/>
                <w:b/>
                <w:bCs/>
                <w:sz w:val="24"/>
                <w:szCs w:val="28"/>
              </w:rPr>
            </w:pPr>
            <w:r>
              <w:rPr>
                <w:rFonts w:hint="eastAsia" w:ascii="仿宋_GB2312" w:hAnsi="仿宋_GB2312" w:eastAsia="仿宋_GB2312" w:cs="仿宋_GB2312"/>
                <w:b/>
                <w:bCs/>
                <w:sz w:val="24"/>
                <w:szCs w:val="28"/>
              </w:rPr>
              <w:t>3．乡镇运输服务站</w:t>
            </w:r>
          </w:p>
          <w:p>
            <w:pPr>
              <w:pStyle w:val="2"/>
              <w:spacing w:after="0" w:line="40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嘉陵街道办事处港湾站、盘龙镇港湾站、宝轮镇港湾站、大石镇运输服务站、三堆镇运输服务站、白朝乡运输服务站、龙潭乡运输服务站、金洞乡运输服务站。</w:t>
            </w:r>
          </w:p>
          <w:p>
            <w:pPr>
              <w:pStyle w:val="2"/>
              <w:spacing w:after="0" w:line="400" w:lineRule="exact"/>
              <w:rPr>
                <w:rFonts w:hint="eastAsia" w:ascii="仿宋_GB2312" w:hAnsi="仿宋_GB2312" w:eastAsia="仿宋_GB2312" w:cs="仿宋_GB2312"/>
                <w:b/>
                <w:bCs/>
                <w:sz w:val="24"/>
                <w:szCs w:val="28"/>
              </w:rPr>
            </w:pPr>
            <w:r>
              <w:rPr>
                <w:rFonts w:hint="eastAsia" w:ascii="仿宋_GB2312" w:hAnsi="仿宋_GB2312" w:eastAsia="仿宋_GB2312" w:cs="仿宋_GB2312"/>
                <w:b/>
                <w:bCs/>
                <w:sz w:val="24"/>
                <w:szCs w:val="28"/>
              </w:rPr>
              <w:t>4．港口码头</w:t>
            </w:r>
          </w:p>
          <w:p>
            <w:pPr>
              <w:pStyle w:val="2"/>
              <w:spacing w:after="0" w:line="40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千佛崖旅游码头、干溪河旅游码头。</w:t>
            </w:r>
          </w:p>
          <w:p>
            <w:pPr>
              <w:pStyle w:val="2"/>
              <w:spacing w:after="0" w:line="400" w:lineRule="exact"/>
              <w:rPr>
                <w:rFonts w:hint="eastAsia" w:ascii="仿宋_GB2312" w:hAnsi="仿宋_GB2312" w:eastAsia="仿宋_GB2312" w:cs="仿宋_GB2312"/>
                <w:b/>
                <w:bCs/>
                <w:sz w:val="24"/>
                <w:szCs w:val="28"/>
              </w:rPr>
            </w:pPr>
            <w:r>
              <w:rPr>
                <w:rFonts w:hint="eastAsia" w:ascii="仿宋_GB2312" w:hAnsi="仿宋_GB2312" w:eastAsia="仿宋_GB2312" w:cs="仿宋_GB2312"/>
                <w:b/>
                <w:bCs/>
                <w:sz w:val="24"/>
                <w:szCs w:val="28"/>
              </w:rPr>
              <w:t>5．多式联运货运枢纽（物流园区）</w:t>
            </w:r>
          </w:p>
          <w:p>
            <w:pPr>
              <w:spacing w:line="400" w:lineRule="exact"/>
              <w:ind w:firstLine="480" w:firstLineChars="200"/>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广元·川陕甘高铁快运物流基地（一期）、广元铁路枢纽综合物流基地、广元上西物流园二期、大稻坝冷链物流仓储配送中心。</w:t>
            </w:r>
          </w:p>
          <w:p>
            <w:pPr>
              <w:pStyle w:val="2"/>
              <w:spacing w:after="0" w:line="400" w:lineRule="exact"/>
              <w:rPr>
                <w:rFonts w:hint="eastAsia" w:ascii="仿宋_GB2312" w:hAnsi="仿宋_GB2312" w:eastAsia="仿宋_GB2312" w:cs="仿宋_GB2312"/>
                <w:b/>
                <w:bCs/>
                <w:sz w:val="24"/>
                <w:szCs w:val="28"/>
              </w:rPr>
            </w:pPr>
            <w:r>
              <w:rPr>
                <w:rFonts w:hint="eastAsia" w:ascii="仿宋_GB2312" w:hAnsi="仿宋_GB2312" w:eastAsia="仿宋_GB2312" w:cs="仿宋_GB2312"/>
                <w:b/>
                <w:bCs/>
                <w:sz w:val="24"/>
                <w:szCs w:val="28"/>
              </w:rPr>
              <w:t>6．枢纽集疏运体系</w:t>
            </w:r>
          </w:p>
          <w:p>
            <w:pPr>
              <w:pStyle w:val="2"/>
              <w:spacing w:after="0" w:line="400" w:lineRule="exact"/>
              <w:ind w:firstLine="480"/>
              <w:rPr>
                <w:rFonts w:hint="eastAsia" w:ascii="仿宋_GB2312" w:hAnsi="仿宋_GB2312" w:eastAsia="仿宋_GB2312" w:cs="仿宋_GB2312"/>
                <w:b/>
                <w:bCs/>
              </w:rPr>
            </w:pPr>
            <w:r>
              <w:rPr>
                <w:rFonts w:hint="eastAsia" w:ascii="仿宋_GB2312" w:hAnsi="仿宋_GB2312" w:eastAsia="仿宋_GB2312" w:cs="仿宋_GB2312"/>
                <w:sz w:val="24"/>
                <w:szCs w:val="28"/>
              </w:rPr>
              <w:t>回龙河工业园区至广元·川陕甘高铁快运物流基地连接线、广元·川陕甘高铁快运物流基地进场道路工程。</w:t>
            </w:r>
          </w:p>
        </w:tc>
      </w:tr>
    </w:tbl>
    <w:p>
      <w:pPr>
        <w:overflowPunct w:val="0"/>
        <w:adjustRightInd w:val="0"/>
        <w:snapToGrid w:val="0"/>
        <w:spacing w:line="576" w:lineRule="exact"/>
        <w:ind w:firstLine="643" w:firstLineChars="200"/>
        <w:outlineLvl w:val="1"/>
        <w:rPr>
          <w:rFonts w:hint="eastAsia" w:ascii="仿宋_GB2312" w:hAnsi="仿宋_GB2312" w:eastAsia="仿宋_GB2312" w:cs="仿宋_GB2312"/>
          <w:b/>
          <w:sz w:val="32"/>
          <w:szCs w:val="32"/>
        </w:rPr>
      </w:pPr>
      <w:bookmarkStart w:id="73" w:name="_Toc111036289"/>
      <w:bookmarkStart w:id="74" w:name="_Toc114070038"/>
      <w:r>
        <w:rPr>
          <w:rFonts w:hint="eastAsia" w:ascii="仿宋_GB2312" w:hAnsi="仿宋_GB2312" w:eastAsia="仿宋_GB2312" w:cs="仿宋_GB2312"/>
          <w:b/>
          <w:sz w:val="32"/>
          <w:szCs w:val="32"/>
        </w:rPr>
        <w:t>（四）优服务实现便捷高效</w:t>
      </w:r>
      <w:bookmarkEnd w:id="73"/>
      <w:bookmarkEnd w:id="74"/>
    </w:p>
    <w:p>
      <w:pPr>
        <w:pStyle w:val="2"/>
        <w:overflowPunct w:val="0"/>
        <w:spacing w:after="0" w:line="576" w:lineRule="exact"/>
        <w:ind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bCs/>
          <w:sz w:val="32"/>
          <w:szCs w:val="40"/>
        </w:rPr>
        <w:t>城际出行。</w:t>
      </w:r>
      <w:r>
        <w:rPr>
          <w:rFonts w:hint="eastAsia" w:ascii="仿宋_GB2312" w:hAnsi="仿宋_GB2312" w:eastAsia="仿宋_GB2312" w:cs="仿宋_GB2312"/>
          <w:sz w:val="32"/>
          <w:szCs w:val="40"/>
        </w:rPr>
        <w:t>积极配合盘龙机场新开辟国内航线，加快实现直通20个以上城市，形成以广元利州为中心、1200公里为主要辐射范围的“米”字型航线网络布局。积极配合推进至成都、重庆、西安、兰州等周边中心城市及国内主要城市的高频次动车开行，实现铁路公交化运营。加快优化至绵阳、巴中、达州、南充等周边市州以及青川、剑阁、昭化、旺苍、朝天等周边区县的客运班线，大力发展多层次、多元化、个性化出行需求的包车客运、预约客运和定制客运。</w:t>
      </w:r>
    </w:p>
    <w:p>
      <w:pPr>
        <w:pStyle w:val="2"/>
        <w:overflowPunct w:val="0"/>
        <w:spacing w:after="0" w:line="576" w:lineRule="exact"/>
        <w:ind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bCs/>
          <w:sz w:val="32"/>
          <w:szCs w:val="40"/>
        </w:rPr>
        <w:t>城市出行。</w:t>
      </w:r>
      <w:r>
        <w:rPr>
          <w:rFonts w:hint="eastAsia" w:ascii="仿宋_GB2312" w:hAnsi="仿宋_GB2312" w:eastAsia="仿宋_GB2312" w:cs="仿宋_GB2312"/>
          <w:sz w:val="32"/>
          <w:szCs w:val="40"/>
        </w:rPr>
        <w:t>持续深入实施公交优先发展战略，合理规划城乡公交，在具备条件的近郊、重点乡镇及景区等区域因地制宜拓宽城市公交或班线客运服务范围，累计开通50条以上公交线路，公交分担率达35％。鼓励优化开行至机场、高铁站等重要客运站、重点旅游景区等直通班车、旅游专线。鼓励发展网约、共享等出行服务模式。整合不同交通方式出行信息，拓宽发布渠道，加强公共交通信息公布。</w:t>
      </w:r>
    </w:p>
    <w:p>
      <w:pPr>
        <w:pStyle w:val="2"/>
        <w:overflowPunct w:val="0"/>
        <w:spacing w:after="0" w:line="576" w:lineRule="exact"/>
        <w:ind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bCs/>
          <w:sz w:val="32"/>
          <w:szCs w:val="40"/>
        </w:rPr>
        <w:t>农村客运。</w:t>
      </w:r>
      <w:r>
        <w:rPr>
          <w:rFonts w:hint="eastAsia" w:ascii="仿宋_GB2312" w:hAnsi="仿宋_GB2312" w:eastAsia="仿宋_GB2312" w:cs="仿宋_GB2312"/>
          <w:sz w:val="32"/>
          <w:szCs w:val="40"/>
        </w:rPr>
        <w:t>完善农村客运服务网络，因地制宜发展农村客运，推广定制、响应、预约式等个性化客运服务模式，实施乡村运输“金通工程”并积极争创样板区。优化农村客运服务模式，</w:t>
      </w:r>
      <w:r>
        <w:rPr>
          <w:rFonts w:hint="eastAsia" w:ascii="仿宋_GB2312" w:hAnsi="仿宋_GB2312" w:eastAsia="仿宋_GB2312" w:cs="仿宋_GB2312"/>
          <w:sz w:val="32"/>
          <w:szCs w:val="32"/>
        </w:rPr>
        <w:t>因地制宜地开行隔日班、周班、节日或赶集班农村客运班次，</w:t>
      </w:r>
      <w:r>
        <w:rPr>
          <w:rFonts w:hint="eastAsia" w:ascii="仿宋_GB2312" w:hAnsi="仿宋_GB2312" w:eastAsia="仿宋_GB2312" w:cs="仿宋_GB2312"/>
          <w:sz w:val="32"/>
          <w:szCs w:val="40"/>
        </w:rPr>
        <w:t>推进农村客运片区化、公司化运营，创新运营组织和日常管理模式，实现农村客运常态化运行。规范农村客运服务管理，积极培育集约化经营、规范化管理的经营主体。</w:t>
      </w:r>
    </w:p>
    <w:p>
      <w:pPr>
        <w:pStyle w:val="2"/>
        <w:overflowPunct w:val="0"/>
        <w:spacing w:after="0" w:line="576" w:lineRule="exact"/>
        <w:ind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bCs/>
          <w:sz w:val="32"/>
          <w:szCs w:val="40"/>
        </w:rPr>
        <w:t>货运组织模式。</w:t>
      </w:r>
      <w:r>
        <w:rPr>
          <w:rFonts w:hint="eastAsia" w:ascii="仿宋_GB2312" w:hAnsi="仿宋_GB2312" w:eastAsia="仿宋_GB2312" w:cs="仿宋_GB2312"/>
          <w:sz w:val="32"/>
          <w:szCs w:val="40"/>
        </w:rPr>
        <w:t>大力发展网络货运，鼓励物流、货运企业扩大经营规模，加强与毗邻区县的合作，加强与西安、兰州等主要城市的联系。配合推进以铁路为骨干的多式联运集群发展，大力推行“一单制”多式联运服务。鼓励物流、快递企业创新服务模式，因地制宜发展共同配送、集中配送、统一配送等先进模式，鼓励与农村客运企业合作经营，在确保安全的情况下利用客运班车剩余运力附搭邮、快件运输。</w:t>
      </w:r>
    </w:p>
    <w:p>
      <w:pPr>
        <w:overflowPunct w:val="0"/>
        <w:spacing w:line="576" w:lineRule="exact"/>
        <w:ind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bCs/>
          <w:sz w:val="32"/>
          <w:szCs w:val="40"/>
        </w:rPr>
        <w:t>城乡物流配送。</w:t>
      </w:r>
      <w:r>
        <w:rPr>
          <w:rFonts w:hint="eastAsia" w:ascii="仿宋_GB2312" w:hAnsi="仿宋_GB2312" w:eastAsia="仿宋_GB2312" w:cs="仿宋_GB2312"/>
          <w:sz w:val="32"/>
          <w:szCs w:val="40"/>
        </w:rPr>
        <w:t>大力发展电商物流，依托省级电子商务进农村示范项目，积极实施“电商＋物流”协同发展，健全农村电子商务网络体系，积极引导城乡物流网络向农村延伸，加快构建区、乡镇（街道）、村（社区）三位一体配送网络。畅通寄递物流渠道，统筹交通、邮政、商贸、供销等站点资源，加强镇村网点集散功能。积极开展“邮快合作、交邮合作”，深入实施</w:t>
      </w:r>
      <w:r>
        <w:rPr>
          <w:rFonts w:hint="eastAsia" w:ascii="仿宋_GB2312" w:hAnsi="仿宋_GB2312" w:eastAsia="仿宋_GB2312" w:cs="仿宋_GB2312"/>
          <w:sz w:val="32"/>
          <w:szCs w:val="32"/>
        </w:rPr>
        <w:t>“邮政在乡”“快递七进”“快递下乡”、快递“进村进厂”等工程</w:t>
      </w:r>
      <w:r>
        <w:rPr>
          <w:rFonts w:hint="eastAsia" w:ascii="仿宋_GB2312" w:hAnsi="仿宋_GB2312" w:eastAsia="仿宋_GB2312" w:cs="仿宋_GB2312"/>
          <w:sz w:val="32"/>
          <w:szCs w:val="40"/>
        </w:rPr>
        <w:t>。</w:t>
      </w:r>
    </w:p>
    <w:p>
      <w:pPr>
        <w:overflowPunct w:val="0"/>
        <w:adjustRightInd w:val="0"/>
        <w:snapToGrid w:val="0"/>
        <w:spacing w:line="576" w:lineRule="exact"/>
        <w:ind w:firstLine="643" w:firstLineChars="200"/>
        <w:outlineLvl w:val="1"/>
        <w:rPr>
          <w:rFonts w:hint="eastAsia" w:ascii="仿宋_GB2312" w:hAnsi="仿宋_GB2312" w:eastAsia="仿宋_GB2312" w:cs="仿宋_GB2312"/>
          <w:b/>
          <w:sz w:val="32"/>
          <w:szCs w:val="32"/>
        </w:rPr>
      </w:pPr>
      <w:bookmarkStart w:id="75" w:name="_Toc111036290"/>
      <w:bookmarkStart w:id="76" w:name="_Toc114070039"/>
      <w:r>
        <w:rPr>
          <w:rFonts w:hint="eastAsia" w:ascii="仿宋_GB2312" w:hAnsi="仿宋_GB2312" w:eastAsia="仿宋_GB2312" w:cs="仿宋_GB2312"/>
          <w:b/>
          <w:sz w:val="32"/>
          <w:szCs w:val="32"/>
        </w:rPr>
        <w:t>（五）提质量助交通现代化</w:t>
      </w:r>
      <w:bookmarkEnd w:id="75"/>
      <w:bookmarkEnd w:id="76"/>
    </w:p>
    <w:p>
      <w:pPr>
        <w:pStyle w:val="2"/>
        <w:overflowPunct w:val="0"/>
        <w:spacing w:after="0" w:line="576" w:lineRule="exact"/>
        <w:ind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bCs/>
          <w:sz w:val="32"/>
          <w:szCs w:val="40"/>
        </w:rPr>
        <w:t>智慧交通。</w:t>
      </w:r>
      <w:r>
        <w:rPr>
          <w:rFonts w:hint="eastAsia" w:ascii="仿宋_GB2312" w:hAnsi="仿宋_GB2312" w:eastAsia="仿宋_GB2312" w:cs="仿宋_GB2312"/>
          <w:sz w:val="32"/>
          <w:szCs w:val="40"/>
        </w:rPr>
        <w:t>积极参与交通运输云数据中心、监测中心、业务管理与协同中心等建设，加强交通信息整合，提升交通运输监测能力、政务服务水平。配合推进电子化服务，着力推广电子客票、电子运单，推动跨方式、跨区域的旅客联程运输和货物多式联运发展。配合提升城乡客运运输服务信息化水平，依托乡村运输“金通工程”引导运输信息服务企业加强信息融合，实现车辆一键可约、车辆位置一键可查、驾驶员信息一键可知、村级招呼站（牌）一键报修等信息化管理和服务。配合推进“四好农村路”管养系统、科技治超、网络货运数字园区等一批智慧交通建设项目。</w:t>
      </w:r>
    </w:p>
    <w:p>
      <w:pPr>
        <w:pStyle w:val="2"/>
        <w:overflowPunct w:val="0"/>
        <w:spacing w:after="0" w:line="600" w:lineRule="exact"/>
        <w:ind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bCs/>
          <w:sz w:val="32"/>
          <w:szCs w:val="40"/>
        </w:rPr>
        <w:t>绿色交通。</w:t>
      </w:r>
      <w:r>
        <w:rPr>
          <w:rFonts w:hint="eastAsia" w:ascii="仿宋_GB2312" w:hAnsi="仿宋_GB2312" w:eastAsia="仿宋_GB2312" w:cs="仿宋_GB2312"/>
          <w:sz w:val="32"/>
          <w:szCs w:val="40"/>
        </w:rPr>
        <w:t>积极推广清洁化、低碳化、高效化交通运输适用装备与设施的应用，推进公交新增和更新为清洁能源和新能源车，推进客运船舶更新为新能源船舶。推进高速公路、普通国省道沿线、城市公交站、物流园区等服务领域布局充电桩、换电站、加氢站基础设施，推广换电模式和氢燃料在重型卡车、营运大客车领域的试点应用。坚持优先发展公共交通战略，优化交通运输资源配置和运力结构，完善城市步行、共享单车等服务系统，积极构建以城市公共交通为主体，步行和自行车交通为重要补充的绿色出行体系。加强资源集约节约利用，更新利用老旧设施，统筹各交通基础设施建设，加强交通项目与“三区三线”衔接，提高土地、岸线等资源利用。加强生态环境保护，严守生态保护红线，推进生态选线选址，强化生态环保设计，项目规划时避让耕地、林地、湿地、饮用水源保护区、风景名胜区、森林公园、“三线一单”保护单元等生态环境敏感区及具有重要生态功能的国土空间。加强营运车辆和枢纽场站等污染治理，健全车辆绿色维修体系，推广绿色化、减量化和可循环的邮件快递包装。</w:t>
      </w:r>
    </w:p>
    <w:p>
      <w:pPr>
        <w:pStyle w:val="2"/>
        <w:overflowPunct w:val="0"/>
        <w:spacing w:after="0" w:line="600" w:lineRule="exact"/>
        <w:ind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bCs/>
          <w:sz w:val="32"/>
          <w:szCs w:val="40"/>
        </w:rPr>
        <w:t>平安交通。</w:t>
      </w:r>
      <w:r>
        <w:rPr>
          <w:rFonts w:hint="eastAsia" w:ascii="仿宋_GB2312" w:hAnsi="仿宋_GB2312" w:eastAsia="仿宋_GB2312" w:cs="仿宋_GB2312"/>
          <w:sz w:val="32"/>
          <w:szCs w:val="40"/>
        </w:rPr>
        <w:t>全面巡查并整治国省干线、农村公路危险路段，加快完善信号灯、标志标线、警示牌、反光镜、防护栏等安全防护措施。加强公路路政管理，加强对区域“黑车”、非法运营车辆监测与管理，强化网约车、道路客运、危险品运输等安全管控。加强交通安全宣传，持续强化交通项目质量监管，不断开展交通安全隐患排查治理工作。加强水上运输安全监管，加快建设白龙湖水上交通安全监测中心，积极建设干溪河应急救助站。加强交通与气象、水利、自然资源等部门的密切联系，及时掌握并发布预警信息、风险提示，加强应急救援专业物资和装备设施配备、队伍建设。</w:t>
      </w:r>
    </w:p>
    <w:p>
      <w:pPr>
        <w:overflowPunct w:val="0"/>
        <w:adjustRightInd w:val="0"/>
        <w:snapToGrid w:val="0"/>
        <w:spacing w:line="600" w:lineRule="exact"/>
        <w:ind w:firstLine="643" w:firstLineChars="200"/>
        <w:outlineLvl w:val="1"/>
        <w:rPr>
          <w:rFonts w:hint="eastAsia" w:ascii="仿宋_GB2312" w:hAnsi="仿宋_GB2312" w:eastAsia="仿宋_GB2312" w:cs="仿宋_GB2312"/>
          <w:b/>
          <w:sz w:val="32"/>
          <w:szCs w:val="32"/>
        </w:rPr>
      </w:pPr>
      <w:bookmarkStart w:id="77" w:name="_Toc111036291"/>
      <w:bookmarkStart w:id="78" w:name="_Toc114070040"/>
      <w:r>
        <w:rPr>
          <w:rFonts w:hint="eastAsia" w:ascii="仿宋_GB2312" w:hAnsi="仿宋_GB2312" w:eastAsia="仿宋_GB2312" w:cs="仿宋_GB2312"/>
          <w:b/>
          <w:sz w:val="32"/>
          <w:szCs w:val="32"/>
        </w:rPr>
        <w:t>（六）深融合打造枢纽经济</w:t>
      </w:r>
      <w:bookmarkEnd w:id="77"/>
      <w:bookmarkEnd w:id="78"/>
    </w:p>
    <w:p>
      <w:pPr>
        <w:pStyle w:val="2"/>
        <w:overflowPunct w:val="0"/>
        <w:spacing w:after="0" w:line="600" w:lineRule="exact"/>
        <w:ind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bCs/>
          <w:sz w:val="32"/>
          <w:szCs w:val="40"/>
        </w:rPr>
        <w:t>枢纽经济。</w:t>
      </w:r>
      <w:r>
        <w:rPr>
          <w:rFonts w:hint="eastAsia" w:ascii="仿宋_GB2312" w:hAnsi="仿宋_GB2312" w:eastAsia="仿宋_GB2312" w:cs="仿宋_GB2312"/>
          <w:sz w:val="32"/>
          <w:szCs w:val="40"/>
        </w:rPr>
        <w:t>推进单体枢纽站场发展形成城市综合体，依托盘龙机场综合枢纽站、广元市长途汽车客运站、南河汽车客运站等客运枢纽建设，积极探索枢纽建设与周边区域联动开发模式，建设集运输、旅游、购物、休闲等多功能于一体的城市综合体，积极发展枢纽经济。推进货运枢纽（物流园区）与产业园区等综合布局，依托广元·川陕甘高铁快运物流基地、广元铁路枢纽综合物流基地等货运枢纽建设，积极推进枢纽建设与产业园区、生产基地等建设紧密衔接，依托广元通用航空产业园建设，积极谋划通用航空相关配套产业发展，促进交通与产业间实现深度融合。科学布局普通国省道服务区，积极探索G108、G212等普通干线公路综合服务区和一般服务区建设，并依托服务区、货运枢纽（物流园区）等积极探索“暖心之家”建设。</w:t>
      </w:r>
    </w:p>
    <w:p>
      <w:pPr>
        <w:pStyle w:val="2"/>
        <w:overflowPunct w:val="0"/>
        <w:spacing w:after="0"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40"/>
        </w:rPr>
        <w:t>交旅融合。</w:t>
      </w:r>
      <w:r>
        <w:rPr>
          <w:rFonts w:hint="eastAsia" w:ascii="仿宋_GB2312" w:hAnsi="仿宋_GB2312" w:eastAsia="仿宋_GB2312" w:cs="仿宋_GB2312"/>
          <w:sz w:val="32"/>
          <w:szCs w:val="40"/>
        </w:rPr>
        <w:t>加快构建现代旅游综合交通运输体系，推动“航空＋旅游”“公路＋旅游”发展，扩大对A级旅游景区、省级旅游度假区、乡村旅游重点村的覆盖面，加快推广女皇故里传奇、高山湿地康养、滨水运动休闲、花卉博览体验、红色经典缅怀之旅等5条精品旅游线路，以及以栖凤湖、白龙湖为主的水上夜游线路。加快建设并提升广元—白朝、广元—天曌山、广元—漫天岭—曾家山等公路建设。加强农村旅游路建设，加快实现机场、车站、码头到主要景区的公共交通无缝对接。完善交通沿线、服务区、客运枢纽、客运码头等旅游服务设施功能。将机场、车站、主要旅游公路的旅游引导标识体系纳入城市道路、公路交通标识项目统一规划、设置和管理。推进高速公路服务区旅游化便民化建设，完善服务区旅游咨询、休闲娱乐、文化体验等功能，因地制宜提升高速公路服务区品质。推行新建和改扩建旅游公路的绿道、旅游风景道一体化建设，增设一批观景台、停车点、自驾游驿站和房车营地。</w:t>
      </w:r>
    </w:p>
    <w:p>
      <w:pPr>
        <w:overflowPunct w:val="0"/>
        <w:adjustRightInd w:val="0"/>
        <w:snapToGrid w:val="0"/>
        <w:spacing w:line="600" w:lineRule="exact"/>
        <w:ind w:firstLine="643" w:firstLineChars="200"/>
        <w:outlineLvl w:val="1"/>
        <w:rPr>
          <w:rFonts w:hint="eastAsia" w:ascii="仿宋_GB2312" w:hAnsi="仿宋_GB2312" w:eastAsia="仿宋_GB2312" w:cs="仿宋_GB2312"/>
          <w:b/>
          <w:sz w:val="32"/>
          <w:szCs w:val="32"/>
        </w:rPr>
      </w:pPr>
      <w:bookmarkStart w:id="79" w:name="_Toc114070041"/>
      <w:bookmarkStart w:id="80" w:name="_Toc111036292"/>
      <w:r>
        <w:rPr>
          <w:rFonts w:hint="eastAsia" w:ascii="仿宋_GB2312" w:hAnsi="仿宋_GB2312" w:eastAsia="仿宋_GB2312" w:cs="仿宋_GB2312"/>
          <w:b/>
          <w:sz w:val="32"/>
          <w:szCs w:val="32"/>
        </w:rPr>
        <w:t>（七）重治理完善行业体系</w:t>
      </w:r>
      <w:bookmarkEnd w:id="79"/>
      <w:bookmarkEnd w:id="80"/>
    </w:p>
    <w:p>
      <w:pPr>
        <w:overflowPunct w:val="0"/>
        <w:adjustRightInd w:val="0"/>
        <w:snapToGrid w:val="0"/>
        <w:spacing w:line="600" w:lineRule="exact"/>
        <w:ind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bCs/>
          <w:sz w:val="32"/>
          <w:szCs w:val="40"/>
        </w:rPr>
        <w:t>养护管理。</w:t>
      </w:r>
      <w:r>
        <w:rPr>
          <w:rFonts w:hint="eastAsia" w:ascii="仿宋_GB2312" w:hAnsi="仿宋_GB2312" w:eastAsia="仿宋_GB2312" w:cs="仿宋_GB2312"/>
          <w:sz w:val="32"/>
          <w:szCs w:val="40"/>
        </w:rPr>
        <w:t>注重全寿命周期养护、预防性养护理念，定期开展公路养护巡查，及时修复破损公路，科学合理实施大中修工程，加强养护管理力度。注重专业化、机械化养护手段，积极推进养护管理与现代信息等新技术有机融合。积极推进公开招标引进专业化养护企业实施养护、培育养护公司、采取建设与“大中修”、日常及“小修”等农村公路养护捆绑招标、养护企业跨区域参与等方式，探索以试点方式有序开展农村公路养护市场化改革。积极扩展企业与个人捐款、道路冠名权、绿化权等多种融资方式与筹资渠道，确保养护资金来源。加快完善养护和应急保通中心、养护管理站建设。注重公路管养体制机制完善，全面推行农村公路县、乡、村三级路长制，着力完善日常养护管理、养护质量监督、养护绩效考核、预防性养护等方面的管养制度，积极完善区级相关部门、乡级人民政府、村民委员会的管理养护责任清单。积极推进航道养护工作，继续建设白龙湖盐井溪至金洞航段例行养护工程，开工建设白龙湖航道养护站房、码头，并完善养护设备配备。</w:t>
      </w:r>
    </w:p>
    <w:p>
      <w:pPr>
        <w:pStyle w:val="2"/>
        <w:overflowPunct w:val="0"/>
        <w:spacing w:after="0" w:line="600" w:lineRule="exact"/>
        <w:ind w:firstLine="640" w:firstLineChars="200"/>
        <w:rPr>
          <w:rFonts w:hint="eastAsia" w:ascii="仿宋_GB2312" w:hAnsi="仿宋_GB2312" w:eastAsia="仿宋_GB2312" w:cs="仿宋_GB2312"/>
          <w:bCs/>
          <w:sz w:val="32"/>
          <w:szCs w:val="40"/>
        </w:rPr>
      </w:pPr>
      <w:r>
        <w:rPr>
          <w:rFonts w:hint="eastAsia" w:ascii="仿宋_GB2312" w:hAnsi="仿宋_GB2312" w:eastAsia="仿宋_GB2312" w:cs="仿宋_GB2312"/>
          <w:bCs/>
          <w:sz w:val="32"/>
          <w:szCs w:val="40"/>
        </w:rPr>
        <w:t>市场营商环境。</w:t>
      </w:r>
      <w:r>
        <w:rPr>
          <w:rFonts w:hint="eastAsia" w:ascii="仿宋_GB2312" w:hAnsi="仿宋_GB2312" w:eastAsia="仿宋_GB2312" w:cs="仿宋_GB2312"/>
          <w:sz w:val="32"/>
          <w:szCs w:val="40"/>
        </w:rPr>
        <w:t>提升市场治理能力，建立健全市场治理规则，逐步完善跨区域、跨部门的综合交通运输协调治理机制，积极探索建立与法治建设相适应的交通运输综合行政执法体系，提升队伍执法能力。提高行政审批效率，进一步规范审批服务流程，理顺审批业务受理机制，积极推进“互联网＋政务服务”，实现交通行政许可网上办理。完善社会协同共治体系，建立健全公共监督机制，加强交通运输信用体系建设，实施市场准入负面清单制度，完善行政调解和信访工作机制。</w:t>
      </w:r>
    </w:p>
    <w:p>
      <w:pPr>
        <w:overflowPunct w:val="0"/>
        <w:adjustRightInd w:val="0"/>
        <w:snapToGrid w:val="0"/>
        <w:spacing w:line="600" w:lineRule="exact"/>
        <w:ind w:firstLine="640" w:firstLineChars="200"/>
        <w:outlineLvl w:val="0"/>
        <w:rPr>
          <w:rFonts w:hint="eastAsia" w:ascii="仿宋_GB2312" w:hAnsi="仿宋_GB2312" w:eastAsia="仿宋_GB2312" w:cs="仿宋_GB2312"/>
          <w:sz w:val="32"/>
          <w:szCs w:val="32"/>
        </w:rPr>
      </w:pPr>
      <w:bookmarkStart w:id="81" w:name="_Toc114070042"/>
      <w:bookmarkStart w:id="82" w:name="_Toc111036293"/>
      <w:r>
        <w:rPr>
          <w:rFonts w:hint="eastAsia" w:ascii="仿宋_GB2312" w:hAnsi="仿宋_GB2312" w:eastAsia="仿宋_GB2312" w:cs="仿宋_GB2312"/>
          <w:sz w:val="32"/>
          <w:szCs w:val="32"/>
        </w:rPr>
        <w:t>七、资金需求</w:t>
      </w:r>
      <w:bookmarkEnd w:id="81"/>
      <w:bookmarkEnd w:id="82"/>
    </w:p>
    <w:p>
      <w:pPr>
        <w:overflowPunct w:val="0"/>
        <w:spacing w:line="600" w:lineRule="exact"/>
        <w:ind w:firstLine="640" w:firstLineChars="200"/>
        <w:rPr>
          <w:rFonts w:hint="eastAsia" w:ascii="仿宋_GB2312" w:hAnsi="仿宋_GB2312" w:eastAsia="仿宋_GB2312" w:cs="仿宋_GB2312"/>
        </w:rPr>
      </w:pPr>
      <w:r>
        <w:rPr>
          <w:rFonts w:hint="eastAsia" w:ascii="仿宋_GB2312" w:hAnsi="仿宋_GB2312" w:eastAsia="仿宋_GB2312" w:cs="仿宋_GB2312"/>
          <w:sz w:val="32"/>
          <w:szCs w:val="32"/>
        </w:rPr>
        <w:t>“十四五”期间，利州区综合交通建设规划拟投资275.11亿元。其中，铁路拟投资21亿元，高速公路拟投资64.7亿元，普通国省道拟投资85.8亿元、其他重要干线公路拟投资10.95亿元、农村公路拟投资24.54亿元、枢纽站场拟投资33.02亿元、内河水运拟投资1.1亿元，航空拟投资34亿元。</w:t>
      </w:r>
    </w:p>
    <w:p>
      <w:pPr>
        <w:pStyle w:val="2"/>
        <w:jc w:val="center"/>
        <w:rPr>
          <w:rFonts w:hint="eastAsia" w:ascii="仿宋_GB2312" w:hAnsi="仿宋_GB2312" w:eastAsia="仿宋_GB2312" w:cs="仿宋_GB2312"/>
          <w:sz w:val="24"/>
        </w:rPr>
      </w:pPr>
      <w:r>
        <w:rPr>
          <w:rFonts w:hint="eastAsia" w:ascii="仿宋_GB2312" w:hAnsi="仿宋_GB2312" w:eastAsia="仿宋_GB2312" w:cs="仿宋_GB2312"/>
          <w:sz w:val="24"/>
        </w:rPr>
        <w:t>表6—1 利州区“十四五”综合交通运输规划拟投资规模汇总表</w:t>
      </w:r>
    </w:p>
    <w:tbl>
      <w:tblPr>
        <w:tblStyle w:val="23"/>
        <w:tblW w:w="8845"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19"/>
        <w:gridCol w:w="2593"/>
        <w:gridCol w:w="2593"/>
        <w:gridCol w:w="2440"/>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3812" w:type="dxa"/>
            <w:gridSpan w:val="2"/>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板块</w:t>
            </w:r>
          </w:p>
        </w:tc>
        <w:tc>
          <w:tcPr>
            <w:tcW w:w="2593"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建设规模（公里）</w:t>
            </w:r>
          </w:p>
        </w:tc>
        <w:tc>
          <w:tcPr>
            <w:tcW w:w="2440"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总投资（亿元）</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219" w:type="dxa"/>
            <w:vMerge w:val="restart"/>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公路水运</w:t>
            </w:r>
          </w:p>
        </w:tc>
        <w:tc>
          <w:tcPr>
            <w:tcW w:w="2593"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高速公路</w:t>
            </w:r>
          </w:p>
        </w:tc>
        <w:tc>
          <w:tcPr>
            <w:tcW w:w="259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24.4</w:t>
            </w:r>
          </w:p>
        </w:tc>
        <w:tc>
          <w:tcPr>
            <w:tcW w:w="244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64.7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219" w:type="dxa"/>
            <w:vMerge w:val="continue"/>
            <w:vAlign w:val="center"/>
          </w:tcPr>
          <w:p>
            <w:pPr>
              <w:widowControl/>
              <w:jc w:val="center"/>
              <w:rPr>
                <w:rFonts w:hint="eastAsia" w:ascii="仿宋_GB2312" w:hAnsi="仿宋_GB2312" w:eastAsia="仿宋_GB2312" w:cs="仿宋_GB2312"/>
                <w:b/>
                <w:bCs/>
                <w:kern w:val="0"/>
                <w:sz w:val="20"/>
                <w:szCs w:val="20"/>
              </w:rPr>
            </w:pPr>
          </w:p>
        </w:tc>
        <w:tc>
          <w:tcPr>
            <w:tcW w:w="2593"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普通国省道</w:t>
            </w:r>
          </w:p>
        </w:tc>
        <w:tc>
          <w:tcPr>
            <w:tcW w:w="259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201.2</w:t>
            </w:r>
          </w:p>
        </w:tc>
        <w:tc>
          <w:tcPr>
            <w:tcW w:w="244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85.8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219" w:type="dxa"/>
            <w:vMerge w:val="continue"/>
            <w:vAlign w:val="center"/>
          </w:tcPr>
          <w:p>
            <w:pPr>
              <w:widowControl/>
              <w:jc w:val="center"/>
              <w:rPr>
                <w:rFonts w:hint="eastAsia" w:ascii="仿宋_GB2312" w:hAnsi="仿宋_GB2312" w:eastAsia="仿宋_GB2312" w:cs="仿宋_GB2312"/>
                <w:b/>
                <w:bCs/>
                <w:kern w:val="0"/>
                <w:sz w:val="20"/>
                <w:szCs w:val="20"/>
              </w:rPr>
            </w:pPr>
          </w:p>
        </w:tc>
        <w:tc>
          <w:tcPr>
            <w:tcW w:w="2593"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其他重要干线公路</w:t>
            </w:r>
          </w:p>
        </w:tc>
        <w:tc>
          <w:tcPr>
            <w:tcW w:w="259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36.2</w:t>
            </w:r>
          </w:p>
        </w:tc>
        <w:tc>
          <w:tcPr>
            <w:tcW w:w="244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10.95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219" w:type="dxa"/>
            <w:vMerge w:val="continue"/>
            <w:vAlign w:val="center"/>
          </w:tcPr>
          <w:p>
            <w:pPr>
              <w:widowControl/>
              <w:jc w:val="center"/>
              <w:rPr>
                <w:rFonts w:hint="eastAsia" w:ascii="仿宋_GB2312" w:hAnsi="仿宋_GB2312" w:eastAsia="仿宋_GB2312" w:cs="仿宋_GB2312"/>
                <w:b/>
                <w:bCs/>
                <w:kern w:val="0"/>
                <w:sz w:val="20"/>
                <w:szCs w:val="20"/>
              </w:rPr>
            </w:pPr>
          </w:p>
        </w:tc>
        <w:tc>
          <w:tcPr>
            <w:tcW w:w="2593"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农村公路</w:t>
            </w:r>
          </w:p>
        </w:tc>
        <w:tc>
          <w:tcPr>
            <w:tcW w:w="259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678.9、59座</w:t>
            </w:r>
          </w:p>
        </w:tc>
        <w:tc>
          <w:tcPr>
            <w:tcW w:w="244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24.54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219" w:type="dxa"/>
            <w:vMerge w:val="continue"/>
            <w:vAlign w:val="center"/>
          </w:tcPr>
          <w:p>
            <w:pPr>
              <w:widowControl/>
              <w:jc w:val="center"/>
              <w:rPr>
                <w:rFonts w:hint="eastAsia" w:ascii="仿宋_GB2312" w:hAnsi="仿宋_GB2312" w:eastAsia="仿宋_GB2312" w:cs="仿宋_GB2312"/>
                <w:b/>
                <w:bCs/>
                <w:kern w:val="0"/>
                <w:sz w:val="20"/>
                <w:szCs w:val="20"/>
              </w:rPr>
            </w:pPr>
          </w:p>
        </w:tc>
        <w:tc>
          <w:tcPr>
            <w:tcW w:w="2593"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枢纽站场</w:t>
            </w:r>
          </w:p>
        </w:tc>
        <w:tc>
          <w:tcPr>
            <w:tcW w:w="2593" w:type="dxa"/>
            <w:vAlign w:val="center"/>
          </w:tcPr>
          <w:p>
            <w:pPr>
              <w:widowControl/>
              <w:jc w:val="center"/>
              <w:rPr>
                <w:rFonts w:hint="eastAsia" w:ascii="仿宋_GB2312" w:hAnsi="仿宋_GB2312" w:eastAsia="仿宋_GB2312" w:cs="仿宋_GB2312"/>
                <w:kern w:val="0"/>
                <w:sz w:val="20"/>
                <w:szCs w:val="20"/>
              </w:rPr>
            </w:pPr>
          </w:p>
        </w:tc>
        <w:tc>
          <w:tcPr>
            <w:tcW w:w="244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33.02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219" w:type="dxa"/>
            <w:vMerge w:val="continue"/>
            <w:vAlign w:val="center"/>
          </w:tcPr>
          <w:p>
            <w:pPr>
              <w:widowControl/>
              <w:jc w:val="center"/>
              <w:rPr>
                <w:rFonts w:hint="eastAsia" w:ascii="仿宋_GB2312" w:hAnsi="仿宋_GB2312" w:eastAsia="仿宋_GB2312" w:cs="仿宋_GB2312"/>
                <w:b/>
                <w:bCs/>
                <w:kern w:val="0"/>
                <w:sz w:val="20"/>
                <w:szCs w:val="20"/>
              </w:rPr>
            </w:pPr>
          </w:p>
        </w:tc>
        <w:tc>
          <w:tcPr>
            <w:tcW w:w="2593"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内河水运</w:t>
            </w:r>
          </w:p>
        </w:tc>
        <w:tc>
          <w:tcPr>
            <w:tcW w:w="2593" w:type="dxa"/>
            <w:vAlign w:val="center"/>
          </w:tcPr>
          <w:p>
            <w:pPr>
              <w:widowControl/>
              <w:jc w:val="center"/>
              <w:rPr>
                <w:rFonts w:hint="eastAsia" w:ascii="仿宋_GB2312" w:hAnsi="仿宋_GB2312" w:eastAsia="仿宋_GB2312" w:cs="仿宋_GB2312"/>
                <w:kern w:val="0"/>
                <w:sz w:val="20"/>
                <w:szCs w:val="20"/>
              </w:rPr>
            </w:pPr>
          </w:p>
        </w:tc>
        <w:tc>
          <w:tcPr>
            <w:tcW w:w="244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219" w:type="dxa"/>
            <w:vMerge w:val="continue"/>
            <w:vAlign w:val="center"/>
          </w:tcPr>
          <w:p>
            <w:pPr>
              <w:widowControl/>
              <w:jc w:val="center"/>
              <w:rPr>
                <w:rFonts w:hint="eastAsia" w:ascii="仿宋_GB2312" w:hAnsi="仿宋_GB2312" w:eastAsia="仿宋_GB2312" w:cs="仿宋_GB2312"/>
                <w:b/>
                <w:bCs/>
                <w:kern w:val="0"/>
                <w:sz w:val="20"/>
                <w:szCs w:val="20"/>
              </w:rPr>
            </w:pPr>
          </w:p>
        </w:tc>
        <w:tc>
          <w:tcPr>
            <w:tcW w:w="2593"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小计</w:t>
            </w:r>
          </w:p>
        </w:tc>
        <w:tc>
          <w:tcPr>
            <w:tcW w:w="2593"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940.7、59座</w:t>
            </w:r>
          </w:p>
        </w:tc>
        <w:tc>
          <w:tcPr>
            <w:tcW w:w="2440"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220.11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219" w:type="dxa"/>
            <w:vMerge w:val="restart"/>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其他专项</w:t>
            </w:r>
          </w:p>
        </w:tc>
        <w:tc>
          <w:tcPr>
            <w:tcW w:w="2593"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铁路</w:t>
            </w:r>
          </w:p>
        </w:tc>
        <w:tc>
          <w:tcPr>
            <w:tcW w:w="2593" w:type="dxa"/>
            <w:vAlign w:val="center"/>
          </w:tcPr>
          <w:p>
            <w:pPr>
              <w:widowControl/>
              <w:jc w:val="center"/>
              <w:rPr>
                <w:rFonts w:hint="eastAsia" w:ascii="仿宋_GB2312" w:hAnsi="仿宋_GB2312" w:eastAsia="仿宋_GB2312" w:cs="仿宋_GB2312"/>
                <w:kern w:val="0"/>
                <w:sz w:val="20"/>
                <w:szCs w:val="20"/>
              </w:rPr>
            </w:pPr>
          </w:p>
        </w:tc>
        <w:tc>
          <w:tcPr>
            <w:tcW w:w="244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219" w:type="dxa"/>
            <w:vMerge w:val="continue"/>
            <w:vAlign w:val="center"/>
          </w:tcPr>
          <w:p>
            <w:pPr>
              <w:widowControl/>
              <w:rPr>
                <w:rFonts w:hint="eastAsia" w:ascii="仿宋_GB2312" w:hAnsi="仿宋_GB2312" w:eastAsia="仿宋_GB2312" w:cs="仿宋_GB2312"/>
                <w:b/>
                <w:bCs/>
                <w:kern w:val="0"/>
                <w:sz w:val="20"/>
                <w:szCs w:val="20"/>
              </w:rPr>
            </w:pPr>
          </w:p>
        </w:tc>
        <w:tc>
          <w:tcPr>
            <w:tcW w:w="2593"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航空</w:t>
            </w:r>
          </w:p>
        </w:tc>
        <w:tc>
          <w:tcPr>
            <w:tcW w:w="2593" w:type="dxa"/>
            <w:vAlign w:val="center"/>
          </w:tcPr>
          <w:p>
            <w:pPr>
              <w:widowControl/>
              <w:jc w:val="center"/>
              <w:rPr>
                <w:rFonts w:hint="eastAsia" w:ascii="仿宋_GB2312" w:hAnsi="仿宋_GB2312" w:eastAsia="仿宋_GB2312" w:cs="仿宋_GB2312"/>
                <w:kern w:val="0"/>
                <w:sz w:val="20"/>
                <w:szCs w:val="20"/>
              </w:rPr>
            </w:pPr>
          </w:p>
        </w:tc>
        <w:tc>
          <w:tcPr>
            <w:tcW w:w="244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3812" w:type="dxa"/>
            <w:gridSpan w:val="2"/>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合计</w:t>
            </w:r>
          </w:p>
        </w:tc>
        <w:tc>
          <w:tcPr>
            <w:tcW w:w="2593"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940.7、59座</w:t>
            </w:r>
          </w:p>
        </w:tc>
        <w:tc>
          <w:tcPr>
            <w:tcW w:w="2440"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275.11</w:t>
            </w:r>
          </w:p>
        </w:tc>
      </w:tr>
    </w:tbl>
    <w:p>
      <w:pPr>
        <w:overflowPunct w:val="0"/>
        <w:adjustRightInd w:val="0"/>
        <w:snapToGrid w:val="0"/>
        <w:spacing w:line="576" w:lineRule="exact"/>
        <w:ind w:firstLine="640" w:firstLineChars="200"/>
        <w:outlineLvl w:val="0"/>
        <w:rPr>
          <w:rFonts w:hint="eastAsia" w:ascii="仿宋_GB2312" w:hAnsi="仿宋_GB2312" w:eastAsia="仿宋_GB2312" w:cs="仿宋_GB2312"/>
          <w:sz w:val="32"/>
          <w:szCs w:val="32"/>
        </w:rPr>
      </w:pPr>
      <w:bookmarkStart w:id="83" w:name="_Toc114070043"/>
      <w:bookmarkStart w:id="84" w:name="_Toc111036294"/>
      <w:r>
        <w:rPr>
          <w:rFonts w:hint="eastAsia" w:ascii="仿宋_GB2312" w:hAnsi="仿宋_GB2312" w:eastAsia="仿宋_GB2312" w:cs="仿宋_GB2312"/>
          <w:sz w:val="32"/>
          <w:szCs w:val="32"/>
        </w:rPr>
        <w:t>八、保障措施</w:t>
      </w:r>
      <w:bookmarkEnd w:id="83"/>
      <w:bookmarkEnd w:id="84"/>
    </w:p>
    <w:p>
      <w:pPr>
        <w:overflowPunct w:val="0"/>
        <w:adjustRightInd w:val="0"/>
        <w:snapToGrid w:val="0"/>
        <w:spacing w:line="576" w:lineRule="exact"/>
        <w:ind w:firstLine="643" w:firstLineChars="200"/>
        <w:outlineLvl w:val="1"/>
        <w:rPr>
          <w:rFonts w:hint="eastAsia" w:ascii="仿宋_GB2312" w:hAnsi="仿宋_GB2312" w:eastAsia="仿宋_GB2312" w:cs="仿宋_GB2312"/>
          <w:sz w:val="32"/>
          <w:szCs w:val="22"/>
        </w:rPr>
      </w:pPr>
      <w:bookmarkStart w:id="85" w:name="_Toc111036295"/>
      <w:bookmarkStart w:id="86" w:name="_Toc114070044"/>
      <w:r>
        <w:rPr>
          <w:rFonts w:hint="eastAsia" w:ascii="仿宋_GB2312" w:hAnsi="仿宋_GB2312" w:eastAsia="仿宋_GB2312" w:cs="仿宋_GB2312"/>
          <w:b/>
          <w:sz w:val="32"/>
          <w:szCs w:val="32"/>
        </w:rPr>
        <w:t>（一）加强组织领导</w:t>
      </w:r>
      <w:bookmarkEnd w:id="85"/>
      <w:r>
        <w:rPr>
          <w:rFonts w:hint="eastAsia" w:ascii="仿宋_GB2312" w:hAnsi="仿宋_GB2312" w:eastAsia="仿宋_GB2312" w:cs="仿宋_GB2312"/>
          <w:b/>
          <w:sz w:val="32"/>
          <w:szCs w:val="32"/>
        </w:rPr>
        <w:t>。</w:t>
      </w:r>
      <w:r>
        <w:rPr>
          <w:rFonts w:hint="eastAsia" w:ascii="仿宋_GB2312" w:hAnsi="仿宋_GB2312" w:eastAsia="仿宋_GB2312" w:cs="仿宋_GB2312"/>
          <w:sz w:val="32"/>
          <w:szCs w:val="22"/>
        </w:rPr>
        <w:t>坚持和加强党的全面领导，建立由区委、区政府统一领导，发展改革、财政、自然资源、生态环境等相关部门以及重点乡镇分工协作的联动协调机制，定期会商会办重要事项，各部门</w:t>
      </w:r>
      <w:r>
        <w:rPr>
          <w:rFonts w:hint="eastAsia" w:ascii="仿宋_GB2312" w:hAnsi="仿宋_GB2312" w:eastAsia="仿宋_GB2312" w:cs="仿宋_GB2312"/>
          <w:sz w:val="32"/>
          <w:szCs w:val="32"/>
        </w:rPr>
        <w:t>明确责任分工，加强沟通配合，</w:t>
      </w:r>
      <w:r>
        <w:rPr>
          <w:rFonts w:hint="eastAsia" w:ascii="仿宋_GB2312" w:hAnsi="仿宋_GB2312" w:eastAsia="仿宋_GB2312" w:cs="仿宋_GB2312"/>
          <w:sz w:val="32"/>
          <w:szCs w:val="22"/>
        </w:rPr>
        <w:t>确保规划落到实处。加强与国土空间规划开发、生态环境保护、产业布局等相关规划的有效衔接，抓好重点项目、重大政策的落实，制定详细的实施计划，确保建设有序推进。</w:t>
      </w:r>
      <w:bookmarkEnd w:id="86"/>
    </w:p>
    <w:p>
      <w:pPr>
        <w:overflowPunct w:val="0"/>
        <w:adjustRightInd w:val="0"/>
        <w:snapToGrid w:val="0"/>
        <w:spacing w:line="576" w:lineRule="exact"/>
        <w:ind w:firstLine="643" w:firstLineChars="200"/>
        <w:outlineLvl w:val="1"/>
        <w:rPr>
          <w:rFonts w:hint="eastAsia" w:ascii="仿宋_GB2312" w:hAnsi="仿宋_GB2312" w:eastAsia="仿宋_GB2312" w:cs="仿宋_GB2312"/>
          <w:sz w:val="32"/>
          <w:szCs w:val="32"/>
        </w:rPr>
      </w:pPr>
      <w:bookmarkStart w:id="87" w:name="_Toc111036296"/>
      <w:bookmarkStart w:id="88" w:name="_Toc114070045"/>
      <w:r>
        <w:rPr>
          <w:rFonts w:hint="eastAsia" w:ascii="仿宋_GB2312" w:hAnsi="仿宋_GB2312" w:eastAsia="仿宋_GB2312" w:cs="仿宋_GB2312"/>
          <w:b/>
          <w:sz w:val="32"/>
          <w:szCs w:val="32"/>
        </w:rPr>
        <w:t>（二）强化资金保障</w:t>
      </w:r>
      <w:bookmarkEnd w:id="87"/>
      <w:r>
        <w:rPr>
          <w:rFonts w:hint="eastAsia" w:ascii="仿宋_GB2312" w:hAnsi="仿宋_GB2312" w:eastAsia="仿宋_GB2312" w:cs="仿宋_GB2312"/>
          <w:b/>
          <w:sz w:val="32"/>
          <w:szCs w:val="32"/>
        </w:rPr>
        <w:t>。</w:t>
      </w:r>
      <w:r>
        <w:rPr>
          <w:rFonts w:hint="eastAsia" w:ascii="仿宋_GB2312" w:hAnsi="仿宋_GB2312" w:eastAsia="仿宋_GB2312" w:cs="仿宋_GB2312"/>
          <w:sz w:val="32"/>
          <w:szCs w:val="32"/>
        </w:rPr>
        <w:t>主动靠拢上级交通发展支持政策，力争更多项目争取纳入国家、省级、市级的项目库，最大程度争取上级资金支持，并继续加大区级和乡镇财政资金对交通发展的投入力度。积极拓宽融资渠道，加强资金自筹力度，努力争取向政策性银行、商业性银行进行贷款融资，合理运用政府和社会资本合作（PPP）模式，鼓励企业和个人捐款，鼓励出让道路冠名权、广告权、相关资源开发权等方式筹集交通建养资金，鼓励</w:t>
      </w:r>
      <w:r>
        <w:rPr>
          <w:rFonts w:hint="eastAsia" w:ascii="仿宋_GB2312" w:hAnsi="仿宋_GB2312" w:eastAsia="仿宋_GB2312" w:cs="仿宋_GB2312"/>
          <w:sz w:val="32"/>
          <w:szCs w:val="22"/>
        </w:rPr>
        <w:t>将道路两侧可开发用地收益优先用于保障道路建设资金。</w:t>
      </w:r>
      <w:bookmarkEnd w:id="88"/>
    </w:p>
    <w:p>
      <w:pPr>
        <w:overflowPunct w:val="0"/>
        <w:adjustRightInd w:val="0"/>
        <w:snapToGrid w:val="0"/>
        <w:spacing w:line="576" w:lineRule="exact"/>
        <w:ind w:firstLine="643" w:firstLineChars="200"/>
        <w:outlineLvl w:val="1"/>
        <w:rPr>
          <w:rFonts w:hint="eastAsia" w:ascii="仿宋_GB2312" w:hAnsi="仿宋_GB2312" w:eastAsia="仿宋_GB2312" w:cs="仿宋_GB2312"/>
          <w:sz w:val="32"/>
          <w:szCs w:val="32"/>
        </w:rPr>
      </w:pPr>
      <w:bookmarkStart w:id="89" w:name="_Toc111036297"/>
      <w:bookmarkStart w:id="90" w:name="_Toc114070046"/>
      <w:r>
        <w:rPr>
          <w:rFonts w:hint="eastAsia" w:ascii="仿宋_GB2312" w:hAnsi="仿宋_GB2312" w:eastAsia="仿宋_GB2312" w:cs="仿宋_GB2312"/>
          <w:b/>
          <w:sz w:val="32"/>
          <w:szCs w:val="32"/>
        </w:rPr>
        <w:t>（三）落实用地指标</w:t>
      </w:r>
      <w:bookmarkEnd w:id="89"/>
      <w:r>
        <w:rPr>
          <w:rFonts w:hint="eastAsia" w:ascii="仿宋_GB2312" w:hAnsi="仿宋_GB2312" w:eastAsia="仿宋_GB2312" w:cs="仿宋_GB2312"/>
          <w:b/>
          <w:sz w:val="32"/>
          <w:szCs w:val="32"/>
        </w:rPr>
        <w:t>。</w:t>
      </w:r>
      <w:r>
        <w:rPr>
          <w:rFonts w:hint="eastAsia" w:ascii="仿宋_GB2312" w:hAnsi="仿宋_GB2312" w:eastAsia="仿宋_GB2312" w:cs="仿宋_GB2312"/>
          <w:sz w:val="32"/>
          <w:szCs w:val="32"/>
        </w:rPr>
        <w:t>落实土地要素跟着项目走，对符合国家或省级审批条件的项目，全力争取纳入国土空间规划中，按规定积极申请使用国家或省级用地指标。统筹区内用地指标，将效益明显的项目放在优先安排年度用地计划。做好项目沿线征地拆迁工作，加强土地整理和耕地复垦工作，确保建设占用耕地“先补后占、占补平衡”。</w:t>
      </w:r>
      <w:bookmarkEnd w:id="90"/>
    </w:p>
    <w:p>
      <w:pPr>
        <w:overflowPunct w:val="0"/>
        <w:adjustRightInd w:val="0"/>
        <w:snapToGrid w:val="0"/>
        <w:spacing w:line="576" w:lineRule="exact"/>
        <w:ind w:firstLine="643" w:firstLineChars="200"/>
        <w:outlineLvl w:val="1"/>
        <w:rPr>
          <w:rFonts w:hint="eastAsia" w:ascii="仿宋_GB2312" w:hAnsi="仿宋_GB2312" w:eastAsia="仿宋_GB2312" w:cs="仿宋_GB2312"/>
          <w:sz w:val="32"/>
          <w:szCs w:val="32"/>
        </w:rPr>
      </w:pPr>
      <w:bookmarkStart w:id="91" w:name="_Toc111036298"/>
      <w:bookmarkStart w:id="92" w:name="_Toc114070047"/>
      <w:r>
        <w:rPr>
          <w:rFonts w:hint="eastAsia" w:ascii="仿宋_GB2312" w:hAnsi="仿宋_GB2312" w:eastAsia="仿宋_GB2312" w:cs="仿宋_GB2312"/>
          <w:b/>
          <w:sz w:val="32"/>
          <w:szCs w:val="32"/>
        </w:rPr>
        <w:t>（四）加强队伍建设</w:t>
      </w:r>
      <w:bookmarkEnd w:id="91"/>
      <w:r>
        <w:rPr>
          <w:rFonts w:hint="eastAsia" w:ascii="仿宋_GB2312" w:hAnsi="仿宋_GB2312" w:eastAsia="仿宋_GB2312" w:cs="仿宋_GB2312"/>
          <w:b/>
          <w:sz w:val="32"/>
          <w:szCs w:val="32"/>
        </w:rPr>
        <w:t>。</w:t>
      </w:r>
      <w:r>
        <w:rPr>
          <w:rFonts w:hint="eastAsia" w:ascii="仿宋_GB2312" w:hAnsi="仿宋_GB2312" w:eastAsia="仿宋_GB2312" w:cs="仿宋_GB2312"/>
          <w:sz w:val="32"/>
          <w:szCs w:val="32"/>
        </w:rPr>
        <w:t>完善组织形式和管理方式，加强培养综合型交通专业人才、优秀管理人才，尤其是加强现代化机械设备操作的业务培训。定期开展专题培训班活动，加强交通运输监控人员、路政监管队伍等的培训和教育，全面提升交通运输从业人员的素质和能力。</w:t>
      </w:r>
      <w:r>
        <w:rPr>
          <w:rFonts w:hint="eastAsia" w:ascii="仿宋_GB2312" w:hAnsi="仿宋_GB2312" w:eastAsia="仿宋_GB2312" w:cs="仿宋_GB2312"/>
          <w:sz w:val="32"/>
          <w:szCs w:val="22"/>
        </w:rPr>
        <w:t>建立与交通运输领域相关企事业单位的长期合作关系，组建交通规划建设、管理养护、安全生产等领域专家库和讲师团，为全区交通提供强有力的人才智力保障。</w:t>
      </w:r>
      <w:bookmarkEnd w:id="92"/>
    </w:p>
    <w:p>
      <w:pPr>
        <w:overflowPunct w:val="0"/>
        <w:adjustRightInd w:val="0"/>
        <w:snapToGrid w:val="0"/>
        <w:spacing w:line="576" w:lineRule="exact"/>
        <w:ind w:firstLine="643" w:firstLineChars="200"/>
        <w:outlineLvl w:val="1"/>
        <w:rPr>
          <w:rFonts w:hint="eastAsia" w:ascii="仿宋_GB2312" w:hAnsi="仿宋_GB2312" w:eastAsia="仿宋_GB2312" w:cs="仿宋_GB2312"/>
          <w:sz w:val="32"/>
          <w:szCs w:val="40"/>
        </w:rPr>
      </w:pPr>
      <w:bookmarkStart w:id="93" w:name="_Toc111036299"/>
      <w:bookmarkStart w:id="94" w:name="_Toc114070048"/>
      <w:r>
        <w:rPr>
          <w:rFonts w:hint="eastAsia" w:ascii="仿宋_GB2312" w:hAnsi="仿宋_GB2312" w:eastAsia="仿宋_GB2312" w:cs="仿宋_GB2312"/>
          <w:b/>
          <w:sz w:val="32"/>
          <w:szCs w:val="32"/>
        </w:rPr>
        <w:t>（五）严格监督考核</w:t>
      </w:r>
      <w:bookmarkEnd w:id="93"/>
      <w:r>
        <w:rPr>
          <w:rFonts w:hint="eastAsia" w:ascii="仿宋_GB2312" w:hAnsi="仿宋_GB2312" w:eastAsia="仿宋_GB2312" w:cs="仿宋_GB2312"/>
          <w:b/>
          <w:sz w:val="32"/>
          <w:szCs w:val="32"/>
        </w:rPr>
        <w:t>。</w:t>
      </w:r>
      <w:r>
        <w:rPr>
          <w:rFonts w:hint="eastAsia" w:ascii="仿宋_GB2312" w:hAnsi="仿宋_GB2312" w:eastAsia="仿宋_GB2312" w:cs="仿宋_GB2312"/>
          <w:sz w:val="32"/>
          <w:szCs w:val="32"/>
        </w:rPr>
        <w:t>着重</w:t>
      </w:r>
      <w:r>
        <w:rPr>
          <w:rFonts w:hint="eastAsia" w:ascii="仿宋_GB2312" w:hAnsi="仿宋_GB2312" w:eastAsia="仿宋_GB2312" w:cs="仿宋_GB2312"/>
          <w:sz w:val="32"/>
          <w:szCs w:val="40"/>
        </w:rPr>
        <w:t>对重大项目建设的督导检查，切实维护规划执行的严肃性，并建立动态跟踪评估机制，定期通报情况。严格规范交通建设资金的使用，对资金拨付情况实行全过程监督。全面落实项目业主生态安全质量管理责任，加强环境保护监管和环境后评价工作。</w:t>
      </w:r>
      <w:bookmarkEnd w:id="94"/>
    </w:p>
    <w:p>
      <w:pPr>
        <w:overflowPunct w:val="0"/>
        <w:adjustRightInd w:val="0"/>
        <w:snapToGrid w:val="0"/>
        <w:spacing w:line="576" w:lineRule="exact"/>
        <w:ind w:firstLine="640" w:firstLineChars="200"/>
        <w:outlineLvl w:val="0"/>
        <w:rPr>
          <w:rFonts w:hint="eastAsia" w:ascii="仿宋_GB2312" w:hAnsi="仿宋_GB2312" w:eastAsia="仿宋_GB2312" w:cs="仿宋_GB2312"/>
          <w:sz w:val="32"/>
          <w:szCs w:val="32"/>
        </w:rPr>
      </w:pPr>
      <w:bookmarkStart w:id="95" w:name="_Toc111036300"/>
      <w:bookmarkStart w:id="96" w:name="_Toc114070049"/>
      <w:r>
        <w:rPr>
          <w:rFonts w:hint="eastAsia" w:ascii="仿宋_GB2312" w:hAnsi="仿宋_GB2312" w:eastAsia="仿宋_GB2312" w:cs="仿宋_GB2312"/>
          <w:sz w:val="32"/>
          <w:szCs w:val="32"/>
        </w:rPr>
        <w:t>九、环境影响评价专章</w:t>
      </w:r>
      <w:bookmarkEnd w:id="95"/>
      <w:bookmarkEnd w:id="96"/>
    </w:p>
    <w:p>
      <w:pPr>
        <w:overflowPunct w:val="0"/>
        <w:adjustRightInd w:val="0"/>
        <w:snapToGrid w:val="0"/>
        <w:spacing w:line="576" w:lineRule="exact"/>
        <w:ind w:firstLine="643" w:firstLineChars="200"/>
        <w:outlineLvl w:val="1"/>
        <w:rPr>
          <w:rFonts w:hint="eastAsia" w:ascii="仿宋_GB2312" w:hAnsi="仿宋_GB2312" w:eastAsia="仿宋_GB2312" w:cs="仿宋_GB2312"/>
          <w:b/>
          <w:sz w:val="32"/>
          <w:szCs w:val="32"/>
        </w:rPr>
      </w:pPr>
      <w:bookmarkStart w:id="97" w:name="_Toc114070050"/>
      <w:bookmarkStart w:id="98" w:name="_Toc111036301"/>
      <w:r>
        <w:rPr>
          <w:rFonts w:hint="eastAsia" w:ascii="仿宋_GB2312" w:hAnsi="仿宋_GB2312" w:eastAsia="仿宋_GB2312" w:cs="仿宋_GB2312"/>
          <w:b/>
          <w:sz w:val="32"/>
          <w:szCs w:val="32"/>
        </w:rPr>
        <w:t>（一）规划分析</w:t>
      </w:r>
      <w:bookmarkEnd w:id="97"/>
      <w:bookmarkEnd w:id="98"/>
    </w:p>
    <w:p>
      <w:pPr>
        <w:overflowPunct w:val="0"/>
        <w:adjustRightInd w:val="0"/>
        <w:snapToGrid w:val="0"/>
        <w:spacing w:line="576"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1．与上位规划的符合性分析</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bookmarkStart w:id="99" w:name="_Hlk74849472"/>
      <w:r>
        <w:rPr>
          <w:rFonts w:hint="eastAsia" w:ascii="仿宋_GB2312" w:hAnsi="仿宋_GB2312" w:eastAsia="仿宋_GB2312" w:cs="仿宋_GB2312"/>
          <w:sz w:val="32"/>
          <w:szCs w:val="32"/>
        </w:rPr>
        <w:t>本规划项目与《国家综合立体交通网规划纲要》《四川省综合立体交通网规划纲要》《四川省“十四五”综合交通运输发展规划》《广元市“十四五”综合交通运输发展规划》等上位规划不冲突，符合有关上位规划的规定和要求。</w:t>
      </w:r>
    </w:p>
    <w:bookmarkEnd w:id="99"/>
    <w:p>
      <w:pPr>
        <w:overflowPunct w:val="0"/>
        <w:adjustRightInd w:val="0"/>
        <w:snapToGrid w:val="0"/>
        <w:spacing w:line="576"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2．与相关规划协调性分析</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（1）与国民经济和社会发展规划的协调性分析</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本规划是根据利州区第八届人民代表大会第六次会议审查并批准的《利州区国民经济和社会发展第十四个五年规划和二</w:t>
      </w:r>
      <w:r>
        <w:rPr>
          <w:rFonts w:hint="eastAsia" w:ascii="仿宋_GB2312" w:hAnsi="仿宋_GB2312" w:eastAsia="仿宋_GB2312" w:cs="仿宋_GB2312"/>
          <w:sz w:val="28"/>
          <w:szCs w:val="28"/>
        </w:rPr>
        <w:t>〇</w:t>
      </w:r>
      <w:r>
        <w:rPr>
          <w:rFonts w:hint="eastAsia" w:ascii="仿宋_GB2312" w:hAnsi="仿宋_GB2312" w:eastAsia="仿宋_GB2312" w:cs="仿宋_GB2312"/>
          <w:sz w:val="32"/>
          <w:szCs w:val="32"/>
        </w:rPr>
        <w:t>三五年远景目标纲要》，以主动融入成渝地区双城经济圈，构建的现代综合交通运输体系，强化综合交通枢纽功能，统筹和指导利州区发展综合交通的纲领和行动指南。本规划与国民经济和社会发展规划相符。</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（2）与农业发展规划的协调性</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本规划确定的建设项目有利于形成规模大、品质优、市场竞争力强的特色农产品输出。因此，本规划与利州区农业发展规划相符。</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（3）与工业发展规划的协调性</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本规划中公路、物流园区等建设项目将在国内商品流通中起到“节点”作用。因此，本规划与利州区工业发展规划相符。</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（4）与旅游发展规划的协调性</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本规划确定的建设项目有助于从旅游基础条件方面，推动利州区旅游文化产业持续健康快速发展；加快餐饮住宿、文化娱乐等服务业提档升级，让当地旅游走向全国、全世界。因此，本规划符合旅游发展规划。</w:t>
      </w:r>
    </w:p>
    <w:p>
      <w:pPr>
        <w:overflowPunct w:val="0"/>
        <w:adjustRightInd w:val="0"/>
        <w:snapToGrid w:val="0"/>
        <w:spacing w:line="576"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3．环境约束型规划协调性分析</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（1）与《四川省主体功能区规划》协调性分析</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根据《四川省主体功能区规划》，利州区所在主体功能定位为“五带”中成德绵广（元）城镇发展带重点开发地区，为省级层面重点开发区域。</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严格按照《四川省主体功能区规划》相关开发原则和要求，并认真落实本规划要求以及后续环评及批复提出的各项环境保护措施，可以把项目实施对主体功能区的环境影响降到最低。从环境保护的角度分析，规划与《四川省主体功能区规划》相关内容相适应。</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（2）与四川省国土资源空间规划协调性分析</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四川省国土空间规划2020—2035年》（草案），优化了生态、农业和城镇格局。草案征求了全省21个市州（包括广元市）的意见和建议。利州区有关部门把本规划的建设项目进行了反馈。因此，本规划与草案相符。</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（3）与四川省“三线一单”相关要求的协调性分析</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关于落实生态保护红线、环境质量底线、资源利用上线制定生态环境准入清单实施生态环境分区管控的通知》，四川省从生态环境保护角度划分为优先保护、重点管控和一般管控三类环境管控单元。利州区部分区域涉及环境重点管控单元。本规划已将“三线一单”融入决策中，本规划符合“三线一单”生态环境分区管理体系要求。</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（4）与广元市“三线一单”相关要求的协调分析</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规划编制过程中已与涉及的主要建设项目进行了协调，充分</w:t>
      </w:r>
      <w:r>
        <w:rPr>
          <w:rFonts w:hint="eastAsia" w:ascii="仿宋_GB2312" w:hAnsi="仿宋_GB2312" w:eastAsia="仿宋_GB2312" w:cs="仿宋_GB2312"/>
          <w:spacing w:val="6"/>
          <w:sz w:val="32"/>
          <w:szCs w:val="32"/>
        </w:rPr>
        <w:t>考虑了项目建设需求。所以本规划符合对“三线一单”的相关要</w:t>
      </w:r>
      <w:r>
        <w:rPr>
          <w:rFonts w:hint="eastAsia" w:ascii="仿宋_GB2312" w:hAnsi="仿宋_GB2312" w:eastAsia="仿宋_GB2312" w:cs="仿宋_GB2312"/>
          <w:sz w:val="32"/>
          <w:szCs w:val="32"/>
        </w:rPr>
        <w:t>求。</w:t>
      </w:r>
    </w:p>
    <w:p>
      <w:pPr>
        <w:overflowPunct w:val="0"/>
        <w:adjustRightInd w:val="0"/>
        <w:snapToGrid w:val="0"/>
        <w:spacing w:line="576" w:lineRule="exact"/>
        <w:ind w:firstLine="643" w:firstLineChars="200"/>
        <w:outlineLvl w:val="1"/>
        <w:rPr>
          <w:rFonts w:hint="eastAsia" w:ascii="仿宋_GB2312" w:hAnsi="仿宋_GB2312" w:eastAsia="仿宋_GB2312" w:cs="仿宋_GB2312"/>
          <w:b/>
          <w:sz w:val="32"/>
          <w:szCs w:val="32"/>
        </w:rPr>
      </w:pPr>
      <w:bookmarkStart w:id="100" w:name="_Toc114070051"/>
      <w:bookmarkStart w:id="101" w:name="_Toc111036302"/>
      <w:r>
        <w:rPr>
          <w:rFonts w:hint="eastAsia" w:ascii="仿宋_GB2312" w:hAnsi="仿宋_GB2312" w:eastAsia="仿宋_GB2312" w:cs="仿宋_GB2312"/>
          <w:b/>
          <w:sz w:val="32"/>
          <w:szCs w:val="32"/>
        </w:rPr>
        <w:t>（二）环境影响分析与评价</w:t>
      </w:r>
      <w:bookmarkEnd w:id="100"/>
      <w:bookmarkEnd w:id="101"/>
    </w:p>
    <w:p>
      <w:pPr>
        <w:overflowPunct w:val="0"/>
        <w:adjustRightInd w:val="0"/>
        <w:snapToGrid w:val="0"/>
        <w:spacing w:line="576"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1．环境影响分析</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（1）环境影响</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路类项目（高速公路、普通国省道、农村公路）：该类项目主要环境影响为：项目实施可能会有征地拆迁，存在一定社会稳定风险；占用土地，特别是耕地资源，土地利用格局发生变化，同时产生水土流失；项目可能会涉及重要生态敏感区域，对生态环境产生影响；项目营运期产生的交通运输噪声，将对沿线居民造成一定的不利影响；公路服务区产生的污、废水可能对地表水体产生不利影响。</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水运类项目（航道整治和建设工程、码头建设工程）：该类项目占用土地，对区域土地利用格局产生一定的影响；航道建设和整治期间，会对河道水生环境产生影响；运营期间，码头往来的船舶产生的油污废水如不经处理可能会对附近水体水质产生一定影响；船舶产生的尾气可能会对当地大气环境造成轻微影响；交通噪声会影响河道周围居民，同时影响水生生物的自然生存环境。</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枢纽类项目（普通客运枢纽、物流基地）：该类项目在建设期间将占用土地，对区域土地利用格局产生影响，并造成水土流失；运营期间，项目将产生生活污水，对地表水环境造成影响；客运汽车、货车等车辆将会对大气造成影响；交通噪声会影响项目周围声环境质量；项目会产生固体废弃物，可能会影响周围的自然生态环境。</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（2）环境风险</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规划项目可能存在的环境风险主要包括：（1）公路类项目运营中，因车辆运输交通事故导致被运送的危险品在运输途中发生爆炸等；（2）水运类项目运营过程中，航运船侧翻导致有毒有害货物进入江河对水体造成严重污染；（3）枢纽类项目，危险品在运输枢纽类项目内突发性发生逸漏、爆炸、燃烧等对当地环境造成较大危害。在做好有效风险防控前提下，此类项目发生环境风险概率非常小。</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（3）重要敏感区域环境影响分析</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本规划项目可能会涉及重要环境敏感区域。但总体上在项目选址、选线阶段，可以绕避相关法律法规禁止建设的区域。对于无法避绕的建设项目，可通过采取有效措施，合理</w:t>
      </w:r>
      <w:r>
        <w:rPr>
          <w:rFonts w:hint="eastAsia" w:ascii="仿宋_GB2312" w:hAnsi="仿宋_GB2312" w:eastAsia="仿宋_GB2312" w:cs="仿宋_GB2312"/>
          <w:color w:val="000000"/>
          <w:sz w:val="32"/>
          <w:szCs w:val="32"/>
        </w:rPr>
        <w:t>选择施工工艺和优化施工组织，</w:t>
      </w:r>
      <w:r>
        <w:rPr>
          <w:rFonts w:hint="eastAsia" w:ascii="仿宋_GB2312" w:hAnsi="仿宋_GB2312" w:eastAsia="仿宋_GB2312" w:cs="仿宋_GB2312"/>
          <w:sz w:val="32"/>
          <w:szCs w:val="32"/>
        </w:rPr>
        <w:t>加强污染防治和监督管理，将建设项目对生态环境敏感区域造成的负面影响降低到最小。</w:t>
      </w:r>
    </w:p>
    <w:p>
      <w:pPr>
        <w:overflowPunct w:val="0"/>
        <w:adjustRightInd w:val="0"/>
        <w:snapToGrid w:val="0"/>
        <w:spacing w:line="576"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2．环境影响评价</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重点在规划中明确的建设项目可能对环境造成的各种影响，从规划层面为环境管理和下阶段建设项目环境影响评价工作提出意见。而具体项目的环评应符合生态环境部关于建设项目环评审批原则及相关要求。</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规划实施后，社会、生态、环境空气、水环境、声环境等环境影响如下：</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社会环境。本规划涉及的建设项目能够推动社会经济发展，但无法避免的征地拆迁存在一定社会稳定风险。（2）生态环境。占用土地资源使土地利用格局发生变化，新增水土流失；永久占用或破坏植被，改变原有生态植被状况；可能对生态环境敏感区域和脆弱区产生一定影响。（3）环境空气。施工期主要是扬尘污染，营运期主要是燃油尾气排污。（4）水环境。施工期间主要污染为施工废水和施工人员生活污水；营运期污染主要是路、桥面初期含油雨水，航道船舶产生的含油废水。（5）声环境。施工期主要是施工作业机械噪声，营运期主要是交通噪声影响。（6）环境风险。交通事故可能造成危化品泄漏，污染当地环境。</w:t>
      </w:r>
    </w:p>
    <w:p>
      <w:pPr>
        <w:overflowPunct w:val="0"/>
        <w:adjustRightInd w:val="0"/>
        <w:snapToGrid w:val="0"/>
        <w:spacing w:line="576" w:lineRule="exact"/>
        <w:ind w:firstLine="643" w:firstLineChars="200"/>
        <w:outlineLvl w:val="1"/>
        <w:rPr>
          <w:rFonts w:hint="eastAsia" w:ascii="仿宋_GB2312" w:hAnsi="仿宋_GB2312" w:eastAsia="仿宋_GB2312" w:cs="仿宋_GB2312"/>
          <w:b/>
          <w:sz w:val="32"/>
          <w:szCs w:val="32"/>
        </w:rPr>
      </w:pPr>
      <w:bookmarkStart w:id="102" w:name="_Toc114070052"/>
      <w:bookmarkStart w:id="103" w:name="_Toc111036303"/>
      <w:r>
        <w:rPr>
          <w:rFonts w:hint="eastAsia" w:ascii="仿宋_GB2312" w:hAnsi="仿宋_GB2312" w:eastAsia="仿宋_GB2312" w:cs="仿宋_GB2312"/>
          <w:b/>
          <w:sz w:val="32"/>
          <w:szCs w:val="32"/>
        </w:rPr>
        <w:t>（三）资源环境承载能力分析</w:t>
      </w:r>
      <w:bookmarkEnd w:id="102"/>
      <w:bookmarkEnd w:id="103"/>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土地资源</w:t>
      </w:r>
      <w:r>
        <w:rPr>
          <w:rFonts w:hint="eastAsia" w:ascii="仿宋_GB2312" w:hAnsi="仿宋_GB2312" w:eastAsia="仿宋_GB2312" w:cs="仿宋_GB2312"/>
          <w:sz w:val="32"/>
          <w:szCs w:val="32"/>
        </w:rPr>
        <w:t>：利州区幅员面积1538.5平方公里，本次规划主要为线性工程，包含少部分面源工程，占用规划范围幅员面积较少，不会产生明显土地资源累积影响。</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水资源：</w:t>
      </w:r>
      <w:r>
        <w:rPr>
          <w:rFonts w:hint="eastAsia" w:ascii="仿宋_GB2312" w:hAnsi="仿宋_GB2312" w:eastAsia="仿宋_GB2312" w:cs="仿宋_GB2312"/>
          <w:sz w:val="32"/>
          <w:szCs w:val="32"/>
        </w:rPr>
        <w:t>利州区拥有多个县级集中式饮用水源地，项目实施范围内水资源丰富。项目消耗水资源主要在枢纽类项目，占总供水量比例较小，不会产生明显水资源累积影响。</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生态资源：</w:t>
      </w:r>
      <w:r>
        <w:rPr>
          <w:rFonts w:hint="eastAsia" w:ascii="仿宋_GB2312" w:hAnsi="仿宋_GB2312" w:eastAsia="仿宋_GB2312" w:cs="仿宋_GB2312"/>
          <w:sz w:val="32"/>
          <w:szCs w:val="32"/>
        </w:rPr>
        <w:t>项目大部分为线性工程（包含少量点源工程）。针对线性工程在选线阶段就会尽可能规避生态敏感区，减少对生态资源的占用，项目实施后产生的累积影响也基本不会改变规划范围内的生物多样性和区域生态系统的功能。</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大气资源：</w:t>
      </w:r>
      <w:r>
        <w:rPr>
          <w:rFonts w:hint="eastAsia" w:ascii="仿宋_GB2312" w:hAnsi="仿宋_GB2312" w:eastAsia="仿宋_GB2312" w:cs="仿宋_GB2312"/>
          <w:sz w:val="32"/>
          <w:szCs w:val="32"/>
        </w:rPr>
        <w:t>规划区域范围环境空气质量日益改善，而项目实施大气污染主要为施工扬尘、运营期的汽车等，基本沿线性分布，不会改变规划范围内大气质量。</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声环境资源：</w:t>
      </w:r>
      <w:r>
        <w:rPr>
          <w:rFonts w:hint="eastAsia" w:ascii="仿宋_GB2312" w:hAnsi="仿宋_GB2312" w:eastAsia="仿宋_GB2312" w:cs="仿宋_GB2312"/>
          <w:sz w:val="32"/>
          <w:szCs w:val="32"/>
        </w:rPr>
        <w:t>本规划涉及的区域范围内声环境资源良好，针对本规划涉及的项目在选线时尽量避开了声环境敏感区，运营期均会通过声环评评价对存在声污染实施相应的措施，故不会对声环境质量产生明显影响。</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文物资源：</w:t>
      </w:r>
      <w:r>
        <w:rPr>
          <w:rFonts w:hint="eastAsia" w:ascii="仿宋_GB2312" w:hAnsi="仿宋_GB2312" w:eastAsia="仿宋_GB2312" w:cs="仿宋_GB2312"/>
          <w:sz w:val="32"/>
          <w:szCs w:val="32"/>
        </w:rPr>
        <w:t>本规划涉及的区域范围内文物资源丰富，境内拥有多处不可移动文物和国家、省级历史文化名城（名镇）。本规划涉及的项目路线方案已尽量避开了文物资源所在地，项目建成后也基本不会对文物资源所在地环境产生较大影响。</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综上所述，规划实施后不会产生明显资源累积影响，本规划项目设施的影响在所在地资源环境承载能力范围内。</w:t>
      </w:r>
    </w:p>
    <w:p>
      <w:pPr>
        <w:overflowPunct w:val="0"/>
        <w:adjustRightInd w:val="0"/>
        <w:snapToGrid w:val="0"/>
        <w:spacing w:line="576" w:lineRule="exact"/>
        <w:ind w:firstLine="643" w:firstLineChars="200"/>
        <w:outlineLvl w:val="1"/>
        <w:rPr>
          <w:rFonts w:hint="eastAsia" w:ascii="仿宋_GB2312" w:hAnsi="仿宋_GB2312" w:eastAsia="仿宋_GB2312" w:cs="仿宋_GB2312"/>
          <w:b/>
          <w:sz w:val="32"/>
          <w:szCs w:val="32"/>
        </w:rPr>
      </w:pPr>
      <w:bookmarkStart w:id="104" w:name="_Toc114070053"/>
      <w:bookmarkStart w:id="105" w:name="_Toc111036304"/>
      <w:r>
        <w:rPr>
          <w:rFonts w:hint="eastAsia" w:ascii="仿宋_GB2312" w:hAnsi="仿宋_GB2312" w:eastAsia="仿宋_GB2312" w:cs="仿宋_GB2312"/>
          <w:b/>
          <w:sz w:val="32"/>
          <w:szCs w:val="32"/>
        </w:rPr>
        <w:t>（四）环境影响减缓措施</w:t>
      </w:r>
      <w:bookmarkEnd w:id="104"/>
      <w:bookmarkEnd w:id="105"/>
    </w:p>
    <w:p>
      <w:pPr>
        <w:overflowPunct w:val="0"/>
        <w:adjustRightInd w:val="0"/>
        <w:snapToGrid w:val="0"/>
        <w:spacing w:line="576"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1．规划期间的环境保护工作原则</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全面、协调、可持续发展原则，处理好规划的项目与资源节约、环境保护之间的关系，处理好交通建设部门与其他相关部门的发展规划关系。环境保护是一项重要的考核指标，需要落实到项目设计和实施的各个环节。</w:t>
      </w:r>
    </w:p>
    <w:p>
      <w:pPr>
        <w:overflowPunct w:val="0"/>
        <w:adjustRightInd w:val="0"/>
        <w:snapToGrid w:val="0"/>
        <w:spacing w:line="576"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2．减轻不利环境影响的对策措施和要求</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减缓社会影响的措施：规划项目在选线阶段，应尽量绕避环境敏感建筑物。同时，应征求文物部门意见，尽量避开文保单位范围和重点文物区；在施工过程中如发现文物，应立即通知文物部门进行抢救和处理。</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缓解环境污染的措施：项目选线尽量远离居民点、学校等敏感保护目标。施工期间避免夜间施工；落实项目环评提出的声环境影响减缓措施。合理规划设置施工场地和优化施工运输，加大大气环境管理力度。施工弃渣、建渣在指定地点集中堆放。严格执行国家和有关部门颁布的危险货物运输相关法规。</w:t>
      </w:r>
    </w:p>
    <w:p>
      <w:pPr>
        <w:overflowPunct w:val="0"/>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重要环境敏感区域及其生态环境的保护措施和要求：本规划项目可能会涉及环境敏感区，部分项目选址对区域的生态环境影响较大，对实施“规划”有一定制约性。项目选址、选线阶段应绕避自然保护区核心区、缓冲区，风景名胜区核心景区、文物保护单位等相关法律法规禁止建设的区域；如实在无法避让，须局部优化路线方案，采取控制建设规模、适当降低技术标准、增大桥隧比例等有效措施，合理安排施工组织和优化施工工艺，并加强污染防治和监督管理，强化生态恢复，把“规划”实施对生态环境的影响降到最低程度。</w:t>
      </w:r>
    </w:p>
    <w:p>
      <w:pPr>
        <w:overflowPunct w:val="0"/>
        <w:adjustRightInd w:val="0"/>
        <w:snapToGrid w:val="0"/>
        <w:spacing w:line="576" w:lineRule="exact"/>
        <w:ind w:firstLine="643" w:firstLineChars="200"/>
        <w:outlineLvl w:val="1"/>
        <w:rPr>
          <w:rFonts w:hint="eastAsia" w:ascii="仿宋_GB2312" w:hAnsi="仿宋_GB2312" w:eastAsia="仿宋_GB2312" w:cs="仿宋_GB2312"/>
          <w:b/>
          <w:sz w:val="32"/>
          <w:szCs w:val="32"/>
        </w:rPr>
      </w:pPr>
      <w:bookmarkStart w:id="106" w:name="_Toc114070054"/>
      <w:bookmarkStart w:id="107" w:name="_Toc111036305"/>
      <w:r>
        <w:rPr>
          <w:rFonts w:hint="eastAsia" w:ascii="仿宋_GB2312" w:hAnsi="仿宋_GB2312" w:eastAsia="仿宋_GB2312" w:cs="仿宋_GB2312"/>
          <w:b/>
          <w:sz w:val="32"/>
          <w:szCs w:val="32"/>
        </w:rPr>
        <w:t>（五）综合评述</w:t>
      </w:r>
      <w:bookmarkEnd w:id="106"/>
      <w:bookmarkEnd w:id="107"/>
    </w:p>
    <w:p>
      <w:pPr>
        <w:overflowPunct w:val="0"/>
        <w:adjustRightInd w:val="0"/>
        <w:snapToGrid w:val="0"/>
        <w:spacing w:line="576" w:lineRule="exact"/>
        <w:ind w:firstLine="640" w:firstLineChars="200"/>
        <w:rPr>
          <w:rFonts w:hint="eastAsia" w:ascii="仿宋_GB2312" w:hAnsi="仿宋_GB2312" w:eastAsia="仿宋_GB2312" w:cs="仿宋_GB2312"/>
        </w:rPr>
      </w:pPr>
      <w:r>
        <w:rPr>
          <w:rFonts w:hint="eastAsia" w:ascii="仿宋_GB2312" w:hAnsi="仿宋_GB2312" w:eastAsia="仿宋_GB2312" w:cs="仿宋_GB2312"/>
          <w:sz w:val="32"/>
          <w:szCs w:val="32"/>
        </w:rPr>
        <w:t>本规划与四川省主体功能区规划、四川省生态功能区划、四川省和广元市生态保护红线方案以及国土空间规划等相关规划协调。除涉及国家现行法律法规禁止建设区域的项目外，在落实本篇章提出的预防和减轻不良环境影响的措施后，实施“规划”的生态影响和环境污染能够得到有效减缓和控制，从环境保护角度分析，实施本规划总体可行。</w:t>
      </w:r>
    </w:p>
    <w:p>
      <w:pPr>
        <w:pStyle w:val="2"/>
        <w:ind w:firstLine="320" w:firstLineChars="200"/>
        <w:rPr>
          <w:rFonts w:hint="eastAsia" w:ascii="仿宋_GB2312" w:hAnsi="仿宋_GB2312" w:eastAsia="仿宋_GB2312" w:cs="仿宋_GB2312"/>
          <w:sz w:val="16"/>
          <w:szCs w:val="20"/>
        </w:rPr>
      </w:pPr>
    </w:p>
    <w:p>
      <w:pPr>
        <w:spacing w:line="360" w:lineRule="auto"/>
        <w:ind w:firstLine="640" w:firstLineChars="200"/>
        <w:rPr>
          <w:rFonts w:hint="eastAsia" w:ascii="仿宋_GB2312" w:hAnsi="仿宋_GB2312" w:eastAsia="仿宋_GB2312" w:cs="仿宋_GB2312"/>
          <w:sz w:val="32"/>
          <w:szCs w:val="32"/>
        </w:rPr>
        <w:sectPr>
          <w:footerReference r:id="rId8" w:type="default"/>
          <w:pgSz w:w="11906" w:h="16838"/>
          <w:pgMar w:top="2098" w:right="1474" w:bottom="1985" w:left="1588" w:header="851" w:footer="1588" w:gutter="0"/>
          <w:pgNumType w:start="1"/>
          <w:cols w:space="720" w:num="1"/>
          <w:docGrid w:type="lines" w:linePitch="312" w:charSpace="0"/>
        </w:sectPr>
      </w:pPr>
    </w:p>
    <w:p>
      <w:pPr>
        <w:pStyle w:val="5"/>
        <w:jc w:val="center"/>
        <w:rPr>
          <w:rFonts w:hint="eastAsia" w:ascii="仿宋_GB2312" w:hAnsi="仿宋_GB2312" w:eastAsia="仿宋_GB2312" w:cs="仿宋_GB2312"/>
          <w:b w:val="0"/>
        </w:rPr>
      </w:pPr>
      <w:bookmarkStart w:id="108" w:name="_Toc91150356"/>
      <w:bookmarkStart w:id="109" w:name="_Toc111036306"/>
      <w:bookmarkStart w:id="110" w:name="_Toc91148190"/>
      <w:bookmarkStart w:id="111" w:name="_Toc114070055"/>
      <w:bookmarkStart w:id="112" w:name="_Toc99786558"/>
      <w:bookmarkStart w:id="113" w:name="_Toc89264377"/>
      <w:bookmarkStart w:id="114" w:name="_Toc101432168"/>
      <w:r>
        <w:rPr>
          <w:rFonts w:hint="eastAsia" w:ascii="仿宋_GB2312" w:hAnsi="仿宋_GB2312" w:eastAsia="仿宋_GB2312" w:cs="仿宋_GB2312"/>
          <w:b w:val="0"/>
        </w:rPr>
        <w:t>附表1 利州区“十四五”铁路建设项目表</w:t>
      </w:r>
      <w:bookmarkEnd w:id="108"/>
      <w:bookmarkEnd w:id="109"/>
      <w:bookmarkEnd w:id="110"/>
      <w:bookmarkEnd w:id="111"/>
      <w:bookmarkEnd w:id="112"/>
      <w:bookmarkEnd w:id="113"/>
      <w:bookmarkEnd w:id="114"/>
    </w:p>
    <w:tbl>
      <w:tblPr>
        <w:tblStyle w:val="23"/>
        <w:tblW w:w="13778"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10"/>
        <w:gridCol w:w="2423"/>
        <w:gridCol w:w="2423"/>
        <w:gridCol w:w="1537"/>
        <w:gridCol w:w="1260"/>
        <w:gridCol w:w="1122"/>
        <w:gridCol w:w="1677"/>
        <w:gridCol w:w="979"/>
        <w:gridCol w:w="1122"/>
        <w:gridCol w:w="625"/>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610" w:type="dxa"/>
            <w:vMerge w:val="restart"/>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序号</w:t>
            </w:r>
          </w:p>
        </w:tc>
        <w:tc>
          <w:tcPr>
            <w:tcW w:w="2423" w:type="dxa"/>
            <w:vMerge w:val="restart"/>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项目名称</w:t>
            </w:r>
          </w:p>
        </w:tc>
        <w:tc>
          <w:tcPr>
            <w:tcW w:w="2423" w:type="dxa"/>
            <w:vMerge w:val="restart"/>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等级</w:t>
            </w:r>
          </w:p>
        </w:tc>
        <w:tc>
          <w:tcPr>
            <w:tcW w:w="1537" w:type="dxa"/>
            <w:vMerge w:val="restart"/>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设计时速（km/h）</w:t>
            </w:r>
          </w:p>
        </w:tc>
        <w:tc>
          <w:tcPr>
            <w:tcW w:w="1260" w:type="dxa"/>
            <w:vMerge w:val="restart"/>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里程</w:t>
            </w:r>
          </w:p>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（公里）</w:t>
            </w:r>
          </w:p>
        </w:tc>
        <w:tc>
          <w:tcPr>
            <w:tcW w:w="1122" w:type="dxa"/>
            <w:vMerge w:val="restart"/>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总投资</w:t>
            </w:r>
          </w:p>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（亿元）</w:t>
            </w:r>
          </w:p>
        </w:tc>
        <w:tc>
          <w:tcPr>
            <w:tcW w:w="1677" w:type="dxa"/>
            <w:vMerge w:val="restart"/>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“十四五”投资（亿元）</w:t>
            </w:r>
          </w:p>
        </w:tc>
        <w:tc>
          <w:tcPr>
            <w:tcW w:w="2101" w:type="dxa"/>
            <w:gridSpan w:val="2"/>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建设年限</w:t>
            </w:r>
          </w:p>
        </w:tc>
        <w:tc>
          <w:tcPr>
            <w:tcW w:w="625" w:type="dxa"/>
            <w:vMerge w:val="restart"/>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备注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610" w:type="dxa"/>
            <w:vMerge w:val="continue"/>
            <w:vAlign w:val="center"/>
          </w:tcPr>
          <w:p>
            <w:pPr>
              <w:widowControl/>
              <w:jc w:val="center"/>
              <w:rPr>
                <w:rFonts w:hint="eastAsia" w:ascii="仿宋_GB2312" w:hAnsi="仿宋_GB2312" w:eastAsia="仿宋_GB2312" w:cs="仿宋_GB2312"/>
                <w:b/>
                <w:bCs/>
                <w:kern w:val="0"/>
                <w:sz w:val="20"/>
                <w:szCs w:val="20"/>
              </w:rPr>
            </w:pPr>
          </w:p>
        </w:tc>
        <w:tc>
          <w:tcPr>
            <w:tcW w:w="2423" w:type="dxa"/>
            <w:vMerge w:val="continue"/>
            <w:vAlign w:val="center"/>
          </w:tcPr>
          <w:p>
            <w:pPr>
              <w:widowControl/>
              <w:jc w:val="center"/>
              <w:rPr>
                <w:rFonts w:hint="eastAsia" w:ascii="仿宋_GB2312" w:hAnsi="仿宋_GB2312" w:eastAsia="仿宋_GB2312" w:cs="仿宋_GB2312"/>
                <w:b/>
                <w:bCs/>
                <w:kern w:val="0"/>
                <w:sz w:val="20"/>
                <w:szCs w:val="20"/>
              </w:rPr>
            </w:pPr>
          </w:p>
        </w:tc>
        <w:tc>
          <w:tcPr>
            <w:tcW w:w="2423" w:type="dxa"/>
            <w:vMerge w:val="continue"/>
            <w:vAlign w:val="center"/>
          </w:tcPr>
          <w:p>
            <w:pPr>
              <w:widowControl/>
              <w:jc w:val="center"/>
              <w:rPr>
                <w:rFonts w:hint="eastAsia" w:ascii="仿宋_GB2312" w:hAnsi="仿宋_GB2312" w:eastAsia="仿宋_GB2312" w:cs="仿宋_GB2312"/>
                <w:b/>
                <w:bCs/>
                <w:kern w:val="0"/>
                <w:sz w:val="20"/>
                <w:szCs w:val="20"/>
              </w:rPr>
            </w:pPr>
          </w:p>
        </w:tc>
        <w:tc>
          <w:tcPr>
            <w:tcW w:w="1537" w:type="dxa"/>
            <w:vMerge w:val="continue"/>
            <w:vAlign w:val="center"/>
          </w:tcPr>
          <w:p>
            <w:pPr>
              <w:widowControl/>
              <w:jc w:val="center"/>
              <w:rPr>
                <w:rFonts w:hint="eastAsia" w:ascii="仿宋_GB2312" w:hAnsi="仿宋_GB2312" w:eastAsia="仿宋_GB2312" w:cs="仿宋_GB2312"/>
                <w:b/>
                <w:bCs/>
                <w:kern w:val="0"/>
                <w:sz w:val="20"/>
                <w:szCs w:val="20"/>
              </w:rPr>
            </w:pPr>
          </w:p>
        </w:tc>
        <w:tc>
          <w:tcPr>
            <w:tcW w:w="1260" w:type="dxa"/>
            <w:vMerge w:val="continue"/>
            <w:vAlign w:val="center"/>
          </w:tcPr>
          <w:p>
            <w:pPr>
              <w:widowControl/>
              <w:jc w:val="center"/>
              <w:rPr>
                <w:rFonts w:hint="eastAsia" w:ascii="仿宋_GB2312" w:hAnsi="仿宋_GB2312" w:eastAsia="仿宋_GB2312" w:cs="仿宋_GB2312"/>
                <w:b/>
                <w:bCs/>
                <w:kern w:val="0"/>
                <w:sz w:val="20"/>
                <w:szCs w:val="20"/>
              </w:rPr>
            </w:pPr>
          </w:p>
        </w:tc>
        <w:tc>
          <w:tcPr>
            <w:tcW w:w="1122" w:type="dxa"/>
            <w:vMerge w:val="continue"/>
            <w:vAlign w:val="center"/>
          </w:tcPr>
          <w:p>
            <w:pPr>
              <w:widowControl/>
              <w:jc w:val="center"/>
              <w:rPr>
                <w:rFonts w:hint="eastAsia" w:ascii="仿宋_GB2312" w:hAnsi="仿宋_GB2312" w:eastAsia="仿宋_GB2312" w:cs="仿宋_GB2312"/>
                <w:b/>
                <w:bCs/>
                <w:kern w:val="0"/>
                <w:sz w:val="20"/>
                <w:szCs w:val="20"/>
              </w:rPr>
            </w:pPr>
          </w:p>
        </w:tc>
        <w:tc>
          <w:tcPr>
            <w:tcW w:w="1677" w:type="dxa"/>
            <w:vMerge w:val="continue"/>
            <w:vAlign w:val="center"/>
          </w:tcPr>
          <w:p>
            <w:pPr>
              <w:widowControl/>
              <w:jc w:val="center"/>
              <w:rPr>
                <w:rFonts w:hint="eastAsia" w:ascii="仿宋_GB2312" w:hAnsi="仿宋_GB2312" w:eastAsia="仿宋_GB2312" w:cs="仿宋_GB2312"/>
                <w:b/>
                <w:bCs/>
                <w:kern w:val="0"/>
                <w:sz w:val="20"/>
                <w:szCs w:val="20"/>
              </w:rPr>
            </w:pPr>
          </w:p>
        </w:tc>
        <w:tc>
          <w:tcPr>
            <w:tcW w:w="979"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开工年</w:t>
            </w:r>
          </w:p>
        </w:tc>
        <w:tc>
          <w:tcPr>
            <w:tcW w:w="1122"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完工年</w:t>
            </w:r>
          </w:p>
        </w:tc>
        <w:tc>
          <w:tcPr>
            <w:tcW w:w="625" w:type="dxa"/>
            <w:vMerge w:val="continue"/>
            <w:vAlign w:val="center"/>
          </w:tcPr>
          <w:p>
            <w:pPr>
              <w:widowControl/>
              <w:jc w:val="center"/>
              <w:rPr>
                <w:rFonts w:hint="eastAsia" w:ascii="仿宋_GB2312" w:hAnsi="仿宋_GB2312" w:eastAsia="仿宋_GB2312" w:cs="仿宋_GB2312"/>
                <w:b/>
                <w:bCs/>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3033" w:type="dxa"/>
            <w:gridSpan w:val="2"/>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合计</w:t>
            </w:r>
          </w:p>
        </w:tc>
        <w:tc>
          <w:tcPr>
            <w:tcW w:w="2423" w:type="dxa"/>
            <w:vAlign w:val="center"/>
          </w:tcPr>
          <w:p>
            <w:pPr>
              <w:widowControl/>
              <w:jc w:val="center"/>
              <w:rPr>
                <w:rFonts w:hint="eastAsia" w:ascii="仿宋_GB2312" w:hAnsi="仿宋_GB2312" w:eastAsia="仿宋_GB2312" w:cs="仿宋_GB2312"/>
                <w:kern w:val="0"/>
                <w:sz w:val="20"/>
                <w:szCs w:val="20"/>
              </w:rPr>
            </w:pPr>
          </w:p>
        </w:tc>
        <w:tc>
          <w:tcPr>
            <w:tcW w:w="1537" w:type="dxa"/>
            <w:vAlign w:val="center"/>
          </w:tcPr>
          <w:p>
            <w:pPr>
              <w:widowControl/>
              <w:jc w:val="center"/>
              <w:rPr>
                <w:rFonts w:hint="eastAsia" w:ascii="仿宋_GB2312" w:hAnsi="仿宋_GB2312" w:eastAsia="仿宋_GB2312" w:cs="仿宋_GB2312"/>
                <w:kern w:val="0"/>
                <w:sz w:val="20"/>
                <w:szCs w:val="20"/>
              </w:rPr>
            </w:pPr>
          </w:p>
        </w:tc>
        <w:tc>
          <w:tcPr>
            <w:tcW w:w="1260"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25</w:t>
            </w:r>
          </w:p>
        </w:tc>
        <w:tc>
          <w:tcPr>
            <w:tcW w:w="1122"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46</w:t>
            </w:r>
          </w:p>
        </w:tc>
        <w:tc>
          <w:tcPr>
            <w:tcW w:w="1677"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21</w:t>
            </w:r>
          </w:p>
        </w:tc>
        <w:tc>
          <w:tcPr>
            <w:tcW w:w="979" w:type="dxa"/>
            <w:vAlign w:val="center"/>
          </w:tcPr>
          <w:p>
            <w:pPr>
              <w:widowControl/>
              <w:jc w:val="center"/>
              <w:rPr>
                <w:rFonts w:hint="eastAsia" w:ascii="仿宋_GB2312" w:hAnsi="仿宋_GB2312" w:eastAsia="仿宋_GB2312" w:cs="仿宋_GB2312"/>
                <w:b/>
                <w:bCs/>
                <w:kern w:val="0"/>
                <w:sz w:val="20"/>
                <w:szCs w:val="20"/>
              </w:rPr>
            </w:pPr>
          </w:p>
        </w:tc>
        <w:tc>
          <w:tcPr>
            <w:tcW w:w="1122" w:type="dxa"/>
            <w:vAlign w:val="center"/>
          </w:tcPr>
          <w:p>
            <w:pPr>
              <w:widowControl/>
              <w:jc w:val="center"/>
              <w:rPr>
                <w:rFonts w:hint="eastAsia" w:ascii="仿宋_GB2312" w:hAnsi="仿宋_GB2312" w:eastAsia="仿宋_GB2312" w:cs="仿宋_GB2312"/>
                <w:b/>
                <w:bCs/>
                <w:kern w:val="0"/>
                <w:sz w:val="20"/>
                <w:szCs w:val="20"/>
              </w:rPr>
            </w:pPr>
          </w:p>
        </w:tc>
        <w:tc>
          <w:tcPr>
            <w:tcW w:w="625" w:type="dxa"/>
            <w:vAlign w:val="center"/>
          </w:tcPr>
          <w:p>
            <w:pPr>
              <w:widowControl/>
              <w:jc w:val="center"/>
              <w:rPr>
                <w:rFonts w:hint="eastAsia" w:ascii="仿宋_GB2312" w:hAnsi="仿宋_GB2312" w:eastAsia="仿宋_GB2312" w:cs="仿宋_GB2312"/>
                <w:b/>
                <w:bCs/>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3033" w:type="dxa"/>
            <w:gridSpan w:val="2"/>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一、续建项目</w:t>
            </w:r>
          </w:p>
        </w:tc>
        <w:tc>
          <w:tcPr>
            <w:tcW w:w="2423" w:type="dxa"/>
            <w:vAlign w:val="center"/>
          </w:tcPr>
          <w:p>
            <w:pPr>
              <w:widowControl/>
              <w:jc w:val="center"/>
              <w:rPr>
                <w:rFonts w:hint="eastAsia" w:ascii="仿宋_GB2312" w:hAnsi="仿宋_GB2312" w:eastAsia="仿宋_GB2312" w:cs="仿宋_GB2312"/>
                <w:kern w:val="0"/>
                <w:sz w:val="20"/>
                <w:szCs w:val="20"/>
              </w:rPr>
            </w:pPr>
          </w:p>
        </w:tc>
        <w:tc>
          <w:tcPr>
            <w:tcW w:w="1537" w:type="dxa"/>
            <w:vAlign w:val="center"/>
          </w:tcPr>
          <w:p>
            <w:pPr>
              <w:widowControl/>
              <w:jc w:val="center"/>
              <w:rPr>
                <w:rFonts w:hint="eastAsia" w:ascii="仿宋_GB2312" w:hAnsi="仿宋_GB2312" w:eastAsia="仿宋_GB2312" w:cs="仿宋_GB2312"/>
                <w:kern w:val="0"/>
                <w:sz w:val="20"/>
                <w:szCs w:val="20"/>
              </w:rPr>
            </w:pPr>
          </w:p>
        </w:tc>
        <w:tc>
          <w:tcPr>
            <w:tcW w:w="1260" w:type="dxa"/>
            <w:vAlign w:val="center"/>
          </w:tcPr>
          <w:p>
            <w:pPr>
              <w:widowControl/>
              <w:jc w:val="center"/>
              <w:rPr>
                <w:rFonts w:hint="eastAsia" w:ascii="仿宋_GB2312" w:hAnsi="仿宋_GB2312" w:eastAsia="仿宋_GB2312" w:cs="仿宋_GB2312"/>
                <w:kern w:val="0"/>
                <w:sz w:val="20"/>
                <w:szCs w:val="20"/>
              </w:rPr>
            </w:pPr>
          </w:p>
        </w:tc>
        <w:tc>
          <w:tcPr>
            <w:tcW w:w="1122"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22</w:t>
            </w:r>
          </w:p>
        </w:tc>
        <w:tc>
          <w:tcPr>
            <w:tcW w:w="1677"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12</w:t>
            </w:r>
          </w:p>
        </w:tc>
        <w:tc>
          <w:tcPr>
            <w:tcW w:w="979" w:type="dxa"/>
            <w:vAlign w:val="center"/>
          </w:tcPr>
          <w:p>
            <w:pPr>
              <w:widowControl/>
              <w:jc w:val="center"/>
              <w:rPr>
                <w:rFonts w:hint="eastAsia" w:ascii="仿宋_GB2312" w:hAnsi="仿宋_GB2312" w:eastAsia="仿宋_GB2312" w:cs="仿宋_GB2312"/>
                <w:b/>
                <w:bCs/>
                <w:kern w:val="0"/>
                <w:sz w:val="20"/>
                <w:szCs w:val="20"/>
              </w:rPr>
            </w:pPr>
          </w:p>
        </w:tc>
        <w:tc>
          <w:tcPr>
            <w:tcW w:w="1122" w:type="dxa"/>
            <w:vAlign w:val="center"/>
          </w:tcPr>
          <w:p>
            <w:pPr>
              <w:widowControl/>
              <w:jc w:val="center"/>
              <w:rPr>
                <w:rFonts w:hint="eastAsia" w:ascii="仿宋_GB2312" w:hAnsi="仿宋_GB2312" w:eastAsia="仿宋_GB2312" w:cs="仿宋_GB2312"/>
                <w:b/>
                <w:bCs/>
                <w:kern w:val="0"/>
                <w:sz w:val="20"/>
                <w:szCs w:val="20"/>
              </w:rPr>
            </w:pPr>
          </w:p>
        </w:tc>
        <w:tc>
          <w:tcPr>
            <w:tcW w:w="625" w:type="dxa"/>
            <w:vAlign w:val="center"/>
          </w:tcPr>
          <w:p>
            <w:pPr>
              <w:widowControl/>
              <w:jc w:val="center"/>
              <w:rPr>
                <w:rFonts w:hint="eastAsia" w:ascii="仿宋_GB2312" w:hAnsi="仿宋_GB2312" w:eastAsia="仿宋_GB2312" w:cs="仿宋_GB2312"/>
                <w:b/>
                <w:bCs/>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61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242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广元动车运用所</w:t>
            </w:r>
          </w:p>
        </w:tc>
        <w:tc>
          <w:tcPr>
            <w:tcW w:w="2423" w:type="dxa"/>
            <w:vAlign w:val="center"/>
          </w:tcPr>
          <w:p>
            <w:pPr>
              <w:widowControl/>
              <w:jc w:val="center"/>
              <w:rPr>
                <w:rFonts w:hint="eastAsia" w:ascii="仿宋_GB2312" w:hAnsi="仿宋_GB2312" w:eastAsia="仿宋_GB2312" w:cs="仿宋_GB2312"/>
                <w:kern w:val="0"/>
                <w:sz w:val="20"/>
                <w:szCs w:val="20"/>
              </w:rPr>
            </w:pPr>
          </w:p>
        </w:tc>
        <w:tc>
          <w:tcPr>
            <w:tcW w:w="1537" w:type="dxa"/>
            <w:vAlign w:val="center"/>
          </w:tcPr>
          <w:p>
            <w:pPr>
              <w:widowControl/>
              <w:jc w:val="center"/>
              <w:rPr>
                <w:rFonts w:hint="eastAsia" w:ascii="仿宋_GB2312" w:hAnsi="仿宋_GB2312" w:eastAsia="仿宋_GB2312" w:cs="仿宋_GB2312"/>
                <w:kern w:val="0"/>
                <w:sz w:val="20"/>
                <w:szCs w:val="20"/>
              </w:rPr>
            </w:pPr>
          </w:p>
        </w:tc>
        <w:tc>
          <w:tcPr>
            <w:tcW w:w="1260" w:type="dxa"/>
            <w:vAlign w:val="center"/>
          </w:tcPr>
          <w:p>
            <w:pPr>
              <w:widowControl/>
              <w:jc w:val="center"/>
              <w:rPr>
                <w:rFonts w:hint="eastAsia" w:ascii="仿宋_GB2312" w:hAnsi="仿宋_GB2312" w:eastAsia="仿宋_GB2312" w:cs="仿宋_GB2312"/>
                <w:kern w:val="0"/>
                <w:sz w:val="20"/>
                <w:szCs w:val="20"/>
              </w:rPr>
            </w:pPr>
          </w:p>
        </w:tc>
        <w:tc>
          <w:tcPr>
            <w:tcW w:w="1122"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22</w:t>
            </w:r>
          </w:p>
        </w:tc>
        <w:tc>
          <w:tcPr>
            <w:tcW w:w="167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12</w:t>
            </w:r>
          </w:p>
        </w:tc>
        <w:tc>
          <w:tcPr>
            <w:tcW w:w="979"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2018</w:t>
            </w:r>
          </w:p>
        </w:tc>
        <w:tc>
          <w:tcPr>
            <w:tcW w:w="1122"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2026</w:t>
            </w:r>
          </w:p>
        </w:tc>
        <w:tc>
          <w:tcPr>
            <w:tcW w:w="625" w:type="dxa"/>
            <w:vAlign w:val="center"/>
          </w:tcPr>
          <w:p>
            <w:pPr>
              <w:widowControl/>
              <w:jc w:val="center"/>
              <w:rPr>
                <w:rFonts w:hint="eastAsia" w:ascii="仿宋_GB2312" w:hAnsi="仿宋_GB2312" w:eastAsia="仿宋_GB2312" w:cs="仿宋_GB2312"/>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3033" w:type="dxa"/>
            <w:gridSpan w:val="2"/>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二、力争新开工项目</w:t>
            </w:r>
          </w:p>
        </w:tc>
        <w:tc>
          <w:tcPr>
            <w:tcW w:w="2423" w:type="dxa"/>
            <w:vAlign w:val="center"/>
          </w:tcPr>
          <w:p>
            <w:pPr>
              <w:widowControl/>
              <w:jc w:val="center"/>
              <w:rPr>
                <w:rFonts w:hint="eastAsia" w:ascii="仿宋_GB2312" w:hAnsi="仿宋_GB2312" w:eastAsia="仿宋_GB2312" w:cs="仿宋_GB2312"/>
                <w:kern w:val="0"/>
                <w:sz w:val="20"/>
                <w:szCs w:val="20"/>
              </w:rPr>
            </w:pPr>
          </w:p>
        </w:tc>
        <w:tc>
          <w:tcPr>
            <w:tcW w:w="1537" w:type="dxa"/>
            <w:vAlign w:val="center"/>
          </w:tcPr>
          <w:p>
            <w:pPr>
              <w:widowControl/>
              <w:jc w:val="center"/>
              <w:rPr>
                <w:rFonts w:hint="eastAsia" w:ascii="仿宋_GB2312" w:hAnsi="仿宋_GB2312" w:eastAsia="仿宋_GB2312" w:cs="仿宋_GB2312"/>
                <w:kern w:val="0"/>
                <w:sz w:val="20"/>
                <w:szCs w:val="20"/>
              </w:rPr>
            </w:pPr>
          </w:p>
        </w:tc>
        <w:tc>
          <w:tcPr>
            <w:tcW w:w="1260"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25</w:t>
            </w:r>
          </w:p>
        </w:tc>
        <w:tc>
          <w:tcPr>
            <w:tcW w:w="1122"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24</w:t>
            </w:r>
          </w:p>
        </w:tc>
        <w:tc>
          <w:tcPr>
            <w:tcW w:w="1677"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9</w:t>
            </w:r>
          </w:p>
        </w:tc>
        <w:tc>
          <w:tcPr>
            <w:tcW w:w="979" w:type="dxa"/>
            <w:vAlign w:val="center"/>
          </w:tcPr>
          <w:p>
            <w:pPr>
              <w:widowControl/>
              <w:jc w:val="center"/>
              <w:rPr>
                <w:rFonts w:hint="eastAsia" w:ascii="仿宋_GB2312" w:hAnsi="仿宋_GB2312" w:eastAsia="仿宋_GB2312" w:cs="仿宋_GB2312"/>
                <w:kern w:val="0"/>
                <w:sz w:val="20"/>
                <w:szCs w:val="20"/>
              </w:rPr>
            </w:pPr>
          </w:p>
        </w:tc>
        <w:tc>
          <w:tcPr>
            <w:tcW w:w="1122" w:type="dxa"/>
            <w:vAlign w:val="center"/>
          </w:tcPr>
          <w:p>
            <w:pPr>
              <w:widowControl/>
              <w:jc w:val="center"/>
              <w:rPr>
                <w:rFonts w:hint="eastAsia" w:ascii="仿宋_GB2312" w:hAnsi="仿宋_GB2312" w:eastAsia="仿宋_GB2312" w:cs="仿宋_GB2312"/>
                <w:kern w:val="0"/>
                <w:sz w:val="20"/>
                <w:szCs w:val="20"/>
              </w:rPr>
            </w:pPr>
          </w:p>
        </w:tc>
        <w:tc>
          <w:tcPr>
            <w:tcW w:w="625" w:type="dxa"/>
            <w:vAlign w:val="center"/>
          </w:tcPr>
          <w:p>
            <w:pPr>
              <w:widowControl/>
              <w:jc w:val="center"/>
              <w:rPr>
                <w:rFonts w:hint="eastAsia" w:ascii="仿宋_GB2312" w:hAnsi="仿宋_GB2312" w:eastAsia="仿宋_GB2312" w:cs="仿宋_GB2312"/>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61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242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广元至巴中铁路扩能改造</w:t>
            </w:r>
          </w:p>
        </w:tc>
        <w:tc>
          <w:tcPr>
            <w:tcW w:w="242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I级、单线（预留双线）</w:t>
            </w:r>
          </w:p>
        </w:tc>
        <w:tc>
          <w:tcPr>
            <w:tcW w:w="153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160</w:t>
            </w:r>
          </w:p>
        </w:tc>
        <w:tc>
          <w:tcPr>
            <w:tcW w:w="126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25</w:t>
            </w:r>
          </w:p>
        </w:tc>
        <w:tc>
          <w:tcPr>
            <w:tcW w:w="1122"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24</w:t>
            </w:r>
          </w:p>
        </w:tc>
        <w:tc>
          <w:tcPr>
            <w:tcW w:w="167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9</w:t>
            </w:r>
          </w:p>
        </w:tc>
        <w:tc>
          <w:tcPr>
            <w:tcW w:w="979"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2023</w:t>
            </w:r>
          </w:p>
        </w:tc>
        <w:tc>
          <w:tcPr>
            <w:tcW w:w="1122"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2027</w:t>
            </w:r>
          </w:p>
        </w:tc>
        <w:tc>
          <w:tcPr>
            <w:tcW w:w="625" w:type="dxa"/>
            <w:vAlign w:val="center"/>
          </w:tcPr>
          <w:p>
            <w:pPr>
              <w:widowControl/>
              <w:jc w:val="center"/>
              <w:rPr>
                <w:rFonts w:hint="eastAsia" w:ascii="仿宋_GB2312" w:hAnsi="仿宋_GB2312" w:eastAsia="仿宋_GB2312" w:cs="仿宋_GB2312"/>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3033" w:type="dxa"/>
            <w:gridSpan w:val="2"/>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三、远期规划项目</w:t>
            </w:r>
          </w:p>
        </w:tc>
        <w:tc>
          <w:tcPr>
            <w:tcW w:w="2423" w:type="dxa"/>
            <w:vAlign w:val="center"/>
          </w:tcPr>
          <w:p>
            <w:pPr>
              <w:widowControl/>
              <w:jc w:val="center"/>
              <w:rPr>
                <w:rFonts w:hint="eastAsia" w:ascii="仿宋_GB2312" w:hAnsi="仿宋_GB2312" w:eastAsia="仿宋_GB2312" w:cs="仿宋_GB2312"/>
                <w:kern w:val="0"/>
                <w:sz w:val="20"/>
                <w:szCs w:val="20"/>
              </w:rPr>
            </w:pPr>
          </w:p>
        </w:tc>
        <w:tc>
          <w:tcPr>
            <w:tcW w:w="1537" w:type="dxa"/>
            <w:vAlign w:val="center"/>
          </w:tcPr>
          <w:p>
            <w:pPr>
              <w:widowControl/>
              <w:jc w:val="center"/>
              <w:rPr>
                <w:rFonts w:hint="eastAsia" w:ascii="仿宋_GB2312" w:hAnsi="仿宋_GB2312" w:eastAsia="仿宋_GB2312" w:cs="仿宋_GB2312"/>
                <w:kern w:val="0"/>
                <w:sz w:val="20"/>
                <w:szCs w:val="20"/>
              </w:rPr>
            </w:pPr>
          </w:p>
        </w:tc>
        <w:tc>
          <w:tcPr>
            <w:tcW w:w="1260" w:type="dxa"/>
            <w:vAlign w:val="center"/>
          </w:tcPr>
          <w:p>
            <w:pPr>
              <w:widowControl/>
              <w:jc w:val="center"/>
              <w:rPr>
                <w:rFonts w:hint="eastAsia" w:ascii="仿宋_GB2312" w:hAnsi="仿宋_GB2312" w:eastAsia="仿宋_GB2312" w:cs="仿宋_GB2312"/>
                <w:kern w:val="0"/>
                <w:sz w:val="20"/>
                <w:szCs w:val="20"/>
              </w:rPr>
            </w:pPr>
          </w:p>
        </w:tc>
        <w:tc>
          <w:tcPr>
            <w:tcW w:w="1122" w:type="dxa"/>
            <w:vAlign w:val="center"/>
          </w:tcPr>
          <w:p>
            <w:pPr>
              <w:widowControl/>
              <w:jc w:val="center"/>
              <w:rPr>
                <w:rFonts w:hint="eastAsia" w:ascii="仿宋_GB2312" w:hAnsi="仿宋_GB2312" w:eastAsia="仿宋_GB2312" w:cs="仿宋_GB2312"/>
                <w:kern w:val="0"/>
                <w:sz w:val="20"/>
                <w:szCs w:val="20"/>
              </w:rPr>
            </w:pPr>
          </w:p>
        </w:tc>
        <w:tc>
          <w:tcPr>
            <w:tcW w:w="1677" w:type="dxa"/>
            <w:vAlign w:val="center"/>
          </w:tcPr>
          <w:p>
            <w:pPr>
              <w:widowControl/>
              <w:jc w:val="center"/>
              <w:rPr>
                <w:rFonts w:hint="eastAsia" w:ascii="仿宋_GB2312" w:hAnsi="仿宋_GB2312" w:eastAsia="仿宋_GB2312" w:cs="仿宋_GB2312"/>
                <w:kern w:val="0"/>
                <w:sz w:val="20"/>
                <w:szCs w:val="20"/>
              </w:rPr>
            </w:pPr>
          </w:p>
        </w:tc>
        <w:tc>
          <w:tcPr>
            <w:tcW w:w="979" w:type="dxa"/>
            <w:vAlign w:val="center"/>
          </w:tcPr>
          <w:p>
            <w:pPr>
              <w:widowControl/>
              <w:jc w:val="center"/>
              <w:rPr>
                <w:rFonts w:hint="eastAsia" w:ascii="仿宋_GB2312" w:hAnsi="仿宋_GB2312" w:eastAsia="仿宋_GB2312" w:cs="仿宋_GB2312"/>
                <w:sz w:val="20"/>
                <w:szCs w:val="20"/>
              </w:rPr>
            </w:pPr>
          </w:p>
        </w:tc>
        <w:tc>
          <w:tcPr>
            <w:tcW w:w="1122" w:type="dxa"/>
            <w:vAlign w:val="center"/>
          </w:tcPr>
          <w:p>
            <w:pPr>
              <w:widowControl/>
              <w:jc w:val="center"/>
              <w:rPr>
                <w:rFonts w:hint="eastAsia" w:ascii="仿宋_GB2312" w:hAnsi="仿宋_GB2312" w:eastAsia="仿宋_GB2312" w:cs="仿宋_GB2312"/>
                <w:sz w:val="20"/>
                <w:szCs w:val="20"/>
              </w:rPr>
            </w:pPr>
          </w:p>
        </w:tc>
        <w:tc>
          <w:tcPr>
            <w:tcW w:w="625" w:type="dxa"/>
            <w:vAlign w:val="center"/>
          </w:tcPr>
          <w:p>
            <w:pPr>
              <w:widowControl/>
              <w:jc w:val="center"/>
              <w:rPr>
                <w:rFonts w:hint="eastAsia" w:ascii="仿宋_GB2312" w:hAnsi="仿宋_GB2312" w:eastAsia="仿宋_GB2312" w:cs="仿宋_GB2312"/>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61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242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兰渝高铁</w:t>
            </w:r>
          </w:p>
        </w:tc>
        <w:tc>
          <w:tcPr>
            <w:tcW w:w="242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高铁</w:t>
            </w:r>
          </w:p>
        </w:tc>
        <w:tc>
          <w:tcPr>
            <w:tcW w:w="153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350</w:t>
            </w:r>
          </w:p>
        </w:tc>
        <w:tc>
          <w:tcPr>
            <w:tcW w:w="1260" w:type="dxa"/>
            <w:vAlign w:val="center"/>
          </w:tcPr>
          <w:p>
            <w:pPr>
              <w:widowControl/>
              <w:jc w:val="center"/>
              <w:rPr>
                <w:rFonts w:hint="eastAsia" w:ascii="仿宋_GB2312" w:hAnsi="仿宋_GB2312" w:eastAsia="仿宋_GB2312" w:cs="仿宋_GB2312"/>
                <w:kern w:val="0"/>
                <w:sz w:val="20"/>
                <w:szCs w:val="20"/>
              </w:rPr>
            </w:pPr>
          </w:p>
        </w:tc>
        <w:tc>
          <w:tcPr>
            <w:tcW w:w="1122" w:type="dxa"/>
            <w:vAlign w:val="center"/>
          </w:tcPr>
          <w:p>
            <w:pPr>
              <w:widowControl/>
              <w:jc w:val="center"/>
              <w:rPr>
                <w:rFonts w:hint="eastAsia" w:ascii="仿宋_GB2312" w:hAnsi="仿宋_GB2312" w:eastAsia="仿宋_GB2312" w:cs="仿宋_GB2312"/>
                <w:kern w:val="0"/>
                <w:sz w:val="20"/>
                <w:szCs w:val="20"/>
              </w:rPr>
            </w:pPr>
          </w:p>
        </w:tc>
        <w:tc>
          <w:tcPr>
            <w:tcW w:w="1677" w:type="dxa"/>
            <w:vAlign w:val="center"/>
          </w:tcPr>
          <w:p>
            <w:pPr>
              <w:widowControl/>
              <w:jc w:val="center"/>
              <w:rPr>
                <w:rFonts w:hint="eastAsia" w:ascii="仿宋_GB2312" w:hAnsi="仿宋_GB2312" w:eastAsia="仿宋_GB2312" w:cs="仿宋_GB2312"/>
                <w:kern w:val="0"/>
                <w:sz w:val="20"/>
                <w:szCs w:val="20"/>
              </w:rPr>
            </w:pPr>
          </w:p>
        </w:tc>
        <w:tc>
          <w:tcPr>
            <w:tcW w:w="979" w:type="dxa"/>
            <w:vAlign w:val="center"/>
          </w:tcPr>
          <w:p>
            <w:pPr>
              <w:widowControl/>
              <w:jc w:val="center"/>
              <w:rPr>
                <w:rFonts w:hint="eastAsia" w:ascii="仿宋_GB2312" w:hAnsi="仿宋_GB2312" w:eastAsia="仿宋_GB2312" w:cs="仿宋_GB2312"/>
                <w:kern w:val="0"/>
                <w:sz w:val="20"/>
                <w:szCs w:val="20"/>
              </w:rPr>
            </w:pPr>
          </w:p>
        </w:tc>
        <w:tc>
          <w:tcPr>
            <w:tcW w:w="1122" w:type="dxa"/>
            <w:vAlign w:val="center"/>
          </w:tcPr>
          <w:p>
            <w:pPr>
              <w:widowControl/>
              <w:jc w:val="center"/>
              <w:rPr>
                <w:rFonts w:hint="eastAsia" w:ascii="仿宋_GB2312" w:hAnsi="仿宋_GB2312" w:eastAsia="仿宋_GB2312" w:cs="仿宋_GB2312"/>
                <w:kern w:val="0"/>
                <w:sz w:val="20"/>
                <w:szCs w:val="20"/>
              </w:rPr>
            </w:pPr>
          </w:p>
        </w:tc>
        <w:tc>
          <w:tcPr>
            <w:tcW w:w="625" w:type="dxa"/>
            <w:vAlign w:val="center"/>
          </w:tcPr>
          <w:p>
            <w:pPr>
              <w:widowControl/>
              <w:jc w:val="center"/>
              <w:rPr>
                <w:rFonts w:hint="eastAsia" w:ascii="仿宋_GB2312" w:hAnsi="仿宋_GB2312" w:eastAsia="仿宋_GB2312" w:cs="仿宋_GB2312"/>
                <w:sz w:val="20"/>
                <w:szCs w:val="20"/>
              </w:rPr>
            </w:pPr>
          </w:p>
        </w:tc>
      </w:tr>
    </w:tbl>
    <w:p>
      <w:pPr>
        <w:pStyle w:val="2"/>
        <w:rPr>
          <w:rFonts w:hint="eastAsia" w:ascii="仿宋_GB2312" w:hAnsi="仿宋_GB2312" w:eastAsia="仿宋_GB2312" w:cs="仿宋_GB2312"/>
        </w:rPr>
      </w:pPr>
    </w:p>
    <w:p>
      <w:pPr>
        <w:pStyle w:val="2"/>
        <w:rPr>
          <w:rFonts w:hint="eastAsia" w:ascii="仿宋_GB2312" w:hAnsi="仿宋_GB2312" w:eastAsia="仿宋_GB2312" w:cs="仿宋_GB2312"/>
        </w:rPr>
        <w:sectPr>
          <w:footerReference r:id="rId9" w:type="default"/>
          <w:pgSz w:w="16838" w:h="11906" w:orient="landscape"/>
          <w:pgMar w:top="1701" w:right="1531" w:bottom="1701" w:left="1531" w:header="851" w:footer="1418" w:gutter="0"/>
          <w:cols w:space="720" w:num="1"/>
          <w:docGrid w:type="lines" w:linePitch="312" w:charSpace="0"/>
        </w:sectPr>
      </w:pPr>
    </w:p>
    <w:p>
      <w:pPr>
        <w:pStyle w:val="5"/>
        <w:jc w:val="center"/>
        <w:rPr>
          <w:rFonts w:hint="eastAsia" w:ascii="仿宋_GB2312" w:hAnsi="仿宋_GB2312" w:eastAsia="仿宋_GB2312" w:cs="仿宋_GB2312"/>
          <w:b w:val="0"/>
        </w:rPr>
      </w:pPr>
      <w:bookmarkStart w:id="115" w:name="_Toc91148191"/>
      <w:bookmarkStart w:id="116" w:name="_Toc91150357"/>
      <w:bookmarkStart w:id="117" w:name="_Toc99786559"/>
      <w:bookmarkStart w:id="118" w:name="_Toc89264378"/>
      <w:bookmarkStart w:id="119" w:name="_Toc101432169"/>
      <w:bookmarkStart w:id="120" w:name="_Toc111036307"/>
      <w:bookmarkStart w:id="121" w:name="_Toc114070056"/>
      <w:r>
        <w:rPr>
          <w:rFonts w:hint="eastAsia" w:ascii="仿宋_GB2312" w:hAnsi="仿宋_GB2312" w:eastAsia="仿宋_GB2312" w:cs="仿宋_GB2312"/>
          <w:b w:val="0"/>
        </w:rPr>
        <w:t>附表2 利州区“十四五”高速公路建设项目表</w:t>
      </w:r>
      <w:bookmarkEnd w:id="115"/>
      <w:bookmarkEnd w:id="116"/>
      <w:bookmarkEnd w:id="117"/>
      <w:bookmarkEnd w:id="118"/>
      <w:bookmarkEnd w:id="119"/>
      <w:bookmarkEnd w:id="120"/>
      <w:bookmarkEnd w:id="121"/>
    </w:p>
    <w:tbl>
      <w:tblPr>
        <w:tblStyle w:val="23"/>
        <w:tblW w:w="13778"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38"/>
        <w:gridCol w:w="3795"/>
        <w:gridCol w:w="2147"/>
        <w:gridCol w:w="1717"/>
        <w:gridCol w:w="1717"/>
        <w:gridCol w:w="1287"/>
        <w:gridCol w:w="1284"/>
        <w:gridCol w:w="119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638" w:type="dxa"/>
            <w:vMerge w:val="restart"/>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序号</w:t>
            </w:r>
          </w:p>
        </w:tc>
        <w:tc>
          <w:tcPr>
            <w:tcW w:w="3795" w:type="dxa"/>
            <w:vMerge w:val="restart"/>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项目名称</w:t>
            </w:r>
          </w:p>
        </w:tc>
        <w:tc>
          <w:tcPr>
            <w:tcW w:w="2147" w:type="dxa"/>
            <w:vMerge w:val="restart"/>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总里程（公里）</w:t>
            </w:r>
          </w:p>
        </w:tc>
        <w:tc>
          <w:tcPr>
            <w:tcW w:w="1717" w:type="dxa"/>
            <w:vMerge w:val="restart"/>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总投资（亿元）</w:t>
            </w:r>
          </w:p>
        </w:tc>
        <w:tc>
          <w:tcPr>
            <w:tcW w:w="1717" w:type="dxa"/>
            <w:vMerge w:val="restart"/>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“十四五”投资（亿元）</w:t>
            </w:r>
          </w:p>
        </w:tc>
        <w:tc>
          <w:tcPr>
            <w:tcW w:w="2571" w:type="dxa"/>
            <w:gridSpan w:val="2"/>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建设年限</w:t>
            </w:r>
          </w:p>
        </w:tc>
        <w:tc>
          <w:tcPr>
            <w:tcW w:w="1193" w:type="dxa"/>
            <w:vMerge w:val="restart"/>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备注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638" w:type="dxa"/>
            <w:vMerge w:val="continue"/>
            <w:vAlign w:val="center"/>
          </w:tcPr>
          <w:p>
            <w:pPr>
              <w:widowControl/>
              <w:jc w:val="center"/>
              <w:rPr>
                <w:rFonts w:hint="eastAsia" w:ascii="仿宋_GB2312" w:hAnsi="仿宋_GB2312" w:eastAsia="仿宋_GB2312" w:cs="仿宋_GB2312"/>
                <w:b/>
                <w:bCs/>
                <w:kern w:val="0"/>
                <w:sz w:val="20"/>
                <w:szCs w:val="20"/>
              </w:rPr>
            </w:pPr>
          </w:p>
        </w:tc>
        <w:tc>
          <w:tcPr>
            <w:tcW w:w="3795" w:type="dxa"/>
            <w:vMerge w:val="continue"/>
            <w:vAlign w:val="center"/>
          </w:tcPr>
          <w:p>
            <w:pPr>
              <w:widowControl/>
              <w:jc w:val="center"/>
              <w:rPr>
                <w:rFonts w:hint="eastAsia" w:ascii="仿宋_GB2312" w:hAnsi="仿宋_GB2312" w:eastAsia="仿宋_GB2312" w:cs="仿宋_GB2312"/>
                <w:b/>
                <w:bCs/>
                <w:kern w:val="0"/>
                <w:sz w:val="20"/>
                <w:szCs w:val="20"/>
              </w:rPr>
            </w:pPr>
          </w:p>
        </w:tc>
        <w:tc>
          <w:tcPr>
            <w:tcW w:w="2147" w:type="dxa"/>
            <w:vMerge w:val="continue"/>
            <w:vAlign w:val="center"/>
          </w:tcPr>
          <w:p>
            <w:pPr>
              <w:widowControl/>
              <w:jc w:val="center"/>
              <w:rPr>
                <w:rFonts w:hint="eastAsia" w:ascii="仿宋_GB2312" w:hAnsi="仿宋_GB2312" w:eastAsia="仿宋_GB2312" w:cs="仿宋_GB2312"/>
                <w:b/>
                <w:bCs/>
                <w:kern w:val="0"/>
                <w:sz w:val="20"/>
                <w:szCs w:val="20"/>
              </w:rPr>
            </w:pPr>
          </w:p>
        </w:tc>
        <w:tc>
          <w:tcPr>
            <w:tcW w:w="1717" w:type="dxa"/>
            <w:vMerge w:val="continue"/>
            <w:vAlign w:val="center"/>
          </w:tcPr>
          <w:p>
            <w:pPr>
              <w:widowControl/>
              <w:jc w:val="center"/>
              <w:rPr>
                <w:rFonts w:hint="eastAsia" w:ascii="仿宋_GB2312" w:hAnsi="仿宋_GB2312" w:eastAsia="仿宋_GB2312" w:cs="仿宋_GB2312"/>
                <w:b/>
                <w:bCs/>
                <w:kern w:val="0"/>
                <w:sz w:val="20"/>
                <w:szCs w:val="20"/>
              </w:rPr>
            </w:pPr>
          </w:p>
        </w:tc>
        <w:tc>
          <w:tcPr>
            <w:tcW w:w="1717" w:type="dxa"/>
            <w:vMerge w:val="continue"/>
            <w:vAlign w:val="center"/>
          </w:tcPr>
          <w:p>
            <w:pPr>
              <w:widowControl/>
              <w:jc w:val="center"/>
              <w:rPr>
                <w:rFonts w:hint="eastAsia" w:ascii="仿宋_GB2312" w:hAnsi="仿宋_GB2312" w:eastAsia="仿宋_GB2312" w:cs="仿宋_GB2312"/>
                <w:b/>
                <w:bCs/>
                <w:kern w:val="0"/>
                <w:sz w:val="20"/>
                <w:szCs w:val="20"/>
              </w:rPr>
            </w:pPr>
          </w:p>
        </w:tc>
        <w:tc>
          <w:tcPr>
            <w:tcW w:w="128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开工年</w:t>
            </w:r>
          </w:p>
        </w:tc>
        <w:tc>
          <w:tcPr>
            <w:tcW w:w="128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完工年</w:t>
            </w:r>
          </w:p>
        </w:tc>
        <w:tc>
          <w:tcPr>
            <w:tcW w:w="1193" w:type="dxa"/>
            <w:vMerge w:val="continue"/>
            <w:vAlign w:val="center"/>
          </w:tcPr>
          <w:p>
            <w:pPr>
              <w:widowControl/>
              <w:jc w:val="center"/>
              <w:rPr>
                <w:rFonts w:hint="eastAsia" w:ascii="仿宋_GB2312" w:hAnsi="仿宋_GB2312" w:eastAsia="仿宋_GB2312" w:cs="仿宋_GB2312"/>
                <w:b/>
                <w:bCs/>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4433" w:type="dxa"/>
            <w:gridSpan w:val="2"/>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合计</w:t>
            </w:r>
          </w:p>
        </w:tc>
        <w:tc>
          <w:tcPr>
            <w:tcW w:w="2147"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30</w:t>
            </w:r>
          </w:p>
        </w:tc>
        <w:tc>
          <w:tcPr>
            <w:tcW w:w="1717"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102.3</w:t>
            </w:r>
          </w:p>
        </w:tc>
        <w:tc>
          <w:tcPr>
            <w:tcW w:w="1717"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64.7</w:t>
            </w:r>
          </w:p>
        </w:tc>
        <w:tc>
          <w:tcPr>
            <w:tcW w:w="1287" w:type="dxa"/>
            <w:vAlign w:val="center"/>
          </w:tcPr>
          <w:p>
            <w:pPr>
              <w:widowControl/>
              <w:jc w:val="center"/>
              <w:rPr>
                <w:rFonts w:hint="eastAsia" w:ascii="仿宋_GB2312" w:hAnsi="仿宋_GB2312" w:eastAsia="仿宋_GB2312" w:cs="仿宋_GB2312"/>
                <w:kern w:val="0"/>
                <w:sz w:val="20"/>
                <w:szCs w:val="20"/>
              </w:rPr>
            </w:pPr>
          </w:p>
        </w:tc>
        <w:tc>
          <w:tcPr>
            <w:tcW w:w="1284" w:type="dxa"/>
            <w:vAlign w:val="center"/>
          </w:tcPr>
          <w:p>
            <w:pPr>
              <w:widowControl/>
              <w:jc w:val="center"/>
              <w:rPr>
                <w:rFonts w:hint="eastAsia" w:ascii="仿宋_GB2312" w:hAnsi="仿宋_GB2312" w:eastAsia="仿宋_GB2312" w:cs="仿宋_GB2312"/>
                <w:kern w:val="0"/>
                <w:sz w:val="20"/>
                <w:szCs w:val="20"/>
              </w:rPr>
            </w:pPr>
          </w:p>
        </w:tc>
        <w:tc>
          <w:tcPr>
            <w:tcW w:w="1193" w:type="dxa"/>
            <w:vAlign w:val="center"/>
          </w:tcPr>
          <w:p>
            <w:pPr>
              <w:widowControl/>
              <w:jc w:val="center"/>
              <w:rPr>
                <w:rFonts w:hint="eastAsia" w:ascii="仿宋_GB2312" w:hAnsi="仿宋_GB2312" w:eastAsia="仿宋_GB2312" w:cs="仿宋_GB2312"/>
                <w:b/>
                <w:bCs/>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4433" w:type="dxa"/>
            <w:gridSpan w:val="2"/>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一、新开工项目</w:t>
            </w:r>
          </w:p>
        </w:tc>
        <w:tc>
          <w:tcPr>
            <w:tcW w:w="2147"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30</w:t>
            </w:r>
          </w:p>
        </w:tc>
        <w:tc>
          <w:tcPr>
            <w:tcW w:w="1717"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102.3</w:t>
            </w:r>
          </w:p>
        </w:tc>
        <w:tc>
          <w:tcPr>
            <w:tcW w:w="1717"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64.7</w:t>
            </w:r>
          </w:p>
        </w:tc>
        <w:tc>
          <w:tcPr>
            <w:tcW w:w="1287" w:type="dxa"/>
            <w:vAlign w:val="center"/>
          </w:tcPr>
          <w:p>
            <w:pPr>
              <w:widowControl/>
              <w:jc w:val="center"/>
              <w:rPr>
                <w:rFonts w:hint="eastAsia" w:ascii="仿宋_GB2312" w:hAnsi="仿宋_GB2312" w:eastAsia="仿宋_GB2312" w:cs="仿宋_GB2312"/>
                <w:kern w:val="0"/>
                <w:sz w:val="20"/>
                <w:szCs w:val="20"/>
              </w:rPr>
            </w:pPr>
          </w:p>
        </w:tc>
        <w:tc>
          <w:tcPr>
            <w:tcW w:w="1284" w:type="dxa"/>
            <w:vAlign w:val="center"/>
          </w:tcPr>
          <w:p>
            <w:pPr>
              <w:widowControl/>
              <w:jc w:val="center"/>
              <w:rPr>
                <w:rFonts w:hint="eastAsia" w:ascii="仿宋_GB2312" w:hAnsi="仿宋_GB2312" w:eastAsia="仿宋_GB2312" w:cs="仿宋_GB2312"/>
                <w:kern w:val="0"/>
                <w:sz w:val="20"/>
                <w:szCs w:val="20"/>
              </w:rPr>
            </w:pPr>
          </w:p>
        </w:tc>
        <w:tc>
          <w:tcPr>
            <w:tcW w:w="1193" w:type="dxa"/>
            <w:vAlign w:val="center"/>
          </w:tcPr>
          <w:p>
            <w:pPr>
              <w:widowControl/>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63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379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G5京昆高速川陕界至广元段扩容</w:t>
            </w:r>
          </w:p>
        </w:tc>
        <w:tc>
          <w:tcPr>
            <w:tcW w:w="214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28</w:t>
            </w:r>
          </w:p>
        </w:tc>
        <w:tc>
          <w:tcPr>
            <w:tcW w:w="171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97.6</w:t>
            </w:r>
          </w:p>
        </w:tc>
        <w:tc>
          <w:tcPr>
            <w:tcW w:w="171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60</w:t>
            </w:r>
          </w:p>
        </w:tc>
        <w:tc>
          <w:tcPr>
            <w:tcW w:w="128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2022</w:t>
            </w:r>
          </w:p>
        </w:tc>
        <w:tc>
          <w:tcPr>
            <w:tcW w:w="128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2026</w:t>
            </w:r>
          </w:p>
        </w:tc>
        <w:tc>
          <w:tcPr>
            <w:tcW w:w="1193" w:type="dxa"/>
            <w:vAlign w:val="center"/>
          </w:tcPr>
          <w:p>
            <w:pPr>
              <w:widowControl/>
              <w:jc w:val="center"/>
              <w:rPr>
                <w:rFonts w:hint="eastAsia" w:ascii="仿宋_GB2312" w:hAnsi="仿宋_GB2312" w:eastAsia="仿宋_GB2312" w:cs="仿宋_GB2312"/>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63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w:t>
            </w:r>
          </w:p>
        </w:tc>
        <w:tc>
          <w:tcPr>
            <w:tcW w:w="379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G5京昆高速广元至绵阳段扩容</w:t>
            </w:r>
          </w:p>
        </w:tc>
        <w:tc>
          <w:tcPr>
            <w:tcW w:w="214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w:t>
            </w:r>
          </w:p>
        </w:tc>
        <w:tc>
          <w:tcPr>
            <w:tcW w:w="171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4.7</w:t>
            </w:r>
          </w:p>
        </w:tc>
        <w:tc>
          <w:tcPr>
            <w:tcW w:w="171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4.7</w:t>
            </w:r>
          </w:p>
        </w:tc>
        <w:tc>
          <w:tcPr>
            <w:tcW w:w="128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2021</w:t>
            </w:r>
          </w:p>
        </w:tc>
        <w:tc>
          <w:tcPr>
            <w:tcW w:w="128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2025</w:t>
            </w:r>
          </w:p>
        </w:tc>
        <w:tc>
          <w:tcPr>
            <w:tcW w:w="1193" w:type="dxa"/>
            <w:vAlign w:val="center"/>
          </w:tcPr>
          <w:p>
            <w:pPr>
              <w:widowControl/>
              <w:jc w:val="center"/>
              <w:rPr>
                <w:rFonts w:hint="eastAsia" w:ascii="仿宋_GB2312" w:hAnsi="仿宋_GB2312" w:eastAsia="仿宋_GB2312" w:cs="仿宋_GB2312"/>
                <w:sz w:val="20"/>
                <w:szCs w:val="20"/>
              </w:rPr>
            </w:pPr>
          </w:p>
        </w:tc>
      </w:tr>
    </w:tbl>
    <w:p>
      <w:pPr>
        <w:pStyle w:val="2"/>
        <w:rPr>
          <w:rFonts w:hint="eastAsia" w:ascii="仿宋_GB2312" w:hAnsi="仿宋_GB2312" w:eastAsia="仿宋_GB2312" w:cs="仿宋_GB2312"/>
        </w:rPr>
      </w:pPr>
    </w:p>
    <w:p>
      <w:pPr>
        <w:pStyle w:val="2"/>
        <w:rPr>
          <w:rFonts w:hint="eastAsia" w:ascii="仿宋_GB2312" w:hAnsi="仿宋_GB2312" w:eastAsia="仿宋_GB2312" w:cs="仿宋_GB2312"/>
        </w:rPr>
        <w:sectPr>
          <w:pgSz w:w="16838" w:h="11906" w:orient="landscape"/>
          <w:pgMar w:top="1701" w:right="1531" w:bottom="1701" w:left="1531" w:header="851" w:footer="1418" w:gutter="0"/>
          <w:cols w:space="720" w:num="1"/>
          <w:docGrid w:type="lines" w:linePitch="312" w:charSpace="0"/>
        </w:sectPr>
      </w:pPr>
    </w:p>
    <w:p>
      <w:pPr>
        <w:pStyle w:val="5"/>
        <w:jc w:val="center"/>
        <w:rPr>
          <w:rFonts w:hint="eastAsia" w:ascii="仿宋_GB2312" w:hAnsi="仿宋_GB2312" w:eastAsia="仿宋_GB2312" w:cs="仿宋_GB2312"/>
          <w:b w:val="0"/>
        </w:rPr>
      </w:pPr>
      <w:bookmarkStart w:id="122" w:name="_Toc114070057"/>
      <w:bookmarkStart w:id="123" w:name="_Toc91148192"/>
      <w:bookmarkStart w:id="124" w:name="_Toc91150358"/>
      <w:bookmarkStart w:id="125" w:name="_Toc101432170"/>
      <w:bookmarkStart w:id="126" w:name="_Toc99786560"/>
      <w:bookmarkStart w:id="127" w:name="_Toc89264379"/>
      <w:bookmarkStart w:id="128" w:name="_Toc111036308"/>
      <w:r>
        <w:rPr>
          <w:rFonts w:hint="eastAsia" w:ascii="仿宋_GB2312" w:hAnsi="仿宋_GB2312" w:eastAsia="仿宋_GB2312" w:cs="仿宋_GB2312"/>
          <w:b w:val="0"/>
        </w:rPr>
        <w:t>附表3 利州区“十四五”普通国省道建设项目表</w:t>
      </w:r>
      <w:bookmarkEnd w:id="122"/>
      <w:bookmarkEnd w:id="123"/>
      <w:bookmarkEnd w:id="124"/>
      <w:bookmarkEnd w:id="125"/>
      <w:bookmarkEnd w:id="126"/>
      <w:bookmarkEnd w:id="127"/>
      <w:bookmarkEnd w:id="128"/>
    </w:p>
    <w:tbl>
      <w:tblPr>
        <w:tblStyle w:val="23"/>
        <w:tblW w:w="13778"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21"/>
        <w:gridCol w:w="4019"/>
        <w:gridCol w:w="837"/>
        <w:gridCol w:w="698"/>
        <w:gridCol w:w="697"/>
        <w:gridCol w:w="698"/>
        <w:gridCol w:w="698"/>
        <w:gridCol w:w="836"/>
        <w:gridCol w:w="1113"/>
        <w:gridCol w:w="1390"/>
        <w:gridCol w:w="836"/>
        <w:gridCol w:w="837"/>
        <w:gridCol w:w="698"/>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tblHeader/>
          <w:jc w:val="center"/>
        </w:trPr>
        <w:tc>
          <w:tcPr>
            <w:tcW w:w="421" w:type="dxa"/>
            <w:vMerge w:val="restart"/>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序号</w:t>
            </w:r>
          </w:p>
        </w:tc>
        <w:tc>
          <w:tcPr>
            <w:tcW w:w="4019" w:type="dxa"/>
            <w:vMerge w:val="restart"/>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项目名称</w:t>
            </w:r>
          </w:p>
        </w:tc>
        <w:tc>
          <w:tcPr>
            <w:tcW w:w="837" w:type="dxa"/>
            <w:vMerge w:val="restart"/>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建设</w:t>
            </w:r>
          </w:p>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性质</w:t>
            </w:r>
          </w:p>
        </w:tc>
        <w:tc>
          <w:tcPr>
            <w:tcW w:w="3627" w:type="dxa"/>
            <w:gridSpan w:val="5"/>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建设规模（公里）</w:t>
            </w:r>
          </w:p>
        </w:tc>
        <w:tc>
          <w:tcPr>
            <w:tcW w:w="1113" w:type="dxa"/>
            <w:vMerge w:val="restart"/>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总投资（亿元）</w:t>
            </w:r>
          </w:p>
        </w:tc>
        <w:tc>
          <w:tcPr>
            <w:tcW w:w="1390" w:type="dxa"/>
            <w:vMerge w:val="restart"/>
            <w:vAlign w:val="center"/>
          </w:tcPr>
          <w:p>
            <w:pPr>
              <w:jc w:val="center"/>
              <w:rPr>
                <w:rFonts w:hint="eastAsia" w:ascii="仿宋_GB2312" w:hAnsi="仿宋_GB2312" w:eastAsia="仿宋_GB2312" w:cs="仿宋_GB2312"/>
                <w:spacing w:val="-12"/>
                <w:kern w:val="0"/>
                <w:sz w:val="20"/>
                <w:szCs w:val="20"/>
              </w:rPr>
            </w:pPr>
            <w:r>
              <w:rPr>
                <w:rFonts w:hint="eastAsia" w:ascii="仿宋_GB2312" w:hAnsi="仿宋_GB2312" w:eastAsia="仿宋_GB2312" w:cs="仿宋_GB2312"/>
                <w:spacing w:val="-12"/>
                <w:kern w:val="0"/>
                <w:sz w:val="20"/>
                <w:szCs w:val="20"/>
              </w:rPr>
              <w:t>“十四五”投资</w:t>
            </w:r>
          </w:p>
          <w:p>
            <w:pPr>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（亿元）</w:t>
            </w:r>
          </w:p>
        </w:tc>
        <w:tc>
          <w:tcPr>
            <w:tcW w:w="1673" w:type="dxa"/>
            <w:gridSpan w:val="2"/>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建设年限</w:t>
            </w:r>
          </w:p>
        </w:tc>
        <w:tc>
          <w:tcPr>
            <w:tcW w:w="69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备注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tblHeader/>
          <w:jc w:val="center"/>
        </w:trPr>
        <w:tc>
          <w:tcPr>
            <w:tcW w:w="421" w:type="dxa"/>
            <w:vMerge w:val="continue"/>
            <w:vAlign w:val="center"/>
          </w:tcPr>
          <w:p>
            <w:pPr>
              <w:widowControl/>
              <w:jc w:val="center"/>
              <w:rPr>
                <w:rFonts w:hint="eastAsia" w:ascii="仿宋_GB2312" w:hAnsi="仿宋_GB2312" w:eastAsia="仿宋_GB2312" w:cs="仿宋_GB2312"/>
                <w:kern w:val="0"/>
                <w:sz w:val="20"/>
                <w:szCs w:val="20"/>
              </w:rPr>
            </w:pPr>
          </w:p>
        </w:tc>
        <w:tc>
          <w:tcPr>
            <w:tcW w:w="4019" w:type="dxa"/>
            <w:vMerge w:val="continue"/>
            <w:vAlign w:val="center"/>
          </w:tcPr>
          <w:p>
            <w:pPr>
              <w:widowControl/>
              <w:jc w:val="center"/>
              <w:rPr>
                <w:rFonts w:hint="eastAsia" w:ascii="仿宋_GB2312" w:hAnsi="仿宋_GB2312" w:eastAsia="仿宋_GB2312" w:cs="仿宋_GB2312"/>
                <w:kern w:val="0"/>
                <w:sz w:val="20"/>
                <w:szCs w:val="20"/>
              </w:rPr>
            </w:pPr>
          </w:p>
        </w:tc>
        <w:tc>
          <w:tcPr>
            <w:tcW w:w="837" w:type="dxa"/>
            <w:vMerge w:val="continue"/>
            <w:vAlign w:val="center"/>
          </w:tcPr>
          <w:p>
            <w:pPr>
              <w:widowControl/>
              <w:jc w:val="center"/>
              <w:rPr>
                <w:rFonts w:hint="eastAsia" w:ascii="仿宋_GB2312" w:hAnsi="仿宋_GB2312" w:eastAsia="仿宋_GB2312" w:cs="仿宋_GB2312"/>
                <w:kern w:val="0"/>
                <w:sz w:val="20"/>
                <w:szCs w:val="20"/>
              </w:rPr>
            </w:pPr>
          </w:p>
        </w:tc>
        <w:tc>
          <w:tcPr>
            <w:tcW w:w="69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合计</w:t>
            </w:r>
          </w:p>
        </w:tc>
        <w:tc>
          <w:tcPr>
            <w:tcW w:w="69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一级公路</w:t>
            </w:r>
          </w:p>
        </w:tc>
        <w:tc>
          <w:tcPr>
            <w:tcW w:w="69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二级公路</w:t>
            </w:r>
          </w:p>
        </w:tc>
        <w:tc>
          <w:tcPr>
            <w:tcW w:w="69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三级公路</w:t>
            </w:r>
          </w:p>
        </w:tc>
        <w:tc>
          <w:tcPr>
            <w:tcW w:w="83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桥隧</w:t>
            </w:r>
            <w:r>
              <w:rPr>
                <w:rFonts w:hint="eastAsia" w:ascii="仿宋_GB2312" w:hAnsi="仿宋_GB2312" w:eastAsia="仿宋_GB2312" w:cs="仿宋_GB2312"/>
                <w:spacing w:val="-12"/>
                <w:kern w:val="0"/>
                <w:sz w:val="20"/>
                <w:szCs w:val="20"/>
              </w:rPr>
              <w:t>（延米）</w:t>
            </w:r>
          </w:p>
        </w:tc>
        <w:tc>
          <w:tcPr>
            <w:tcW w:w="1113" w:type="dxa"/>
            <w:vMerge w:val="continue"/>
            <w:vAlign w:val="center"/>
          </w:tcPr>
          <w:p>
            <w:pPr>
              <w:widowControl/>
              <w:jc w:val="center"/>
              <w:rPr>
                <w:rFonts w:hint="eastAsia" w:ascii="仿宋_GB2312" w:hAnsi="仿宋_GB2312" w:eastAsia="仿宋_GB2312" w:cs="仿宋_GB2312"/>
                <w:kern w:val="0"/>
                <w:sz w:val="20"/>
                <w:szCs w:val="20"/>
              </w:rPr>
            </w:pPr>
          </w:p>
        </w:tc>
        <w:tc>
          <w:tcPr>
            <w:tcW w:w="1390" w:type="dxa"/>
            <w:vMerge w:val="continue"/>
            <w:vAlign w:val="center"/>
          </w:tcPr>
          <w:p>
            <w:pPr>
              <w:widowControl/>
              <w:jc w:val="center"/>
              <w:rPr>
                <w:rFonts w:hint="eastAsia" w:ascii="仿宋_GB2312" w:hAnsi="仿宋_GB2312" w:eastAsia="仿宋_GB2312" w:cs="仿宋_GB2312"/>
                <w:kern w:val="0"/>
                <w:sz w:val="20"/>
                <w:szCs w:val="20"/>
              </w:rPr>
            </w:pPr>
          </w:p>
        </w:tc>
        <w:tc>
          <w:tcPr>
            <w:tcW w:w="83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开工年</w:t>
            </w:r>
          </w:p>
        </w:tc>
        <w:tc>
          <w:tcPr>
            <w:tcW w:w="83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完工年</w:t>
            </w:r>
          </w:p>
        </w:tc>
        <w:tc>
          <w:tcPr>
            <w:tcW w:w="698" w:type="dxa"/>
            <w:vAlign w:val="center"/>
          </w:tcPr>
          <w:p>
            <w:pPr>
              <w:widowControl/>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440" w:type="dxa"/>
            <w:gridSpan w:val="2"/>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kern w:val="0"/>
                <w:sz w:val="20"/>
                <w:szCs w:val="20"/>
              </w:rPr>
              <w:t>合计</w:t>
            </w:r>
          </w:p>
        </w:tc>
        <w:tc>
          <w:tcPr>
            <w:tcW w:w="837" w:type="dxa"/>
            <w:vAlign w:val="center"/>
          </w:tcPr>
          <w:p>
            <w:pPr>
              <w:widowControl/>
              <w:jc w:val="center"/>
              <w:rPr>
                <w:rFonts w:hint="eastAsia" w:ascii="仿宋_GB2312" w:hAnsi="仿宋_GB2312" w:eastAsia="仿宋_GB2312" w:cs="仿宋_GB2312"/>
                <w:b/>
                <w:kern w:val="0"/>
                <w:sz w:val="20"/>
                <w:szCs w:val="20"/>
              </w:rPr>
            </w:pPr>
          </w:p>
        </w:tc>
        <w:tc>
          <w:tcPr>
            <w:tcW w:w="698"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311.3</w:t>
            </w:r>
          </w:p>
        </w:tc>
        <w:tc>
          <w:tcPr>
            <w:tcW w:w="697"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108.6</w:t>
            </w:r>
          </w:p>
        </w:tc>
        <w:tc>
          <w:tcPr>
            <w:tcW w:w="698"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147.9</w:t>
            </w:r>
          </w:p>
        </w:tc>
        <w:tc>
          <w:tcPr>
            <w:tcW w:w="698"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49</w:t>
            </w:r>
          </w:p>
        </w:tc>
        <w:tc>
          <w:tcPr>
            <w:tcW w:w="836"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5840</w:t>
            </w:r>
          </w:p>
        </w:tc>
        <w:tc>
          <w:tcPr>
            <w:tcW w:w="1113"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160.9</w:t>
            </w:r>
          </w:p>
        </w:tc>
        <w:tc>
          <w:tcPr>
            <w:tcW w:w="1390"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85.8</w:t>
            </w:r>
          </w:p>
        </w:tc>
        <w:tc>
          <w:tcPr>
            <w:tcW w:w="836" w:type="dxa"/>
            <w:vAlign w:val="center"/>
          </w:tcPr>
          <w:p>
            <w:pPr>
              <w:widowControl/>
              <w:jc w:val="center"/>
              <w:rPr>
                <w:rFonts w:hint="eastAsia" w:ascii="仿宋_GB2312" w:hAnsi="仿宋_GB2312" w:eastAsia="仿宋_GB2312" w:cs="仿宋_GB2312"/>
                <w:b/>
                <w:kern w:val="0"/>
                <w:sz w:val="20"/>
                <w:szCs w:val="20"/>
              </w:rPr>
            </w:pPr>
          </w:p>
        </w:tc>
        <w:tc>
          <w:tcPr>
            <w:tcW w:w="837" w:type="dxa"/>
            <w:vAlign w:val="center"/>
          </w:tcPr>
          <w:p>
            <w:pPr>
              <w:widowControl/>
              <w:jc w:val="center"/>
              <w:rPr>
                <w:rFonts w:hint="eastAsia" w:ascii="仿宋_GB2312" w:hAnsi="仿宋_GB2312" w:eastAsia="仿宋_GB2312" w:cs="仿宋_GB2312"/>
                <w:b/>
                <w:kern w:val="0"/>
                <w:sz w:val="20"/>
                <w:szCs w:val="20"/>
              </w:rPr>
            </w:pPr>
          </w:p>
        </w:tc>
        <w:tc>
          <w:tcPr>
            <w:tcW w:w="698" w:type="dxa"/>
            <w:vAlign w:val="center"/>
          </w:tcPr>
          <w:p>
            <w:pPr>
              <w:widowControl/>
              <w:jc w:val="center"/>
              <w:rPr>
                <w:rFonts w:hint="eastAsia" w:ascii="仿宋_GB2312" w:hAnsi="仿宋_GB2312" w:eastAsia="仿宋_GB2312" w:cs="仿宋_GB2312"/>
                <w:b/>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440" w:type="dxa"/>
            <w:gridSpan w:val="2"/>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kern w:val="0"/>
                <w:sz w:val="20"/>
                <w:szCs w:val="20"/>
              </w:rPr>
              <w:t>一、普通国道</w:t>
            </w:r>
          </w:p>
        </w:tc>
        <w:tc>
          <w:tcPr>
            <w:tcW w:w="837" w:type="dxa"/>
            <w:vAlign w:val="center"/>
          </w:tcPr>
          <w:p>
            <w:pPr>
              <w:widowControl/>
              <w:jc w:val="center"/>
              <w:rPr>
                <w:rFonts w:hint="eastAsia" w:ascii="仿宋_GB2312" w:hAnsi="仿宋_GB2312" w:eastAsia="仿宋_GB2312" w:cs="仿宋_GB2312"/>
                <w:b/>
                <w:kern w:val="0"/>
                <w:sz w:val="20"/>
                <w:szCs w:val="20"/>
              </w:rPr>
            </w:pPr>
          </w:p>
        </w:tc>
        <w:tc>
          <w:tcPr>
            <w:tcW w:w="698"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153.9</w:t>
            </w:r>
          </w:p>
        </w:tc>
        <w:tc>
          <w:tcPr>
            <w:tcW w:w="697"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80</w:t>
            </w:r>
          </w:p>
        </w:tc>
        <w:tc>
          <w:tcPr>
            <w:tcW w:w="698"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68.1</w:t>
            </w:r>
          </w:p>
        </w:tc>
        <w:tc>
          <w:tcPr>
            <w:tcW w:w="698"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0</w:t>
            </w:r>
          </w:p>
        </w:tc>
        <w:tc>
          <w:tcPr>
            <w:tcW w:w="836"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5840</w:t>
            </w:r>
          </w:p>
        </w:tc>
        <w:tc>
          <w:tcPr>
            <w:tcW w:w="1113"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108.6</w:t>
            </w:r>
          </w:p>
        </w:tc>
        <w:tc>
          <w:tcPr>
            <w:tcW w:w="1390"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36.9</w:t>
            </w:r>
          </w:p>
        </w:tc>
        <w:tc>
          <w:tcPr>
            <w:tcW w:w="836" w:type="dxa"/>
            <w:vAlign w:val="center"/>
          </w:tcPr>
          <w:p>
            <w:pPr>
              <w:widowControl/>
              <w:jc w:val="center"/>
              <w:rPr>
                <w:rFonts w:hint="eastAsia" w:ascii="仿宋_GB2312" w:hAnsi="仿宋_GB2312" w:eastAsia="仿宋_GB2312" w:cs="仿宋_GB2312"/>
                <w:b/>
                <w:kern w:val="0"/>
                <w:sz w:val="20"/>
                <w:szCs w:val="20"/>
              </w:rPr>
            </w:pPr>
          </w:p>
        </w:tc>
        <w:tc>
          <w:tcPr>
            <w:tcW w:w="837" w:type="dxa"/>
            <w:vAlign w:val="center"/>
          </w:tcPr>
          <w:p>
            <w:pPr>
              <w:widowControl/>
              <w:jc w:val="center"/>
              <w:rPr>
                <w:rFonts w:hint="eastAsia" w:ascii="仿宋_GB2312" w:hAnsi="仿宋_GB2312" w:eastAsia="仿宋_GB2312" w:cs="仿宋_GB2312"/>
                <w:b/>
                <w:kern w:val="0"/>
                <w:sz w:val="20"/>
                <w:szCs w:val="20"/>
              </w:rPr>
            </w:pPr>
          </w:p>
        </w:tc>
        <w:tc>
          <w:tcPr>
            <w:tcW w:w="698" w:type="dxa"/>
            <w:vAlign w:val="center"/>
          </w:tcPr>
          <w:p>
            <w:pPr>
              <w:widowControl/>
              <w:jc w:val="center"/>
              <w:rPr>
                <w:rFonts w:hint="eastAsia" w:ascii="仿宋_GB2312" w:hAnsi="仿宋_GB2312" w:eastAsia="仿宋_GB2312" w:cs="仿宋_GB2312"/>
                <w:b/>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440" w:type="dxa"/>
            <w:gridSpan w:val="2"/>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kern w:val="0"/>
                <w:sz w:val="20"/>
                <w:szCs w:val="20"/>
              </w:rPr>
              <w:t>1．续建项目</w:t>
            </w:r>
          </w:p>
        </w:tc>
        <w:tc>
          <w:tcPr>
            <w:tcW w:w="837" w:type="dxa"/>
            <w:vAlign w:val="center"/>
          </w:tcPr>
          <w:p>
            <w:pPr>
              <w:widowControl/>
              <w:jc w:val="center"/>
              <w:rPr>
                <w:rFonts w:hint="eastAsia" w:ascii="仿宋_GB2312" w:hAnsi="仿宋_GB2312" w:eastAsia="仿宋_GB2312" w:cs="仿宋_GB2312"/>
                <w:b/>
                <w:kern w:val="0"/>
                <w:sz w:val="20"/>
                <w:szCs w:val="20"/>
              </w:rPr>
            </w:pPr>
          </w:p>
        </w:tc>
        <w:tc>
          <w:tcPr>
            <w:tcW w:w="698"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6.7</w:t>
            </w:r>
          </w:p>
        </w:tc>
        <w:tc>
          <w:tcPr>
            <w:tcW w:w="697"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0.9</w:t>
            </w:r>
          </w:p>
        </w:tc>
        <w:tc>
          <w:tcPr>
            <w:tcW w:w="698"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0</w:t>
            </w:r>
          </w:p>
        </w:tc>
        <w:tc>
          <w:tcPr>
            <w:tcW w:w="698"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0</w:t>
            </w:r>
          </w:p>
        </w:tc>
        <w:tc>
          <w:tcPr>
            <w:tcW w:w="836"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5840</w:t>
            </w:r>
          </w:p>
        </w:tc>
        <w:tc>
          <w:tcPr>
            <w:tcW w:w="1113"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14.4</w:t>
            </w:r>
          </w:p>
        </w:tc>
        <w:tc>
          <w:tcPr>
            <w:tcW w:w="1390"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3</w:t>
            </w:r>
          </w:p>
        </w:tc>
        <w:tc>
          <w:tcPr>
            <w:tcW w:w="836" w:type="dxa"/>
            <w:vAlign w:val="center"/>
          </w:tcPr>
          <w:p>
            <w:pPr>
              <w:widowControl/>
              <w:jc w:val="center"/>
              <w:rPr>
                <w:rFonts w:hint="eastAsia" w:ascii="仿宋_GB2312" w:hAnsi="仿宋_GB2312" w:eastAsia="仿宋_GB2312" w:cs="仿宋_GB2312"/>
                <w:b/>
                <w:kern w:val="0"/>
                <w:sz w:val="20"/>
                <w:szCs w:val="20"/>
              </w:rPr>
            </w:pPr>
          </w:p>
        </w:tc>
        <w:tc>
          <w:tcPr>
            <w:tcW w:w="837" w:type="dxa"/>
            <w:vAlign w:val="center"/>
          </w:tcPr>
          <w:p>
            <w:pPr>
              <w:widowControl/>
              <w:jc w:val="center"/>
              <w:rPr>
                <w:rFonts w:hint="eastAsia" w:ascii="仿宋_GB2312" w:hAnsi="仿宋_GB2312" w:eastAsia="仿宋_GB2312" w:cs="仿宋_GB2312"/>
                <w:b/>
                <w:kern w:val="0"/>
                <w:sz w:val="20"/>
                <w:szCs w:val="20"/>
              </w:rPr>
            </w:pPr>
          </w:p>
        </w:tc>
        <w:tc>
          <w:tcPr>
            <w:tcW w:w="698" w:type="dxa"/>
            <w:vAlign w:val="center"/>
          </w:tcPr>
          <w:p>
            <w:pPr>
              <w:widowControl/>
              <w:jc w:val="center"/>
              <w:rPr>
                <w:rFonts w:hint="eastAsia" w:ascii="仿宋_GB2312" w:hAnsi="仿宋_GB2312" w:eastAsia="仿宋_GB2312" w:cs="仿宋_GB2312"/>
                <w:b/>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21"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4019"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G212南山隧道新建工程</w:t>
            </w:r>
          </w:p>
        </w:tc>
        <w:tc>
          <w:tcPr>
            <w:tcW w:w="83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新建</w:t>
            </w:r>
          </w:p>
        </w:tc>
        <w:tc>
          <w:tcPr>
            <w:tcW w:w="69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bCs/>
                <w:sz w:val="20"/>
                <w:szCs w:val="20"/>
              </w:rPr>
              <w:t>6.7</w:t>
            </w:r>
          </w:p>
        </w:tc>
        <w:tc>
          <w:tcPr>
            <w:tcW w:w="69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bCs/>
                <w:sz w:val="20"/>
                <w:szCs w:val="20"/>
              </w:rPr>
              <w:t>0.9</w:t>
            </w:r>
          </w:p>
        </w:tc>
        <w:tc>
          <w:tcPr>
            <w:tcW w:w="698" w:type="dxa"/>
            <w:vAlign w:val="center"/>
          </w:tcPr>
          <w:p>
            <w:pPr>
              <w:widowControl/>
              <w:jc w:val="center"/>
              <w:rPr>
                <w:rFonts w:hint="eastAsia" w:ascii="仿宋_GB2312" w:hAnsi="仿宋_GB2312" w:eastAsia="仿宋_GB2312" w:cs="仿宋_GB2312"/>
                <w:kern w:val="0"/>
                <w:sz w:val="20"/>
                <w:szCs w:val="20"/>
              </w:rPr>
            </w:pPr>
          </w:p>
        </w:tc>
        <w:tc>
          <w:tcPr>
            <w:tcW w:w="698" w:type="dxa"/>
            <w:vAlign w:val="center"/>
          </w:tcPr>
          <w:p>
            <w:pPr>
              <w:widowControl/>
              <w:jc w:val="center"/>
              <w:rPr>
                <w:rFonts w:hint="eastAsia" w:ascii="仿宋_GB2312" w:hAnsi="仿宋_GB2312" w:eastAsia="仿宋_GB2312" w:cs="仿宋_GB2312"/>
                <w:kern w:val="0"/>
                <w:sz w:val="20"/>
                <w:szCs w:val="20"/>
              </w:rPr>
            </w:pPr>
          </w:p>
        </w:tc>
        <w:tc>
          <w:tcPr>
            <w:tcW w:w="83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bCs/>
                <w:sz w:val="20"/>
                <w:szCs w:val="20"/>
              </w:rPr>
              <w:t>5840</w:t>
            </w:r>
          </w:p>
        </w:tc>
        <w:tc>
          <w:tcPr>
            <w:tcW w:w="111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bCs/>
                <w:sz w:val="20"/>
                <w:szCs w:val="20"/>
              </w:rPr>
              <w:t>14.4</w:t>
            </w:r>
          </w:p>
        </w:tc>
        <w:tc>
          <w:tcPr>
            <w:tcW w:w="139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bCs/>
                <w:sz w:val="20"/>
                <w:szCs w:val="20"/>
              </w:rPr>
              <w:t>3</w:t>
            </w:r>
          </w:p>
        </w:tc>
        <w:tc>
          <w:tcPr>
            <w:tcW w:w="83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2019</w:t>
            </w:r>
          </w:p>
        </w:tc>
        <w:tc>
          <w:tcPr>
            <w:tcW w:w="83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2022</w:t>
            </w:r>
          </w:p>
        </w:tc>
        <w:tc>
          <w:tcPr>
            <w:tcW w:w="698" w:type="dxa"/>
            <w:vAlign w:val="center"/>
          </w:tcPr>
          <w:p>
            <w:pPr>
              <w:widowControl/>
              <w:jc w:val="center"/>
              <w:rPr>
                <w:rFonts w:hint="eastAsia" w:ascii="仿宋_GB2312" w:hAnsi="仿宋_GB2312" w:eastAsia="仿宋_GB2312" w:cs="仿宋_GB2312"/>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440" w:type="dxa"/>
            <w:gridSpan w:val="2"/>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kern w:val="0"/>
                <w:sz w:val="20"/>
                <w:szCs w:val="20"/>
              </w:rPr>
              <w:t>2．新开工项目</w:t>
            </w:r>
          </w:p>
        </w:tc>
        <w:tc>
          <w:tcPr>
            <w:tcW w:w="837" w:type="dxa"/>
            <w:vAlign w:val="center"/>
          </w:tcPr>
          <w:p>
            <w:pPr>
              <w:widowControl/>
              <w:jc w:val="center"/>
              <w:rPr>
                <w:rFonts w:hint="eastAsia" w:ascii="仿宋_GB2312" w:hAnsi="仿宋_GB2312" w:eastAsia="仿宋_GB2312" w:cs="仿宋_GB2312"/>
                <w:b/>
                <w:kern w:val="0"/>
                <w:sz w:val="20"/>
                <w:szCs w:val="20"/>
              </w:rPr>
            </w:pPr>
          </w:p>
        </w:tc>
        <w:tc>
          <w:tcPr>
            <w:tcW w:w="698"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44.1</w:t>
            </w:r>
          </w:p>
        </w:tc>
        <w:tc>
          <w:tcPr>
            <w:tcW w:w="697"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44.1</w:t>
            </w:r>
          </w:p>
        </w:tc>
        <w:tc>
          <w:tcPr>
            <w:tcW w:w="698"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0</w:t>
            </w:r>
          </w:p>
        </w:tc>
        <w:tc>
          <w:tcPr>
            <w:tcW w:w="698"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0</w:t>
            </w:r>
          </w:p>
        </w:tc>
        <w:tc>
          <w:tcPr>
            <w:tcW w:w="836"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0</w:t>
            </w:r>
          </w:p>
        </w:tc>
        <w:tc>
          <w:tcPr>
            <w:tcW w:w="1113"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33.9</w:t>
            </w:r>
          </w:p>
        </w:tc>
        <w:tc>
          <w:tcPr>
            <w:tcW w:w="1390"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33.9</w:t>
            </w:r>
          </w:p>
        </w:tc>
        <w:tc>
          <w:tcPr>
            <w:tcW w:w="836" w:type="dxa"/>
            <w:vAlign w:val="center"/>
          </w:tcPr>
          <w:p>
            <w:pPr>
              <w:widowControl/>
              <w:jc w:val="center"/>
              <w:rPr>
                <w:rFonts w:hint="eastAsia" w:ascii="仿宋_GB2312" w:hAnsi="仿宋_GB2312" w:eastAsia="仿宋_GB2312" w:cs="仿宋_GB2312"/>
                <w:kern w:val="0"/>
                <w:sz w:val="20"/>
                <w:szCs w:val="20"/>
              </w:rPr>
            </w:pPr>
          </w:p>
        </w:tc>
        <w:tc>
          <w:tcPr>
            <w:tcW w:w="837" w:type="dxa"/>
            <w:vAlign w:val="center"/>
          </w:tcPr>
          <w:p>
            <w:pPr>
              <w:widowControl/>
              <w:jc w:val="center"/>
              <w:rPr>
                <w:rFonts w:hint="eastAsia" w:ascii="仿宋_GB2312" w:hAnsi="仿宋_GB2312" w:eastAsia="仿宋_GB2312" w:cs="仿宋_GB2312"/>
                <w:kern w:val="0"/>
                <w:sz w:val="20"/>
                <w:szCs w:val="20"/>
              </w:rPr>
            </w:pPr>
          </w:p>
        </w:tc>
        <w:tc>
          <w:tcPr>
            <w:tcW w:w="698" w:type="dxa"/>
            <w:vAlign w:val="center"/>
          </w:tcPr>
          <w:p>
            <w:pPr>
              <w:widowControl/>
              <w:jc w:val="center"/>
              <w:rPr>
                <w:rFonts w:hint="eastAsia" w:ascii="仿宋_GB2312" w:hAnsi="仿宋_GB2312" w:eastAsia="仿宋_GB2312" w:cs="仿宋_GB2312"/>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21"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4019"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G108利州区宝轮过境段改建工程</w:t>
            </w:r>
          </w:p>
        </w:tc>
        <w:tc>
          <w:tcPr>
            <w:tcW w:w="83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新建</w:t>
            </w:r>
          </w:p>
        </w:tc>
        <w:tc>
          <w:tcPr>
            <w:tcW w:w="69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17</w:t>
            </w:r>
          </w:p>
        </w:tc>
        <w:tc>
          <w:tcPr>
            <w:tcW w:w="69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17</w:t>
            </w:r>
          </w:p>
        </w:tc>
        <w:tc>
          <w:tcPr>
            <w:tcW w:w="698" w:type="dxa"/>
            <w:vAlign w:val="center"/>
          </w:tcPr>
          <w:p>
            <w:pPr>
              <w:widowControl/>
              <w:jc w:val="center"/>
              <w:rPr>
                <w:rFonts w:hint="eastAsia" w:ascii="仿宋_GB2312" w:hAnsi="仿宋_GB2312" w:eastAsia="仿宋_GB2312" w:cs="仿宋_GB2312"/>
                <w:kern w:val="0"/>
                <w:sz w:val="20"/>
                <w:szCs w:val="20"/>
              </w:rPr>
            </w:pPr>
          </w:p>
        </w:tc>
        <w:tc>
          <w:tcPr>
            <w:tcW w:w="698" w:type="dxa"/>
            <w:vAlign w:val="center"/>
          </w:tcPr>
          <w:p>
            <w:pPr>
              <w:widowControl/>
              <w:jc w:val="center"/>
              <w:rPr>
                <w:rFonts w:hint="eastAsia" w:ascii="仿宋_GB2312" w:hAnsi="仿宋_GB2312" w:eastAsia="仿宋_GB2312" w:cs="仿宋_GB2312"/>
                <w:kern w:val="0"/>
                <w:sz w:val="20"/>
                <w:szCs w:val="20"/>
              </w:rPr>
            </w:pPr>
          </w:p>
        </w:tc>
        <w:tc>
          <w:tcPr>
            <w:tcW w:w="836" w:type="dxa"/>
            <w:vAlign w:val="center"/>
          </w:tcPr>
          <w:p>
            <w:pPr>
              <w:widowControl/>
              <w:jc w:val="center"/>
              <w:rPr>
                <w:rFonts w:hint="eastAsia" w:ascii="仿宋_GB2312" w:hAnsi="仿宋_GB2312" w:eastAsia="仿宋_GB2312" w:cs="仿宋_GB2312"/>
                <w:kern w:val="0"/>
                <w:sz w:val="20"/>
                <w:szCs w:val="20"/>
              </w:rPr>
            </w:pPr>
          </w:p>
        </w:tc>
        <w:tc>
          <w:tcPr>
            <w:tcW w:w="111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12</w:t>
            </w:r>
          </w:p>
        </w:tc>
        <w:tc>
          <w:tcPr>
            <w:tcW w:w="139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12</w:t>
            </w:r>
          </w:p>
        </w:tc>
        <w:tc>
          <w:tcPr>
            <w:tcW w:w="83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2022</w:t>
            </w:r>
          </w:p>
        </w:tc>
        <w:tc>
          <w:tcPr>
            <w:tcW w:w="83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2025</w:t>
            </w:r>
          </w:p>
        </w:tc>
        <w:tc>
          <w:tcPr>
            <w:tcW w:w="698" w:type="dxa"/>
            <w:vAlign w:val="center"/>
          </w:tcPr>
          <w:p>
            <w:pPr>
              <w:widowControl/>
              <w:jc w:val="center"/>
              <w:rPr>
                <w:rFonts w:hint="eastAsia" w:ascii="仿宋_GB2312" w:hAnsi="仿宋_GB2312" w:eastAsia="仿宋_GB2312" w:cs="仿宋_GB2312"/>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21"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w:t>
            </w:r>
          </w:p>
        </w:tc>
        <w:tc>
          <w:tcPr>
            <w:tcW w:w="4019"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G108朝天区中子（川陕界）至利州区瓷窑铺段改建工程</w:t>
            </w:r>
          </w:p>
        </w:tc>
        <w:tc>
          <w:tcPr>
            <w:tcW w:w="83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升级</w:t>
            </w:r>
          </w:p>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改造</w:t>
            </w:r>
          </w:p>
        </w:tc>
        <w:tc>
          <w:tcPr>
            <w:tcW w:w="69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5.4</w:t>
            </w:r>
          </w:p>
        </w:tc>
        <w:tc>
          <w:tcPr>
            <w:tcW w:w="69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5.4</w:t>
            </w:r>
          </w:p>
        </w:tc>
        <w:tc>
          <w:tcPr>
            <w:tcW w:w="698" w:type="dxa"/>
            <w:vAlign w:val="center"/>
          </w:tcPr>
          <w:p>
            <w:pPr>
              <w:widowControl/>
              <w:jc w:val="center"/>
              <w:rPr>
                <w:rFonts w:hint="eastAsia" w:ascii="仿宋_GB2312" w:hAnsi="仿宋_GB2312" w:eastAsia="仿宋_GB2312" w:cs="仿宋_GB2312"/>
                <w:kern w:val="0"/>
                <w:sz w:val="20"/>
                <w:szCs w:val="20"/>
              </w:rPr>
            </w:pPr>
          </w:p>
        </w:tc>
        <w:tc>
          <w:tcPr>
            <w:tcW w:w="698" w:type="dxa"/>
            <w:vAlign w:val="center"/>
          </w:tcPr>
          <w:p>
            <w:pPr>
              <w:widowControl/>
              <w:jc w:val="center"/>
              <w:rPr>
                <w:rFonts w:hint="eastAsia" w:ascii="仿宋_GB2312" w:hAnsi="仿宋_GB2312" w:eastAsia="仿宋_GB2312" w:cs="仿宋_GB2312"/>
                <w:kern w:val="0"/>
                <w:sz w:val="20"/>
                <w:szCs w:val="20"/>
              </w:rPr>
            </w:pPr>
          </w:p>
        </w:tc>
        <w:tc>
          <w:tcPr>
            <w:tcW w:w="836" w:type="dxa"/>
            <w:vAlign w:val="center"/>
          </w:tcPr>
          <w:p>
            <w:pPr>
              <w:widowControl/>
              <w:jc w:val="center"/>
              <w:rPr>
                <w:rFonts w:hint="eastAsia" w:ascii="仿宋_GB2312" w:hAnsi="仿宋_GB2312" w:eastAsia="仿宋_GB2312" w:cs="仿宋_GB2312"/>
                <w:kern w:val="0"/>
                <w:sz w:val="20"/>
                <w:szCs w:val="20"/>
              </w:rPr>
            </w:pPr>
          </w:p>
        </w:tc>
        <w:tc>
          <w:tcPr>
            <w:tcW w:w="111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3.9</w:t>
            </w:r>
          </w:p>
        </w:tc>
        <w:tc>
          <w:tcPr>
            <w:tcW w:w="139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3.9</w:t>
            </w:r>
          </w:p>
        </w:tc>
        <w:tc>
          <w:tcPr>
            <w:tcW w:w="83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2022</w:t>
            </w:r>
          </w:p>
        </w:tc>
        <w:tc>
          <w:tcPr>
            <w:tcW w:w="83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2024</w:t>
            </w:r>
          </w:p>
        </w:tc>
        <w:tc>
          <w:tcPr>
            <w:tcW w:w="698" w:type="dxa"/>
            <w:vAlign w:val="center"/>
          </w:tcPr>
          <w:p>
            <w:pPr>
              <w:widowControl/>
              <w:jc w:val="center"/>
              <w:rPr>
                <w:rFonts w:hint="eastAsia" w:ascii="仿宋_GB2312" w:hAnsi="仿宋_GB2312" w:eastAsia="仿宋_GB2312" w:cs="仿宋_GB2312"/>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21"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w:t>
            </w:r>
          </w:p>
        </w:tc>
        <w:tc>
          <w:tcPr>
            <w:tcW w:w="4019"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G542利州区盘龙至昭化区元坝段改建工程</w:t>
            </w:r>
          </w:p>
        </w:tc>
        <w:tc>
          <w:tcPr>
            <w:tcW w:w="83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改建</w:t>
            </w:r>
          </w:p>
        </w:tc>
        <w:tc>
          <w:tcPr>
            <w:tcW w:w="69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21.7</w:t>
            </w:r>
          </w:p>
        </w:tc>
        <w:tc>
          <w:tcPr>
            <w:tcW w:w="69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21.7</w:t>
            </w:r>
          </w:p>
        </w:tc>
        <w:tc>
          <w:tcPr>
            <w:tcW w:w="698" w:type="dxa"/>
            <w:vAlign w:val="center"/>
          </w:tcPr>
          <w:p>
            <w:pPr>
              <w:widowControl/>
              <w:jc w:val="center"/>
              <w:rPr>
                <w:rFonts w:hint="eastAsia" w:ascii="仿宋_GB2312" w:hAnsi="仿宋_GB2312" w:eastAsia="仿宋_GB2312" w:cs="仿宋_GB2312"/>
                <w:kern w:val="0"/>
                <w:sz w:val="20"/>
                <w:szCs w:val="20"/>
              </w:rPr>
            </w:pPr>
          </w:p>
        </w:tc>
        <w:tc>
          <w:tcPr>
            <w:tcW w:w="698" w:type="dxa"/>
            <w:vAlign w:val="center"/>
          </w:tcPr>
          <w:p>
            <w:pPr>
              <w:widowControl/>
              <w:jc w:val="center"/>
              <w:rPr>
                <w:rFonts w:hint="eastAsia" w:ascii="仿宋_GB2312" w:hAnsi="仿宋_GB2312" w:eastAsia="仿宋_GB2312" w:cs="仿宋_GB2312"/>
                <w:kern w:val="0"/>
                <w:sz w:val="20"/>
                <w:szCs w:val="20"/>
              </w:rPr>
            </w:pPr>
          </w:p>
        </w:tc>
        <w:tc>
          <w:tcPr>
            <w:tcW w:w="836" w:type="dxa"/>
            <w:vAlign w:val="center"/>
          </w:tcPr>
          <w:p>
            <w:pPr>
              <w:widowControl/>
              <w:jc w:val="center"/>
              <w:rPr>
                <w:rFonts w:hint="eastAsia" w:ascii="仿宋_GB2312" w:hAnsi="仿宋_GB2312" w:eastAsia="仿宋_GB2312" w:cs="仿宋_GB2312"/>
                <w:kern w:val="0"/>
                <w:sz w:val="20"/>
                <w:szCs w:val="20"/>
              </w:rPr>
            </w:pPr>
          </w:p>
        </w:tc>
        <w:tc>
          <w:tcPr>
            <w:tcW w:w="111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18</w:t>
            </w:r>
          </w:p>
        </w:tc>
        <w:tc>
          <w:tcPr>
            <w:tcW w:w="139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18</w:t>
            </w:r>
          </w:p>
        </w:tc>
        <w:tc>
          <w:tcPr>
            <w:tcW w:w="83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2022</w:t>
            </w:r>
          </w:p>
        </w:tc>
        <w:tc>
          <w:tcPr>
            <w:tcW w:w="83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2024</w:t>
            </w:r>
          </w:p>
        </w:tc>
        <w:tc>
          <w:tcPr>
            <w:tcW w:w="698" w:type="dxa"/>
            <w:vAlign w:val="center"/>
          </w:tcPr>
          <w:p>
            <w:pPr>
              <w:widowControl/>
              <w:jc w:val="center"/>
              <w:rPr>
                <w:rFonts w:hint="eastAsia" w:ascii="仿宋_GB2312" w:hAnsi="仿宋_GB2312" w:eastAsia="仿宋_GB2312" w:cs="仿宋_GB2312"/>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440" w:type="dxa"/>
            <w:gridSpan w:val="2"/>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kern w:val="0"/>
                <w:sz w:val="20"/>
                <w:szCs w:val="20"/>
              </w:rPr>
              <w:t>3．远期规划项目</w:t>
            </w:r>
          </w:p>
        </w:tc>
        <w:tc>
          <w:tcPr>
            <w:tcW w:w="837" w:type="dxa"/>
            <w:vAlign w:val="center"/>
          </w:tcPr>
          <w:p>
            <w:pPr>
              <w:widowControl/>
              <w:jc w:val="center"/>
              <w:rPr>
                <w:rFonts w:hint="eastAsia" w:ascii="仿宋_GB2312" w:hAnsi="仿宋_GB2312" w:eastAsia="仿宋_GB2312" w:cs="仿宋_GB2312"/>
                <w:b/>
                <w:kern w:val="0"/>
                <w:sz w:val="20"/>
                <w:szCs w:val="20"/>
              </w:rPr>
            </w:pPr>
          </w:p>
        </w:tc>
        <w:tc>
          <w:tcPr>
            <w:tcW w:w="698"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103.1</w:t>
            </w:r>
          </w:p>
        </w:tc>
        <w:tc>
          <w:tcPr>
            <w:tcW w:w="697"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35</w:t>
            </w:r>
          </w:p>
        </w:tc>
        <w:tc>
          <w:tcPr>
            <w:tcW w:w="698"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68.1</w:t>
            </w:r>
          </w:p>
        </w:tc>
        <w:tc>
          <w:tcPr>
            <w:tcW w:w="698"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0</w:t>
            </w:r>
          </w:p>
        </w:tc>
        <w:tc>
          <w:tcPr>
            <w:tcW w:w="836"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0</w:t>
            </w:r>
          </w:p>
        </w:tc>
        <w:tc>
          <w:tcPr>
            <w:tcW w:w="1113"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60.3</w:t>
            </w:r>
          </w:p>
        </w:tc>
        <w:tc>
          <w:tcPr>
            <w:tcW w:w="1390"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0</w:t>
            </w:r>
          </w:p>
        </w:tc>
        <w:tc>
          <w:tcPr>
            <w:tcW w:w="836" w:type="dxa"/>
            <w:vAlign w:val="center"/>
          </w:tcPr>
          <w:p>
            <w:pPr>
              <w:widowControl/>
              <w:jc w:val="center"/>
              <w:rPr>
                <w:rFonts w:hint="eastAsia" w:ascii="仿宋_GB2312" w:hAnsi="仿宋_GB2312" w:eastAsia="仿宋_GB2312" w:cs="仿宋_GB2312"/>
                <w:b/>
                <w:kern w:val="0"/>
                <w:sz w:val="20"/>
                <w:szCs w:val="20"/>
              </w:rPr>
            </w:pPr>
          </w:p>
        </w:tc>
        <w:tc>
          <w:tcPr>
            <w:tcW w:w="837" w:type="dxa"/>
            <w:vAlign w:val="center"/>
          </w:tcPr>
          <w:p>
            <w:pPr>
              <w:widowControl/>
              <w:jc w:val="center"/>
              <w:rPr>
                <w:rFonts w:hint="eastAsia" w:ascii="仿宋_GB2312" w:hAnsi="仿宋_GB2312" w:eastAsia="仿宋_GB2312" w:cs="仿宋_GB2312"/>
                <w:b/>
                <w:kern w:val="0"/>
                <w:sz w:val="20"/>
                <w:szCs w:val="20"/>
              </w:rPr>
            </w:pPr>
          </w:p>
        </w:tc>
        <w:tc>
          <w:tcPr>
            <w:tcW w:w="698" w:type="dxa"/>
            <w:vAlign w:val="center"/>
          </w:tcPr>
          <w:p>
            <w:pPr>
              <w:widowControl/>
              <w:jc w:val="center"/>
              <w:rPr>
                <w:rFonts w:hint="eastAsia" w:ascii="仿宋_GB2312" w:hAnsi="仿宋_GB2312" w:eastAsia="仿宋_GB2312" w:cs="仿宋_GB2312"/>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21"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4019"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G108广元城区过境段改建工程</w:t>
            </w:r>
          </w:p>
        </w:tc>
        <w:tc>
          <w:tcPr>
            <w:tcW w:w="83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新建</w:t>
            </w:r>
          </w:p>
        </w:tc>
        <w:tc>
          <w:tcPr>
            <w:tcW w:w="69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35</w:t>
            </w:r>
          </w:p>
        </w:tc>
        <w:tc>
          <w:tcPr>
            <w:tcW w:w="69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35</w:t>
            </w:r>
          </w:p>
        </w:tc>
        <w:tc>
          <w:tcPr>
            <w:tcW w:w="698" w:type="dxa"/>
            <w:vAlign w:val="center"/>
          </w:tcPr>
          <w:p>
            <w:pPr>
              <w:widowControl/>
              <w:jc w:val="center"/>
              <w:rPr>
                <w:rFonts w:hint="eastAsia" w:ascii="仿宋_GB2312" w:hAnsi="仿宋_GB2312" w:eastAsia="仿宋_GB2312" w:cs="仿宋_GB2312"/>
                <w:kern w:val="0"/>
                <w:sz w:val="20"/>
                <w:szCs w:val="20"/>
              </w:rPr>
            </w:pPr>
          </w:p>
        </w:tc>
        <w:tc>
          <w:tcPr>
            <w:tcW w:w="698" w:type="dxa"/>
            <w:vAlign w:val="center"/>
          </w:tcPr>
          <w:p>
            <w:pPr>
              <w:widowControl/>
              <w:jc w:val="center"/>
              <w:rPr>
                <w:rFonts w:hint="eastAsia" w:ascii="仿宋_GB2312" w:hAnsi="仿宋_GB2312" w:eastAsia="仿宋_GB2312" w:cs="仿宋_GB2312"/>
                <w:kern w:val="0"/>
                <w:sz w:val="20"/>
                <w:szCs w:val="20"/>
              </w:rPr>
            </w:pPr>
          </w:p>
        </w:tc>
        <w:tc>
          <w:tcPr>
            <w:tcW w:w="836" w:type="dxa"/>
            <w:vAlign w:val="center"/>
          </w:tcPr>
          <w:p>
            <w:pPr>
              <w:widowControl/>
              <w:jc w:val="center"/>
              <w:rPr>
                <w:rFonts w:hint="eastAsia" w:ascii="仿宋_GB2312" w:hAnsi="仿宋_GB2312" w:eastAsia="仿宋_GB2312" w:cs="仿宋_GB2312"/>
                <w:kern w:val="0"/>
                <w:sz w:val="20"/>
                <w:szCs w:val="20"/>
              </w:rPr>
            </w:pPr>
          </w:p>
        </w:tc>
        <w:tc>
          <w:tcPr>
            <w:tcW w:w="111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35</w:t>
            </w:r>
          </w:p>
        </w:tc>
        <w:tc>
          <w:tcPr>
            <w:tcW w:w="1390" w:type="dxa"/>
            <w:vAlign w:val="center"/>
          </w:tcPr>
          <w:p>
            <w:pPr>
              <w:widowControl/>
              <w:jc w:val="center"/>
              <w:rPr>
                <w:rFonts w:hint="eastAsia" w:ascii="仿宋_GB2312" w:hAnsi="仿宋_GB2312" w:eastAsia="仿宋_GB2312" w:cs="仿宋_GB2312"/>
                <w:kern w:val="0"/>
                <w:sz w:val="20"/>
                <w:szCs w:val="20"/>
              </w:rPr>
            </w:pPr>
          </w:p>
        </w:tc>
        <w:tc>
          <w:tcPr>
            <w:tcW w:w="83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2031</w:t>
            </w:r>
          </w:p>
        </w:tc>
        <w:tc>
          <w:tcPr>
            <w:tcW w:w="83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2034</w:t>
            </w:r>
          </w:p>
        </w:tc>
        <w:tc>
          <w:tcPr>
            <w:tcW w:w="698" w:type="dxa"/>
            <w:vAlign w:val="center"/>
          </w:tcPr>
          <w:p>
            <w:pPr>
              <w:widowControl/>
              <w:jc w:val="center"/>
              <w:rPr>
                <w:rFonts w:hint="eastAsia" w:ascii="仿宋_GB2312" w:hAnsi="仿宋_GB2312" w:eastAsia="仿宋_GB2312" w:cs="仿宋_GB2312"/>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21"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w:t>
            </w:r>
          </w:p>
        </w:tc>
        <w:tc>
          <w:tcPr>
            <w:tcW w:w="4019"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G212利州区金洞乡至昭化镇段公路</w:t>
            </w:r>
          </w:p>
        </w:tc>
        <w:tc>
          <w:tcPr>
            <w:tcW w:w="83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新改建</w:t>
            </w:r>
          </w:p>
        </w:tc>
        <w:tc>
          <w:tcPr>
            <w:tcW w:w="69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68.1</w:t>
            </w:r>
          </w:p>
        </w:tc>
        <w:tc>
          <w:tcPr>
            <w:tcW w:w="697" w:type="dxa"/>
            <w:vAlign w:val="center"/>
          </w:tcPr>
          <w:p>
            <w:pPr>
              <w:widowControl/>
              <w:jc w:val="center"/>
              <w:rPr>
                <w:rFonts w:hint="eastAsia" w:ascii="仿宋_GB2312" w:hAnsi="仿宋_GB2312" w:eastAsia="仿宋_GB2312" w:cs="仿宋_GB2312"/>
                <w:kern w:val="0"/>
                <w:sz w:val="20"/>
                <w:szCs w:val="20"/>
              </w:rPr>
            </w:pPr>
          </w:p>
        </w:tc>
        <w:tc>
          <w:tcPr>
            <w:tcW w:w="69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68.1</w:t>
            </w:r>
          </w:p>
        </w:tc>
        <w:tc>
          <w:tcPr>
            <w:tcW w:w="698" w:type="dxa"/>
            <w:vAlign w:val="center"/>
          </w:tcPr>
          <w:p>
            <w:pPr>
              <w:widowControl/>
              <w:jc w:val="center"/>
              <w:rPr>
                <w:rFonts w:hint="eastAsia" w:ascii="仿宋_GB2312" w:hAnsi="仿宋_GB2312" w:eastAsia="仿宋_GB2312" w:cs="仿宋_GB2312"/>
                <w:kern w:val="0"/>
                <w:sz w:val="20"/>
                <w:szCs w:val="20"/>
              </w:rPr>
            </w:pPr>
          </w:p>
        </w:tc>
        <w:tc>
          <w:tcPr>
            <w:tcW w:w="836" w:type="dxa"/>
            <w:vAlign w:val="center"/>
          </w:tcPr>
          <w:p>
            <w:pPr>
              <w:widowControl/>
              <w:jc w:val="center"/>
              <w:rPr>
                <w:rFonts w:hint="eastAsia" w:ascii="仿宋_GB2312" w:hAnsi="仿宋_GB2312" w:eastAsia="仿宋_GB2312" w:cs="仿宋_GB2312"/>
                <w:kern w:val="0"/>
                <w:sz w:val="20"/>
                <w:szCs w:val="20"/>
              </w:rPr>
            </w:pPr>
          </w:p>
        </w:tc>
        <w:tc>
          <w:tcPr>
            <w:tcW w:w="111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25.3</w:t>
            </w:r>
          </w:p>
        </w:tc>
        <w:tc>
          <w:tcPr>
            <w:tcW w:w="1390" w:type="dxa"/>
            <w:vAlign w:val="center"/>
          </w:tcPr>
          <w:p>
            <w:pPr>
              <w:widowControl/>
              <w:jc w:val="center"/>
              <w:rPr>
                <w:rFonts w:hint="eastAsia" w:ascii="仿宋_GB2312" w:hAnsi="仿宋_GB2312" w:eastAsia="仿宋_GB2312" w:cs="仿宋_GB2312"/>
                <w:kern w:val="0"/>
                <w:sz w:val="20"/>
                <w:szCs w:val="20"/>
              </w:rPr>
            </w:pPr>
          </w:p>
        </w:tc>
        <w:tc>
          <w:tcPr>
            <w:tcW w:w="83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2028</w:t>
            </w:r>
          </w:p>
        </w:tc>
        <w:tc>
          <w:tcPr>
            <w:tcW w:w="83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2033</w:t>
            </w:r>
          </w:p>
        </w:tc>
        <w:tc>
          <w:tcPr>
            <w:tcW w:w="698" w:type="dxa"/>
            <w:vAlign w:val="center"/>
          </w:tcPr>
          <w:p>
            <w:pPr>
              <w:widowControl/>
              <w:jc w:val="center"/>
              <w:rPr>
                <w:rFonts w:hint="eastAsia" w:ascii="仿宋_GB2312" w:hAnsi="仿宋_GB2312" w:eastAsia="仿宋_GB2312" w:cs="仿宋_GB2312"/>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440" w:type="dxa"/>
            <w:gridSpan w:val="2"/>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kern w:val="0"/>
                <w:sz w:val="20"/>
                <w:szCs w:val="20"/>
              </w:rPr>
              <w:t>二、普通省道</w:t>
            </w:r>
          </w:p>
        </w:tc>
        <w:tc>
          <w:tcPr>
            <w:tcW w:w="837" w:type="dxa"/>
            <w:vAlign w:val="center"/>
          </w:tcPr>
          <w:p>
            <w:pPr>
              <w:widowControl/>
              <w:jc w:val="center"/>
              <w:rPr>
                <w:rFonts w:hint="eastAsia" w:ascii="仿宋_GB2312" w:hAnsi="仿宋_GB2312" w:eastAsia="仿宋_GB2312" w:cs="仿宋_GB2312"/>
                <w:b/>
                <w:kern w:val="0"/>
                <w:sz w:val="20"/>
                <w:szCs w:val="20"/>
              </w:rPr>
            </w:pPr>
          </w:p>
        </w:tc>
        <w:tc>
          <w:tcPr>
            <w:tcW w:w="698"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157.4</w:t>
            </w:r>
          </w:p>
        </w:tc>
        <w:tc>
          <w:tcPr>
            <w:tcW w:w="697"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28.6</w:t>
            </w:r>
          </w:p>
        </w:tc>
        <w:tc>
          <w:tcPr>
            <w:tcW w:w="698"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79.8</w:t>
            </w:r>
          </w:p>
        </w:tc>
        <w:tc>
          <w:tcPr>
            <w:tcW w:w="698"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49</w:t>
            </w:r>
          </w:p>
        </w:tc>
        <w:tc>
          <w:tcPr>
            <w:tcW w:w="836"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0</w:t>
            </w:r>
          </w:p>
        </w:tc>
        <w:tc>
          <w:tcPr>
            <w:tcW w:w="1113"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52.3</w:t>
            </w:r>
          </w:p>
        </w:tc>
        <w:tc>
          <w:tcPr>
            <w:tcW w:w="1390"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48.9</w:t>
            </w:r>
          </w:p>
        </w:tc>
        <w:tc>
          <w:tcPr>
            <w:tcW w:w="836" w:type="dxa"/>
            <w:vAlign w:val="center"/>
          </w:tcPr>
          <w:p>
            <w:pPr>
              <w:widowControl/>
              <w:jc w:val="center"/>
              <w:rPr>
                <w:rFonts w:hint="eastAsia" w:ascii="仿宋_GB2312" w:hAnsi="仿宋_GB2312" w:eastAsia="仿宋_GB2312" w:cs="仿宋_GB2312"/>
                <w:b/>
                <w:kern w:val="0"/>
                <w:sz w:val="20"/>
                <w:szCs w:val="20"/>
              </w:rPr>
            </w:pPr>
          </w:p>
        </w:tc>
        <w:tc>
          <w:tcPr>
            <w:tcW w:w="837" w:type="dxa"/>
            <w:vAlign w:val="center"/>
          </w:tcPr>
          <w:p>
            <w:pPr>
              <w:widowControl/>
              <w:jc w:val="center"/>
              <w:rPr>
                <w:rFonts w:hint="eastAsia" w:ascii="仿宋_GB2312" w:hAnsi="仿宋_GB2312" w:eastAsia="仿宋_GB2312" w:cs="仿宋_GB2312"/>
                <w:b/>
                <w:kern w:val="0"/>
                <w:sz w:val="20"/>
                <w:szCs w:val="20"/>
              </w:rPr>
            </w:pPr>
          </w:p>
        </w:tc>
        <w:tc>
          <w:tcPr>
            <w:tcW w:w="698" w:type="dxa"/>
            <w:vAlign w:val="center"/>
          </w:tcPr>
          <w:p>
            <w:pPr>
              <w:widowControl/>
              <w:jc w:val="center"/>
              <w:rPr>
                <w:rFonts w:hint="eastAsia" w:ascii="仿宋_GB2312" w:hAnsi="仿宋_GB2312" w:eastAsia="仿宋_GB2312" w:cs="仿宋_GB2312"/>
                <w:b/>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440" w:type="dxa"/>
            <w:gridSpan w:val="2"/>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kern w:val="0"/>
                <w:sz w:val="20"/>
                <w:szCs w:val="20"/>
              </w:rPr>
              <w:t>1．续建项目</w:t>
            </w:r>
          </w:p>
        </w:tc>
        <w:tc>
          <w:tcPr>
            <w:tcW w:w="837" w:type="dxa"/>
            <w:vAlign w:val="center"/>
          </w:tcPr>
          <w:p>
            <w:pPr>
              <w:widowControl/>
              <w:jc w:val="center"/>
              <w:rPr>
                <w:rFonts w:hint="eastAsia" w:ascii="仿宋_GB2312" w:hAnsi="仿宋_GB2312" w:eastAsia="仿宋_GB2312" w:cs="仿宋_GB2312"/>
                <w:b/>
                <w:kern w:val="0"/>
                <w:sz w:val="20"/>
                <w:szCs w:val="20"/>
              </w:rPr>
            </w:pPr>
          </w:p>
        </w:tc>
        <w:tc>
          <w:tcPr>
            <w:tcW w:w="698"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26.1</w:t>
            </w:r>
          </w:p>
        </w:tc>
        <w:tc>
          <w:tcPr>
            <w:tcW w:w="697"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0</w:t>
            </w:r>
          </w:p>
        </w:tc>
        <w:tc>
          <w:tcPr>
            <w:tcW w:w="698"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26.1</w:t>
            </w:r>
          </w:p>
        </w:tc>
        <w:tc>
          <w:tcPr>
            <w:tcW w:w="698"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0</w:t>
            </w:r>
          </w:p>
        </w:tc>
        <w:tc>
          <w:tcPr>
            <w:tcW w:w="836"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0</w:t>
            </w:r>
          </w:p>
        </w:tc>
        <w:tc>
          <w:tcPr>
            <w:tcW w:w="1113"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2.6</w:t>
            </w:r>
          </w:p>
        </w:tc>
        <w:tc>
          <w:tcPr>
            <w:tcW w:w="1390"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0.9</w:t>
            </w:r>
          </w:p>
        </w:tc>
        <w:tc>
          <w:tcPr>
            <w:tcW w:w="836" w:type="dxa"/>
            <w:vAlign w:val="center"/>
          </w:tcPr>
          <w:p>
            <w:pPr>
              <w:widowControl/>
              <w:jc w:val="center"/>
              <w:rPr>
                <w:rFonts w:hint="eastAsia" w:ascii="仿宋_GB2312" w:hAnsi="仿宋_GB2312" w:eastAsia="仿宋_GB2312" w:cs="仿宋_GB2312"/>
                <w:b/>
                <w:kern w:val="0"/>
                <w:sz w:val="20"/>
                <w:szCs w:val="20"/>
              </w:rPr>
            </w:pPr>
          </w:p>
        </w:tc>
        <w:tc>
          <w:tcPr>
            <w:tcW w:w="837" w:type="dxa"/>
            <w:vAlign w:val="center"/>
          </w:tcPr>
          <w:p>
            <w:pPr>
              <w:widowControl/>
              <w:jc w:val="center"/>
              <w:rPr>
                <w:rFonts w:hint="eastAsia" w:ascii="仿宋_GB2312" w:hAnsi="仿宋_GB2312" w:eastAsia="仿宋_GB2312" w:cs="仿宋_GB2312"/>
                <w:b/>
                <w:kern w:val="0"/>
                <w:sz w:val="20"/>
                <w:szCs w:val="20"/>
              </w:rPr>
            </w:pPr>
          </w:p>
        </w:tc>
        <w:tc>
          <w:tcPr>
            <w:tcW w:w="698" w:type="dxa"/>
            <w:vAlign w:val="center"/>
          </w:tcPr>
          <w:p>
            <w:pPr>
              <w:widowControl/>
              <w:jc w:val="center"/>
              <w:rPr>
                <w:rFonts w:hint="eastAsia" w:ascii="仿宋_GB2312" w:hAnsi="仿宋_GB2312" w:eastAsia="仿宋_GB2312" w:cs="仿宋_GB2312"/>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21"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4019"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S301利州区三堆镇（羊盘至观音店）段改建工程</w:t>
            </w:r>
          </w:p>
        </w:tc>
        <w:tc>
          <w:tcPr>
            <w:tcW w:w="83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升级</w:t>
            </w:r>
          </w:p>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改造</w:t>
            </w:r>
          </w:p>
        </w:tc>
        <w:tc>
          <w:tcPr>
            <w:tcW w:w="69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bCs/>
                <w:sz w:val="20"/>
                <w:szCs w:val="20"/>
              </w:rPr>
              <w:t>26.1</w:t>
            </w:r>
          </w:p>
        </w:tc>
        <w:tc>
          <w:tcPr>
            <w:tcW w:w="697" w:type="dxa"/>
            <w:vAlign w:val="center"/>
          </w:tcPr>
          <w:p>
            <w:pPr>
              <w:widowControl/>
              <w:jc w:val="center"/>
              <w:rPr>
                <w:rFonts w:hint="eastAsia" w:ascii="仿宋_GB2312" w:hAnsi="仿宋_GB2312" w:eastAsia="仿宋_GB2312" w:cs="仿宋_GB2312"/>
                <w:kern w:val="0"/>
                <w:sz w:val="20"/>
                <w:szCs w:val="20"/>
              </w:rPr>
            </w:pPr>
          </w:p>
        </w:tc>
        <w:tc>
          <w:tcPr>
            <w:tcW w:w="69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bCs/>
                <w:sz w:val="20"/>
                <w:szCs w:val="20"/>
              </w:rPr>
              <w:t>26.1</w:t>
            </w:r>
          </w:p>
        </w:tc>
        <w:tc>
          <w:tcPr>
            <w:tcW w:w="698" w:type="dxa"/>
            <w:vAlign w:val="center"/>
          </w:tcPr>
          <w:p>
            <w:pPr>
              <w:widowControl/>
              <w:jc w:val="center"/>
              <w:rPr>
                <w:rFonts w:hint="eastAsia" w:ascii="仿宋_GB2312" w:hAnsi="仿宋_GB2312" w:eastAsia="仿宋_GB2312" w:cs="仿宋_GB2312"/>
                <w:kern w:val="0"/>
                <w:sz w:val="20"/>
                <w:szCs w:val="20"/>
              </w:rPr>
            </w:pPr>
          </w:p>
        </w:tc>
        <w:tc>
          <w:tcPr>
            <w:tcW w:w="836" w:type="dxa"/>
            <w:vAlign w:val="center"/>
          </w:tcPr>
          <w:p>
            <w:pPr>
              <w:widowControl/>
              <w:jc w:val="center"/>
              <w:rPr>
                <w:rFonts w:hint="eastAsia" w:ascii="仿宋_GB2312" w:hAnsi="仿宋_GB2312" w:eastAsia="仿宋_GB2312" w:cs="仿宋_GB2312"/>
                <w:kern w:val="0"/>
                <w:sz w:val="20"/>
                <w:szCs w:val="20"/>
              </w:rPr>
            </w:pPr>
          </w:p>
        </w:tc>
        <w:tc>
          <w:tcPr>
            <w:tcW w:w="111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bCs/>
                <w:sz w:val="20"/>
                <w:szCs w:val="20"/>
              </w:rPr>
              <w:t>2.6</w:t>
            </w:r>
          </w:p>
        </w:tc>
        <w:tc>
          <w:tcPr>
            <w:tcW w:w="139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bCs/>
                <w:sz w:val="20"/>
                <w:szCs w:val="20"/>
              </w:rPr>
              <w:t>0.9</w:t>
            </w:r>
          </w:p>
        </w:tc>
        <w:tc>
          <w:tcPr>
            <w:tcW w:w="83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2017</w:t>
            </w:r>
          </w:p>
        </w:tc>
        <w:tc>
          <w:tcPr>
            <w:tcW w:w="83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2022</w:t>
            </w:r>
          </w:p>
        </w:tc>
        <w:tc>
          <w:tcPr>
            <w:tcW w:w="698" w:type="dxa"/>
            <w:vAlign w:val="center"/>
          </w:tcPr>
          <w:p>
            <w:pPr>
              <w:widowControl/>
              <w:jc w:val="center"/>
              <w:rPr>
                <w:rFonts w:hint="eastAsia" w:ascii="仿宋_GB2312" w:hAnsi="仿宋_GB2312" w:eastAsia="仿宋_GB2312" w:cs="仿宋_GB2312"/>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440" w:type="dxa"/>
            <w:gridSpan w:val="2"/>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kern w:val="0"/>
                <w:sz w:val="20"/>
                <w:szCs w:val="20"/>
              </w:rPr>
              <w:t>2．新开工项目</w:t>
            </w:r>
          </w:p>
        </w:tc>
        <w:tc>
          <w:tcPr>
            <w:tcW w:w="837" w:type="dxa"/>
            <w:vAlign w:val="center"/>
          </w:tcPr>
          <w:p>
            <w:pPr>
              <w:widowControl/>
              <w:jc w:val="center"/>
              <w:rPr>
                <w:rFonts w:hint="eastAsia" w:ascii="仿宋_GB2312" w:hAnsi="仿宋_GB2312" w:eastAsia="仿宋_GB2312" w:cs="仿宋_GB2312"/>
                <w:b/>
                <w:kern w:val="0"/>
                <w:sz w:val="20"/>
                <w:szCs w:val="20"/>
              </w:rPr>
            </w:pPr>
          </w:p>
        </w:tc>
        <w:tc>
          <w:tcPr>
            <w:tcW w:w="698"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kern w:val="0"/>
                <w:sz w:val="20"/>
                <w:szCs w:val="20"/>
              </w:rPr>
              <w:t>124.3</w:t>
            </w:r>
          </w:p>
        </w:tc>
        <w:tc>
          <w:tcPr>
            <w:tcW w:w="697"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28.6</w:t>
            </w:r>
          </w:p>
        </w:tc>
        <w:tc>
          <w:tcPr>
            <w:tcW w:w="698"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46.7</w:t>
            </w:r>
          </w:p>
        </w:tc>
        <w:tc>
          <w:tcPr>
            <w:tcW w:w="698"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49</w:t>
            </w:r>
          </w:p>
        </w:tc>
        <w:tc>
          <w:tcPr>
            <w:tcW w:w="836"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0</w:t>
            </w:r>
          </w:p>
        </w:tc>
        <w:tc>
          <w:tcPr>
            <w:tcW w:w="1113"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48</w:t>
            </w:r>
          </w:p>
        </w:tc>
        <w:tc>
          <w:tcPr>
            <w:tcW w:w="1390"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48</w:t>
            </w:r>
          </w:p>
        </w:tc>
        <w:tc>
          <w:tcPr>
            <w:tcW w:w="836" w:type="dxa"/>
            <w:vAlign w:val="center"/>
          </w:tcPr>
          <w:p>
            <w:pPr>
              <w:widowControl/>
              <w:jc w:val="center"/>
              <w:rPr>
                <w:rFonts w:hint="eastAsia" w:ascii="仿宋_GB2312" w:hAnsi="仿宋_GB2312" w:eastAsia="仿宋_GB2312" w:cs="仿宋_GB2312"/>
                <w:b/>
                <w:kern w:val="0"/>
                <w:sz w:val="20"/>
                <w:szCs w:val="20"/>
              </w:rPr>
            </w:pPr>
          </w:p>
        </w:tc>
        <w:tc>
          <w:tcPr>
            <w:tcW w:w="837" w:type="dxa"/>
            <w:vAlign w:val="center"/>
          </w:tcPr>
          <w:p>
            <w:pPr>
              <w:widowControl/>
              <w:jc w:val="center"/>
              <w:rPr>
                <w:rFonts w:hint="eastAsia" w:ascii="仿宋_GB2312" w:hAnsi="仿宋_GB2312" w:eastAsia="仿宋_GB2312" w:cs="仿宋_GB2312"/>
                <w:b/>
                <w:kern w:val="0"/>
                <w:sz w:val="20"/>
                <w:szCs w:val="20"/>
              </w:rPr>
            </w:pPr>
          </w:p>
        </w:tc>
        <w:tc>
          <w:tcPr>
            <w:tcW w:w="698" w:type="dxa"/>
            <w:vAlign w:val="center"/>
          </w:tcPr>
          <w:p>
            <w:pPr>
              <w:widowControl/>
              <w:jc w:val="center"/>
              <w:rPr>
                <w:rFonts w:hint="eastAsia" w:ascii="仿宋_GB2312" w:hAnsi="仿宋_GB2312" w:eastAsia="仿宋_GB2312" w:cs="仿宋_GB2312"/>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21"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4019"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S416朝天区麻柳至利州区大石段新建工程（黑石坡至曾家山旅游公路）</w:t>
            </w:r>
          </w:p>
        </w:tc>
        <w:tc>
          <w:tcPr>
            <w:tcW w:w="83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新建</w:t>
            </w:r>
          </w:p>
        </w:tc>
        <w:tc>
          <w:tcPr>
            <w:tcW w:w="69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28.6</w:t>
            </w:r>
          </w:p>
        </w:tc>
        <w:tc>
          <w:tcPr>
            <w:tcW w:w="69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28.6</w:t>
            </w:r>
          </w:p>
        </w:tc>
        <w:tc>
          <w:tcPr>
            <w:tcW w:w="698" w:type="dxa"/>
            <w:vAlign w:val="center"/>
          </w:tcPr>
          <w:p>
            <w:pPr>
              <w:widowControl/>
              <w:jc w:val="center"/>
              <w:rPr>
                <w:rFonts w:hint="eastAsia" w:ascii="仿宋_GB2312" w:hAnsi="仿宋_GB2312" w:eastAsia="仿宋_GB2312" w:cs="仿宋_GB2312"/>
                <w:kern w:val="0"/>
                <w:sz w:val="20"/>
                <w:szCs w:val="20"/>
              </w:rPr>
            </w:pPr>
          </w:p>
        </w:tc>
        <w:tc>
          <w:tcPr>
            <w:tcW w:w="698" w:type="dxa"/>
            <w:vAlign w:val="center"/>
          </w:tcPr>
          <w:p>
            <w:pPr>
              <w:widowControl/>
              <w:jc w:val="center"/>
              <w:rPr>
                <w:rFonts w:hint="eastAsia" w:ascii="仿宋_GB2312" w:hAnsi="仿宋_GB2312" w:eastAsia="仿宋_GB2312" w:cs="仿宋_GB2312"/>
                <w:kern w:val="0"/>
                <w:sz w:val="20"/>
                <w:szCs w:val="20"/>
              </w:rPr>
            </w:pPr>
          </w:p>
        </w:tc>
        <w:tc>
          <w:tcPr>
            <w:tcW w:w="836" w:type="dxa"/>
            <w:vAlign w:val="center"/>
          </w:tcPr>
          <w:p>
            <w:pPr>
              <w:widowControl/>
              <w:jc w:val="center"/>
              <w:rPr>
                <w:rFonts w:hint="eastAsia" w:ascii="仿宋_GB2312" w:hAnsi="仿宋_GB2312" w:eastAsia="仿宋_GB2312" w:cs="仿宋_GB2312"/>
                <w:kern w:val="0"/>
                <w:sz w:val="20"/>
                <w:szCs w:val="20"/>
              </w:rPr>
            </w:pPr>
          </w:p>
        </w:tc>
        <w:tc>
          <w:tcPr>
            <w:tcW w:w="111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31.2</w:t>
            </w:r>
          </w:p>
        </w:tc>
        <w:tc>
          <w:tcPr>
            <w:tcW w:w="139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31.2</w:t>
            </w:r>
          </w:p>
        </w:tc>
        <w:tc>
          <w:tcPr>
            <w:tcW w:w="83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2022</w:t>
            </w:r>
          </w:p>
        </w:tc>
        <w:tc>
          <w:tcPr>
            <w:tcW w:w="83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2025</w:t>
            </w:r>
          </w:p>
        </w:tc>
        <w:tc>
          <w:tcPr>
            <w:tcW w:w="698" w:type="dxa"/>
            <w:vAlign w:val="center"/>
          </w:tcPr>
          <w:p>
            <w:pPr>
              <w:widowControl/>
              <w:jc w:val="center"/>
              <w:rPr>
                <w:rFonts w:hint="eastAsia" w:ascii="仿宋_GB2312" w:hAnsi="仿宋_GB2312" w:eastAsia="仿宋_GB2312" w:cs="仿宋_GB2312"/>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21"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w:t>
            </w:r>
          </w:p>
        </w:tc>
        <w:tc>
          <w:tcPr>
            <w:tcW w:w="4019"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S416广元城区至三堆段改建工程</w:t>
            </w:r>
          </w:p>
        </w:tc>
        <w:tc>
          <w:tcPr>
            <w:tcW w:w="83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升级</w:t>
            </w:r>
          </w:p>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改造</w:t>
            </w:r>
          </w:p>
        </w:tc>
        <w:tc>
          <w:tcPr>
            <w:tcW w:w="69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35.7</w:t>
            </w:r>
          </w:p>
        </w:tc>
        <w:tc>
          <w:tcPr>
            <w:tcW w:w="697" w:type="dxa"/>
            <w:vAlign w:val="center"/>
          </w:tcPr>
          <w:p>
            <w:pPr>
              <w:widowControl/>
              <w:jc w:val="center"/>
              <w:rPr>
                <w:rFonts w:hint="eastAsia" w:ascii="仿宋_GB2312" w:hAnsi="仿宋_GB2312" w:eastAsia="仿宋_GB2312" w:cs="仿宋_GB2312"/>
                <w:kern w:val="0"/>
                <w:sz w:val="20"/>
                <w:szCs w:val="20"/>
              </w:rPr>
            </w:pPr>
          </w:p>
        </w:tc>
        <w:tc>
          <w:tcPr>
            <w:tcW w:w="69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35.7</w:t>
            </w:r>
          </w:p>
        </w:tc>
        <w:tc>
          <w:tcPr>
            <w:tcW w:w="698" w:type="dxa"/>
            <w:vAlign w:val="center"/>
          </w:tcPr>
          <w:p>
            <w:pPr>
              <w:widowControl/>
              <w:jc w:val="center"/>
              <w:rPr>
                <w:rFonts w:hint="eastAsia" w:ascii="仿宋_GB2312" w:hAnsi="仿宋_GB2312" w:eastAsia="仿宋_GB2312" w:cs="仿宋_GB2312"/>
                <w:kern w:val="0"/>
                <w:sz w:val="20"/>
                <w:szCs w:val="20"/>
              </w:rPr>
            </w:pPr>
          </w:p>
        </w:tc>
        <w:tc>
          <w:tcPr>
            <w:tcW w:w="836" w:type="dxa"/>
            <w:vAlign w:val="center"/>
          </w:tcPr>
          <w:p>
            <w:pPr>
              <w:widowControl/>
              <w:jc w:val="center"/>
              <w:rPr>
                <w:rFonts w:hint="eastAsia" w:ascii="仿宋_GB2312" w:hAnsi="仿宋_GB2312" w:eastAsia="仿宋_GB2312" w:cs="仿宋_GB2312"/>
                <w:kern w:val="0"/>
                <w:sz w:val="20"/>
                <w:szCs w:val="20"/>
              </w:rPr>
            </w:pPr>
          </w:p>
        </w:tc>
        <w:tc>
          <w:tcPr>
            <w:tcW w:w="111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7.6</w:t>
            </w:r>
          </w:p>
        </w:tc>
        <w:tc>
          <w:tcPr>
            <w:tcW w:w="139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7.6</w:t>
            </w:r>
          </w:p>
        </w:tc>
        <w:tc>
          <w:tcPr>
            <w:tcW w:w="83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2021</w:t>
            </w:r>
          </w:p>
        </w:tc>
        <w:tc>
          <w:tcPr>
            <w:tcW w:w="83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2023</w:t>
            </w:r>
          </w:p>
        </w:tc>
        <w:tc>
          <w:tcPr>
            <w:tcW w:w="698" w:type="dxa"/>
            <w:vAlign w:val="center"/>
          </w:tcPr>
          <w:p>
            <w:pPr>
              <w:widowControl/>
              <w:jc w:val="center"/>
              <w:rPr>
                <w:rFonts w:hint="eastAsia" w:ascii="仿宋_GB2312" w:hAnsi="仿宋_GB2312" w:eastAsia="仿宋_GB2312" w:cs="仿宋_GB2312"/>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21"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w:t>
            </w:r>
          </w:p>
        </w:tc>
        <w:tc>
          <w:tcPr>
            <w:tcW w:w="4019" w:type="dxa"/>
            <w:vAlign w:val="center"/>
          </w:tcPr>
          <w:p>
            <w:pPr>
              <w:widowControl/>
              <w:jc w:val="lef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S205朝天区云雾山（川陕界）至利州区塔山湾段改建工程</w:t>
            </w:r>
          </w:p>
        </w:tc>
        <w:tc>
          <w:tcPr>
            <w:tcW w:w="83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升级</w:t>
            </w:r>
          </w:p>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改造</w:t>
            </w:r>
          </w:p>
        </w:tc>
        <w:tc>
          <w:tcPr>
            <w:tcW w:w="69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11</w:t>
            </w:r>
          </w:p>
        </w:tc>
        <w:tc>
          <w:tcPr>
            <w:tcW w:w="697" w:type="dxa"/>
            <w:vAlign w:val="center"/>
          </w:tcPr>
          <w:p>
            <w:pPr>
              <w:widowControl/>
              <w:jc w:val="center"/>
              <w:rPr>
                <w:rFonts w:hint="eastAsia" w:ascii="仿宋_GB2312" w:hAnsi="仿宋_GB2312" w:eastAsia="仿宋_GB2312" w:cs="仿宋_GB2312"/>
                <w:kern w:val="0"/>
                <w:sz w:val="20"/>
                <w:szCs w:val="20"/>
              </w:rPr>
            </w:pPr>
          </w:p>
        </w:tc>
        <w:tc>
          <w:tcPr>
            <w:tcW w:w="69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11</w:t>
            </w:r>
          </w:p>
        </w:tc>
        <w:tc>
          <w:tcPr>
            <w:tcW w:w="698" w:type="dxa"/>
            <w:vAlign w:val="center"/>
          </w:tcPr>
          <w:p>
            <w:pPr>
              <w:widowControl/>
              <w:jc w:val="center"/>
              <w:rPr>
                <w:rFonts w:hint="eastAsia" w:ascii="仿宋_GB2312" w:hAnsi="仿宋_GB2312" w:eastAsia="仿宋_GB2312" w:cs="仿宋_GB2312"/>
                <w:kern w:val="0"/>
                <w:sz w:val="20"/>
                <w:szCs w:val="20"/>
              </w:rPr>
            </w:pPr>
          </w:p>
        </w:tc>
        <w:tc>
          <w:tcPr>
            <w:tcW w:w="836" w:type="dxa"/>
            <w:vAlign w:val="center"/>
          </w:tcPr>
          <w:p>
            <w:pPr>
              <w:widowControl/>
              <w:jc w:val="center"/>
              <w:rPr>
                <w:rFonts w:hint="eastAsia" w:ascii="仿宋_GB2312" w:hAnsi="仿宋_GB2312" w:eastAsia="仿宋_GB2312" w:cs="仿宋_GB2312"/>
                <w:kern w:val="0"/>
                <w:sz w:val="20"/>
                <w:szCs w:val="20"/>
              </w:rPr>
            </w:pPr>
          </w:p>
        </w:tc>
        <w:tc>
          <w:tcPr>
            <w:tcW w:w="111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2.2</w:t>
            </w:r>
          </w:p>
        </w:tc>
        <w:tc>
          <w:tcPr>
            <w:tcW w:w="139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2.2</w:t>
            </w:r>
          </w:p>
        </w:tc>
        <w:tc>
          <w:tcPr>
            <w:tcW w:w="83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2022</w:t>
            </w:r>
          </w:p>
        </w:tc>
        <w:tc>
          <w:tcPr>
            <w:tcW w:w="83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2025</w:t>
            </w:r>
          </w:p>
        </w:tc>
        <w:tc>
          <w:tcPr>
            <w:tcW w:w="698" w:type="dxa"/>
            <w:vAlign w:val="center"/>
          </w:tcPr>
          <w:p>
            <w:pPr>
              <w:widowControl/>
              <w:jc w:val="center"/>
              <w:rPr>
                <w:rFonts w:hint="eastAsia" w:ascii="仿宋_GB2312" w:hAnsi="仿宋_GB2312" w:eastAsia="仿宋_GB2312" w:cs="仿宋_GB2312"/>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21"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w:t>
            </w:r>
          </w:p>
        </w:tc>
        <w:tc>
          <w:tcPr>
            <w:tcW w:w="4019" w:type="dxa"/>
            <w:vAlign w:val="center"/>
          </w:tcPr>
          <w:p>
            <w:pPr>
              <w:widowControl/>
              <w:jc w:val="lef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S416利州三堆至白朝段改建工程</w:t>
            </w:r>
          </w:p>
        </w:tc>
        <w:tc>
          <w:tcPr>
            <w:tcW w:w="83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改建</w:t>
            </w:r>
          </w:p>
        </w:tc>
        <w:tc>
          <w:tcPr>
            <w:tcW w:w="69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23</w:t>
            </w:r>
          </w:p>
        </w:tc>
        <w:tc>
          <w:tcPr>
            <w:tcW w:w="697" w:type="dxa"/>
            <w:vAlign w:val="center"/>
          </w:tcPr>
          <w:p>
            <w:pPr>
              <w:widowControl/>
              <w:jc w:val="center"/>
              <w:rPr>
                <w:rFonts w:hint="eastAsia" w:ascii="仿宋_GB2312" w:hAnsi="仿宋_GB2312" w:eastAsia="仿宋_GB2312" w:cs="仿宋_GB2312"/>
                <w:kern w:val="0"/>
                <w:sz w:val="20"/>
                <w:szCs w:val="20"/>
              </w:rPr>
            </w:pPr>
          </w:p>
        </w:tc>
        <w:tc>
          <w:tcPr>
            <w:tcW w:w="698" w:type="dxa"/>
            <w:vAlign w:val="center"/>
          </w:tcPr>
          <w:p>
            <w:pPr>
              <w:widowControl/>
              <w:jc w:val="center"/>
              <w:rPr>
                <w:rFonts w:hint="eastAsia" w:ascii="仿宋_GB2312" w:hAnsi="仿宋_GB2312" w:eastAsia="仿宋_GB2312" w:cs="仿宋_GB2312"/>
                <w:kern w:val="0"/>
                <w:sz w:val="20"/>
                <w:szCs w:val="20"/>
              </w:rPr>
            </w:pPr>
          </w:p>
        </w:tc>
        <w:tc>
          <w:tcPr>
            <w:tcW w:w="69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23</w:t>
            </w:r>
          </w:p>
        </w:tc>
        <w:tc>
          <w:tcPr>
            <w:tcW w:w="836" w:type="dxa"/>
            <w:vAlign w:val="center"/>
          </w:tcPr>
          <w:p>
            <w:pPr>
              <w:widowControl/>
              <w:jc w:val="center"/>
              <w:rPr>
                <w:rFonts w:hint="eastAsia" w:ascii="仿宋_GB2312" w:hAnsi="仿宋_GB2312" w:eastAsia="仿宋_GB2312" w:cs="仿宋_GB2312"/>
                <w:kern w:val="0"/>
                <w:sz w:val="20"/>
                <w:szCs w:val="20"/>
              </w:rPr>
            </w:pPr>
          </w:p>
        </w:tc>
        <w:tc>
          <w:tcPr>
            <w:tcW w:w="111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2.3</w:t>
            </w:r>
          </w:p>
        </w:tc>
        <w:tc>
          <w:tcPr>
            <w:tcW w:w="139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2.3</w:t>
            </w:r>
          </w:p>
        </w:tc>
        <w:tc>
          <w:tcPr>
            <w:tcW w:w="83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2023</w:t>
            </w:r>
          </w:p>
        </w:tc>
        <w:tc>
          <w:tcPr>
            <w:tcW w:w="83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2024</w:t>
            </w:r>
          </w:p>
        </w:tc>
        <w:tc>
          <w:tcPr>
            <w:tcW w:w="698" w:type="dxa"/>
            <w:vAlign w:val="center"/>
          </w:tcPr>
          <w:p>
            <w:pPr>
              <w:widowControl/>
              <w:jc w:val="center"/>
              <w:rPr>
                <w:rFonts w:hint="eastAsia" w:ascii="仿宋_GB2312" w:hAnsi="仿宋_GB2312" w:eastAsia="仿宋_GB2312" w:cs="仿宋_GB2312"/>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24" w:hRule="exact"/>
          <w:jc w:val="center"/>
        </w:trPr>
        <w:tc>
          <w:tcPr>
            <w:tcW w:w="421"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kern w:val="0"/>
                <w:sz w:val="20"/>
                <w:szCs w:val="20"/>
              </w:rPr>
              <w:t>5</w:t>
            </w:r>
          </w:p>
        </w:tc>
        <w:tc>
          <w:tcPr>
            <w:tcW w:w="4019"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S416利州区白朝乡至青川县建峰乡公路改建工程</w:t>
            </w:r>
          </w:p>
          <w:p>
            <w:pPr>
              <w:widowControl/>
              <w:jc w:val="center"/>
              <w:rPr>
                <w:rFonts w:hint="eastAsia" w:ascii="仿宋_GB2312" w:hAnsi="仿宋_GB2312" w:eastAsia="仿宋_GB2312" w:cs="仿宋_GB2312"/>
                <w:b/>
                <w:kern w:val="0"/>
                <w:sz w:val="20"/>
                <w:szCs w:val="20"/>
              </w:rPr>
            </w:pPr>
          </w:p>
        </w:tc>
        <w:tc>
          <w:tcPr>
            <w:tcW w:w="837"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kern w:val="0"/>
                <w:sz w:val="20"/>
                <w:szCs w:val="20"/>
              </w:rPr>
              <w:t>改建</w:t>
            </w:r>
          </w:p>
        </w:tc>
        <w:tc>
          <w:tcPr>
            <w:tcW w:w="69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26</w:t>
            </w:r>
          </w:p>
        </w:tc>
        <w:tc>
          <w:tcPr>
            <w:tcW w:w="697" w:type="dxa"/>
            <w:vAlign w:val="center"/>
          </w:tcPr>
          <w:p>
            <w:pPr>
              <w:widowControl/>
              <w:jc w:val="center"/>
              <w:rPr>
                <w:rFonts w:hint="eastAsia" w:ascii="仿宋_GB2312" w:hAnsi="仿宋_GB2312" w:eastAsia="仿宋_GB2312" w:cs="仿宋_GB2312"/>
                <w:kern w:val="0"/>
                <w:sz w:val="20"/>
                <w:szCs w:val="20"/>
              </w:rPr>
            </w:pPr>
          </w:p>
        </w:tc>
        <w:tc>
          <w:tcPr>
            <w:tcW w:w="698" w:type="dxa"/>
            <w:vAlign w:val="center"/>
          </w:tcPr>
          <w:p>
            <w:pPr>
              <w:widowControl/>
              <w:jc w:val="center"/>
              <w:rPr>
                <w:rFonts w:hint="eastAsia" w:ascii="仿宋_GB2312" w:hAnsi="仿宋_GB2312" w:eastAsia="仿宋_GB2312" w:cs="仿宋_GB2312"/>
                <w:kern w:val="0"/>
                <w:sz w:val="20"/>
                <w:szCs w:val="20"/>
              </w:rPr>
            </w:pPr>
          </w:p>
        </w:tc>
        <w:tc>
          <w:tcPr>
            <w:tcW w:w="69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26</w:t>
            </w:r>
          </w:p>
        </w:tc>
        <w:tc>
          <w:tcPr>
            <w:tcW w:w="836" w:type="dxa"/>
            <w:vAlign w:val="center"/>
          </w:tcPr>
          <w:p>
            <w:pPr>
              <w:widowControl/>
              <w:jc w:val="center"/>
              <w:rPr>
                <w:rFonts w:hint="eastAsia" w:ascii="仿宋_GB2312" w:hAnsi="仿宋_GB2312" w:eastAsia="仿宋_GB2312" w:cs="仿宋_GB2312"/>
                <w:kern w:val="0"/>
                <w:sz w:val="20"/>
                <w:szCs w:val="20"/>
              </w:rPr>
            </w:pPr>
          </w:p>
        </w:tc>
        <w:tc>
          <w:tcPr>
            <w:tcW w:w="111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4.7</w:t>
            </w:r>
          </w:p>
        </w:tc>
        <w:tc>
          <w:tcPr>
            <w:tcW w:w="139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4.7</w:t>
            </w:r>
          </w:p>
        </w:tc>
        <w:tc>
          <w:tcPr>
            <w:tcW w:w="83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2022</w:t>
            </w:r>
          </w:p>
        </w:tc>
        <w:tc>
          <w:tcPr>
            <w:tcW w:w="83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2025</w:t>
            </w:r>
          </w:p>
        </w:tc>
        <w:tc>
          <w:tcPr>
            <w:tcW w:w="698" w:type="dxa"/>
            <w:vAlign w:val="center"/>
          </w:tcPr>
          <w:p>
            <w:pPr>
              <w:widowControl/>
              <w:jc w:val="center"/>
              <w:rPr>
                <w:rFonts w:hint="eastAsia" w:ascii="仿宋_GB2312" w:hAnsi="仿宋_GB2312" w:eastAsia="仿宋_GB2312" w:cs="仿宋_GB2312"/>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440" w:type="dxa"/>
            <w:gridSpan w:val="2"/>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kern w:val="0"/>
                <w:sz w:val="20"/>
                <w:szCs w:val="20"/>
              </w:rPr>
              <w:t>3．远期规划项目</w:t>
            </w:r>
          </w:p>
        </w:tc>
        <w:tc>
          <w:tcPr>
            <w:tcW w:w="837" w:type="dxa"/>
            <w:vAlign w:val="center"/>
          </w:tcPr>
          <w:p>
            <w:pPr>
              <w:widowControl/>
              <w:jc w:val="center"/>
              <w:rPr>
                <w:rFonts w:hint="eastAsia" w:ascii="仿宋_GB2312" w:hAnsi="仿宋_GB2312" w:eastAsia="仿宋_GB2312" w:cs="仿宋_GB2312"/>
                <w:b/>
                <w:kern w:val="0"/>
                <w:sz w:val="20"/>
                <w:szCs w:val="20"/>
              </w:rPr>
            </w:pPr>
          </w:p>
        </w:tc>
        <w:tc>
          <w:tcPr>
            <w:tcW w:w="698"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7</w:t>
            </w:r>
          </w:p>
        </w:tc>
        <w:tc>
          <w:tcPr>
            <w:tcW w:w="697"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0</w:t>
            </w:r>
          </w:p>
        </w:tc>
        <w:tc>
          <w:tcPr>
            <w:tcW w:w="698"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7</w:t>
            </w:r>
          </w:p>
        </w:tc>
        <w:tc>
          <w:tcPr>
            <w:tcW w:w="698"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0</w:t>
            </w:r>
          </w:p>
        </w:tc>
        <w:tc>
          <w:tcPr>
            <w:tcW w:w="836"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0</w:t>
            </w:r>
          </w:p>
        </w:tc>
        <w:tc>
          <w:tcPr>
            <w:tcW w:w="1113"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1.7</w:t>
            </w:r>
          </w:p>
        </w:tc>
        <w:tc>
          <w:tcPr>
            <w:tcW w:w="1390"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0</w:t>
            </w:r>
          </w:p>
        </w:tc>
        <w:tc>
          <w:tcPr>
            <w:tcW w:w="836" w:type="dxa"/>
            <w:vAlign w:val="center"/>
          </w:tcPr>
          <w:p>
            <w:pPr>
              <w:widowControl/>
              <w:jc w:val="center"/>
              <w:rPr>
                <w:rFonts w:hint="eastAsia" w:ascii="仿宋_GB2312" w:hAnsi="仿宋_GB2312" w:eastAsia="仿宋_GB2312" w:cs="仿宋_GB2312"/>
                <w:b/>
                <w:kern w:val="0"/>
                <w:sz w:val="20"/>
                <w:szCs w:val="20"/>
              </w:rPr>
            </w:pPr>
          </w:p>
        </w:tc>
        <w:tc>
          <w:tcPr>
            <w:tcW w:w="837" w:type="dxa"/>
            <w:vAlign w:val="center"/>
          </w:tcPr>
          <w:p>
            <w:pPr>
              <w:widowControl/>
              <w:jc w:val="center"/>
              <w:rPr>
                <w:rFonts w:hint="eastAsia" w:ascii="仿宋_GB2312" w:hAnsi="仿宋_GB2312" w:eastAsia="仿宋_GB2312" w:cs="仿宋_GB2312"/>
                <w:b/>
                <w:kern w:val="0"/>
                <w:sz w:val="20"/>
                <w:szCs w:val="20"/>
              </w:rPr>
            </w:pPr>
          </w:p>
        </w:tc>
        <w:tc>
          <w:tcPr>
            <w:tcW w:w="698" w:type="dxa"/>
            <w:vAlign w:val="center"/>
          </w:tcPr>
          <w:p>
            <w:pPr>
              <w:widowControl/>
              <w:jc w:val="center"/>
              <w:rPr>
                <w:rFonts w:hint="eastAsia" w:ascii="仿宋_GB2312" w:hAnsi="仿宋_GB2312" w:eastAsia="仿宋_GB2312" w:cs="仿宋_GB2312"/>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21"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4019"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S224朝天界渔河桥至旺苍界鱼龙村</w:t>
            </w:r>
          </w:p>
        </w:tc>
        <w:tc>
          <w:tcPr>
            <w:tcW w:w="83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升级</w:t>
            </w:r>
          </w:p>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改造</w:t>
            </w:r>
          </w:p>
        </w:tc>
        <w:tc>
          <w:tcPr>
            <w:tcW w:w="69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sz w:val="20"/>
                <w:szCs w:val="20"/>
              </w:rPr>
              <w:t>7</w:t>
            </w:r>
          </w:p>
        </w:tc>
        <w:tc>
          <w:tcPr>
            <w:tcW w:w="697" w:type="dxa"/>
            <w:vAlign w:val="center"/>
          </w:tcPr>
          <w:p>
            <w:pPr>
              <w:widowControl/>
              <w:jc w:val="center"/>
              <w:rPr>
                <w:rFonts w:hint="eastAsia" w:ascii="仿宋_GB2312" w:hAnsi="仿宋_GB2312" w:eastAsia="仿宋_GB2312" w:cs="仿宋_GB2312"/>
                <w:kern w:val="0"/>
                <w:sz w:val="20"/>
                <w:szCs w:val="20"/>
              </w:rPr>
            </w:pPr>
          </w:p>
        </w:tc>
        <w:tc>
          <w:tcPr>
            <w:tcW w:w="69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sz w:val="20"/>
                <w:szCs w:val="20"/>
              </w:rPr>
              <w:t>7</w:t>
            </w:r>
          </w:p>
        </w:tc>
        <w:tc>
          <w:tcPr>
            <w:tcW w:w="698" w:type="dxa"/>
            <w:vAlign w:val="center"/>
          </w:tcPr>
          <w:p>
            <w:pPr>
              <w:widowControl/>
              <w:jc w:val="center"/>
              <w:rPr>
                <w:rFonts w:hint="eastAsia" w:ascii="仿宋_GB2312" w:hAnsi="仿宋_GB2312" w:eastAsia="仿宋_GB2312" w:cs="仿宋_GB2312"/>
                <w:kern w:val="0"/>
                <w:sz w:val="20"/>
                <w:szCs w:val="20"/>
              </w:rPr>
            </w:pPr>
          </w:p>
        </w:tc>
        <w:tc>
          <w:tcPr>
            <w:tcW w:w="836" w:type="dxa"/>
            <w:vAlign w:val="center"/>
          </w:tcPr>
          <w:p>
            <w:pPr>
              <w:widowControl/>
              <w:jc w:val="center"/>
              <w:rPr>
                <w:rFonts w:hint="eastAsia" w:ascii="仿宋_GB2312" w:hAnsi="仿宋_GB2312" w:eastAsia="仿宋_GB2312" w:cs="仿宋_GB2312"/>
                <w:kern w:val="0"/>
                <w:sz w:val="20"/>
                <w:szCs w:val="20"/>
              </w:rPr>
            </w:pPr>
          </w:p>
        </w:tc>
        <w:tc>
          <w:tcPr>
            <w:tcW w:w="111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sz w:val="20"/>
                <w:szCs w:val="20"/>
              </w:rPr>
              <w:t>1.7</w:t>
            </w:r>
          </w:p>
        </w:tc>
        <w:tc>
          <w:tcPr>
            <w:tcW w:w="1390" w:type="dxa"/>
            <w:vAlign w:val="center"/>
          </w:tcPr>
          <w:p>
            <w:pPr>
              <w:widowControl/>
              <w:jc w:val="center"/>
              <w:rPr>
                <w:rFonts w:hint="eastAsia" w:ascii="仿宋_GB2312" w:hAnsi="仿宋_GB2312" w:eastAsia="仿宋_GB2312" w:cs="仿宋_GB2312"/>
                <w:kern w:val="0"/>
                <w:sz w:val="20"/>
                <w:szCs w:val="20"/>
              </w:rPr>
            </w:pPr>
          </w:p>
        </w:tc>
        <w:tc>
          <w:tcPr>
            <w:tcW w:w="83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2026</w:t>
            </w:r>
          </w:p>
        </w:tc>
        <w:tc>
          <w:tcPr>
            <w:tcW w:w="83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2030</w:t>
            </w:r>
          </w:p>
        </w:tc>
        <w:tc>
          <w:tcPr>
            <w:tcW w:w="698" w:type="dxa"/>
            <w:vAlign w:val="center"/>
          </w:tcPr>
          <w:p>
            <w:pPr>
              <w:widowControl/>
              <w:jc w:val="center"/>
              <w:rPr>
                <w:rFonts w:hint="eastAsia" w:ascii="仿宋_GB2312" w:hAnsi="仿宋_GB2312" w:eastAsia="仿宋_GB2312" w:cs="仿宋_GB2312"/>
                <w:sz w:val="20"/>
                <w:szCs w:val="20"/>
              </w:rPr>
            </w:pPr>
          </w:p>
        </w:tc>
      </w:tr>
    </w:tbl>
    <w:p>
      <w:pPr>
        <w:pStyle w:val="2"/>
        <w:jc w:val="left"/>
        <w:rPr>
          <w:rFonts w:hint="eastAsia" w:ascii="仿宋_GB2312" w:hAnsi="仿宋_GB2312" w:eastAsia="仿宋_GB2312" w:cs="仿宋_GB2312"/>
        </w:rPr>
        <w:sectPr>
          <w:pgSz w:w="16838" w:h="11906" w:orient="landscape"/>
          <w:pgMar w:top="1701" w:right="1531" w:bottom="1701" w:left="1531" w:header="851" w:footer="1418" w:gutter="0"/>
          <w:cols w:space="720" w:num="1"/>
          <w:docGrid w:type="lines" w:linePitch="312" w:charSpace="0"/>
        </w:sectPr>
      </w:pPr>
    </w:p>
    <w:p>
      <w:pPr>
        <w:pStyle w:val="5"/>
        <w:jc w:val="center"/>
        <w:rPr>
          <w:rFonts w:hint="eastAsia" w:ascii="仿宋_GB2312" w:hAnsi="仿宋_GB2312" w:eastAsia="仿宋_GB2312" w:cs="仿宋_GB2312"/>
          <w:b w:val="0"/>
        </w:rPr>
      </w:pPr>
      <w:bookmarkStart w:id="129" w:name="_Toc89264380"/>
      <w:bookmarkStart w:id="130" w:name="_Toc99786561"/>
      <w:bookmarkStart w:id="131" w:name="_Toc114070058"/>
      <w:bookmarkStart w:id="132" w:name="_Toc101432171"/>
      <w:bookmarkStart w:id="133" w:name="_Toc91150359"/>
      <w:bookmarkStart w:id="134" w:name="_Toc91148193"/>
      <w:bookmarkStart w:id="135" w:name="_Toc111036309"/>
      <w:r>
        <w:rPr>
          <w:rFonts w:hint="eastAsia" w:ascii="仿宋_GB2312" w:hAnsi="仿宋_GB2312" w:eastAsia="仿宋_GB2312" w:cs="仿宋_GB2312"/>
          <w:b w:val="0"/>
        </w:rPr>
        <w:t>附表4 利州区“十四五”其他重要干线公路建设项目表</w:t>
      </w:r>
      <w:bookmarkEnd w:id="129"/>
      <w:bookmarkEnd w:id="130"/>
      <w:bookmarkEnd w:id="131"/>
      <w:bookmarkEnd w:id="132"/>
      <w:bookmarkEnd w:id="133"/>
      <w:bookmarkEnd w:id="134"/>
      <w:bookmarkEnd w:id="135"/>
    </w:p>
    <w:tbl>
      <w:tblPr>
        <w:tblStyle w:val="23"/>
        <w:tblW w:w="13778"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23"/>
        <w:gridCol w:w="4209"/>
        <w:gridCol w:w="704"/>
        <w:gridCol w:w="704"/>
        <w:gridCol w:w="703"/>
        <w:gridCol w:w="704"/>
        <w:gridCol w:w="704"/>
        <w:gridCol w:w="844"/>
        <w:gridCol w:w="1125"/>
        <w:gridCol w:w="1265"/>
        <w:gridCol w:w="845"/>
        <w:gridCol w:w="844"/>
        <w:gridCol w:w="70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tblHeader/>
          <w:jc w:val="center"/>
        </w:trPr>
        <w:tc>
          <w:tcPr>
            <w:tcW w:w="423" w:type="dxa"/>
            <w:vMerge w:val="restart"/>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序号</w:t>
            </w:r>
          </w:p>
        </w:tc>
        <w:tc>
          <w:tcPr>
            <w:tcW w:w="4209" w:type="dxa"/>
            <w:vMerge w:val="restart"/>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项目名称</w:t>
            </w:r>
          </w:p>
        </w:tc>
        <w:tc>
          <w:tcPr>
            <w:tcW w:w="704" w:type="dxa"/>
            <w:vMerge w:val="restart"/>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建设性质</w:t>
            </w:r>
          </w:p>
        </w:tc>
        <w:tc>
          <w:tcPr>
            <w:tcW w:w="3659" w:type="dxa"/>
            <w:gridSpan w:val="5"/>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建设规模（公里）</w:t>
            </w:r>
          </w:p>
        </w:tc>
        <w:tc>
          <w:tcPr>
            <w:tcW w:w="1125" w:type="dxa"/>
            <w:vMerge w:val="restart"/>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总投资（亿元）</w:t>
            </w:r>
          </w:p>
        </w:tc>
        <w:tc>
          <w:tcPr>
            <w:tcW w:w="1265" w:type="dxa"/>
            <w:vMerge w:val="restart"/>
            <w:vAlign w:val="center"/>
          </w:tcPr>
          <w:p>
            <w:pPr>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“十四五”投资（亿元）</w:t>
            </w:r>
          </w:p>
        </w:tc>
        <w:tc>
          <w:tcPr>
            <w:tcW w:w="1689" w:type="dxa"/>
            <w:gridSpan w:val="2"/>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建设年限</w:t>
            </w:r>
          </w:p>
        </w:tc>
        <w:tc>
          <w:tcPr>
            <w:tcW w:w="70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备注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tblHeader/>
          <w:jc w:val="center"/>
        </w:trPr>
        <w:tc>
          <w:tcPr>
            <w:tcW w:w="423" w:type="dxa"/>
            <w:vMerge w:val="continue"/>
            <w:vAlign w:val="center"/>
          </w:tcPr>
          <w:p>
            <w:pPr>
              <w:widowControl/>
              <w:jc w:val="center"/>
              <w:rPr>
                <w:rFonts w:hint="eastAsia" w:ascii="仿宋_GB2312" w:hAnsi="仿宋_GB2312" w:eastAsia="仿宋_GB2312" w:cs="仿宋_GB2312"/>
                <w:b/>
                <w:bCs/>
                <w:kern w:val="0"/>
                <w:sz w:val="20"/>
                <w:szCs w:val="20"/>
              </w:rPr>
            </w:pPr>
          </w:p>
        </w:tc>
        <w:tc>
          <w:tcPr>
            <w:tcW w:w="4209" w:type="dxa"/>
            <w:vMerge w:val="continue"/>
            <w:vAlign w:val="center"/>
          </w:tcPr>
          <w:p>
            <w:pPr>
              <w:widowControl/>
              <w:jc w:val="center"/>
              <w:rPr>
                <w:rFonts w:hint="eastAsia" w:ascii="仿宋_GB2312" w:hAnsi="仿宋_GB2312" w:eastAsia="仿宋_GB2312" w:cs="仿宋_GB2312"/>
                <w:b/>
                <w:bCs/>
                <w:kern w:val="0"/>
                <w:sz w:val="20"/>
                <w:szCs w:val="20"/>
              </w:rPr>
            </w:pPr>
          </w:p>
        </w:tc>
        <w:tc>
          <w:tcPr>
            <w:tcW w:w="704" w:type="dxa"/>
            <w:vMerge w:val="continue"/>
            <w:vAlign w:val="center"/>
          </w:tcPr>
          <w:p>
            <w:pPr>
              <w:widowControl/>
              <w:jc w:val="center"/>
              <w:rPr>
                <w:rFonts w:hint="eastAsia" w:ascii="仿宋_GB2312" w:hAnsi="仿宋_GB2312" w:eastAsia="仿宋_GB2312" w:cs="仿宋_GB2312"/>
                <w:b/>
                <w:bCs/>
                <w:kern w:val="0"/>
                <w:sz w:val="20"/>
                <w:szCs w:val="20"/>
              </w:rPr>
            </w:pPr>
          </w:p>
        </w:tc>
        <w:tc>
          <w:tcPr>
            <w:tcW w:w="70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合计</w:t>
            </w:r>
          </w:p>
        </w:tc>
        <w:tc>
          <w:tcPr>
            <w:tcW w:w="70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一级公路</w:t>
            </w:r>
          </w:p>
        </w:tc>
        <w:tc>
          <w:tcPr>
            <w:tcW w:w="70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二级公路</w:t>
            </w:r>
          </w:p>
        </w:tc>
        <w:tc>
          <w:tcPr>
            <w:tcW w:w="70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三级公路</w:t>
            </w:r>
          </w:p>
        </w:tc>
        <w:tc>
          <w:tcPr>
            <w:tcW w:w="84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独立桥隧（米）</w:t>
            </w:r>
          </w:p>
        </w:tc>
        <w:tc>
          <w:tcPr>
            <w:tcW w:w="1125" w:type="dxa"/>
            <w:vMerge w:val="continue"/>
            <w:vAlign w:val="center"/>
          </w:tcPr>
          <w:p>
            <w:pPr>
              <w:widowControl/>
              <w:jc w:val="center"/>
              <w:rPr>
                <w:rFonts w:hint="eastAsia" w:ascii="仿宋_GB2312" w:hAnsi="仿宋_GB2312" w:eastAsia="仿宋_GB2312" w:cs="仿宋_GB2312"/>
                <w:kern w:val="0"/>
                <w:sz w:val="20"/>
                <w:szCs w:val="20"/>
              </w:rPr>
            </w:pPr>
          </w:p>
        </w:tc>
        <w:tc>
          <w:tcPr>
            <w:tcW w:w="1265" w:type="dxa"/>
            <w:vMerge w:val="continue"/>
            <w:vAlign w:val="center"/>
          </w:tcPr>
          <w:p>
            <w:pPr>
              <w:widowControl/>
              <w:jc w:val="center"/>
              <w:rPr>
                <w:rFonts w:hint="eastAsia" w:ascii="仿宋_GB2312" w:hAnsi="仿宋_GB2312" w:eastAsia="仿宋_GB2312" w:cs="仿宋_GB2312"/>
                <w:kern w:val="0"/>
                <w:sz w:val="20"/>
                <w:szCs w:val="20"/>
              </w:rPr>
            </w:pPr>
          </w:p>
        </w:tc>
        <w:tc>
          <w:tcPr>
            <w:tcW w:w="84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开工年</w:t>
            </w:r>
          </w:p>
        </w:tc>
        <w:tc>
          <w:tcPr>
            <w:tcW w:w="84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完工年</w:t>
            </w:r>
          </w:p>
        </w:tc>
        <w:tc>
          <w:tcPr>
            <w:tcW w:w="704" w:type="dxa"/>
            <w:vAlign w:val="center"/>
          </w:tcPr>
          <w:p>
            <w:pPr>
              <w:widowControl/>
              <w:jc w:val="center"/>
              <w:rPr>
                <w:rFonts w:hint="eastAsia" w:ascii="仿宋_GB2312" w:hAnsi="仿宋_GB2312" w:eastAsia="仿宋_GB2312" w:cs="仿宋_GB2312"/>
                <w:b/>
                <w:bCs/>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4632" w:type="dxa"/>
            <w:gridSpan w:val="2"/>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kern w:val="0"/>
                <w:sz w:val="20"/>
                <w:szCs w:val="20"/>
              </w:rPr>
              <w:t>合计</w:t>
            </w:r>
          </w:p>
        </w:tc>
        <w:tc>
          <w:tcPr>
            <w:tcW w:w="704" w:type="dxa"/>
            <w:vAlign w:val="center"/>
          </w:tcPr>
          <w:p>
            <w:pPr>
              <w:widowControl/>
              <w:jc w:val="center"/>
              <w:rPr>
                <w:rFonts w:hint="eastAsia" w:ascii="仿宋_GB2312" w:hAnsi="仿宋_GB2312" w:eastAsia="仿宋_GB2312" w:cs="仿宋_GB2312"/>
                <w:b/>
                <w:kern w:val="0"/>
                <w:sz w:val="20"/>
                <w:szCs w:val="20"/>
              </w:rPr>
            </w:pPr>
          </w:p>
        </w:tc>
        <w:tc>
          <w:tcPr>
            <w:tcW w:w="704" w:type="dxa"/>
            <w:vAlign w:val="center"/>
          </w:tcPr>
          <w:p>
            <w:pPr>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73.4</w:t>
            </w:r>
          </w:p>
        </w:tc>
        <w:tc>
          <w:tcPr>
            <w:tcW w:w="703"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31.4</w:t>
            </w:r>
          </w:p>
        </w:tc>
        <w:tc>
          <w:tcPr>
            <w:tcW w:w="704"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25</w:t>
            </w:r>
          </w:p>
        </w:tc>
        <w:tc>
          <w:tcPr>
            <w:tcW w:w="704"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0</w:t>
            </w:r>
          </w:p>
        </w:tc>
        <w:tc>
          <w:tcPr>
            <w:tcW w:w="844"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17000</w:t>
            </w:r>
          </w:p>
        </w:tc>
        <w:tc>
          <w:tcPr>
            <w:tcW w:w="1125"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56.05</w:t>
            </w:r>
          </w:p>
        </w:tc>
        <w:tc>
          <w:tcPr>
            <w:tcW w:w="1265"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10.95</w:t>
            </w:r>
          </w:p>
        </w:tc>
        <w:tc>
          <w:tcPr>
            <w:tcW w:w="845" w:type="dxa"/>
            <w:vAlign w:val="center"/>
          </w:tcPr>
          <w:p>
            <w:pPr>
              <w:widowControl/>
              <w:jc w:val="center"/>
              <w:rPr>
                <w:rFonts w:hint="eastAsia" w:ascii="仿宋_GB2312" w:hAnsi="仿宋_GB2312" w:eastAsia="仿宋_GB2312" w:cs="仿宋_GB2312"/>
                <w:b/>
                <w:sz w:val="20"/>
                <w:szCs w:val="20"/>
              </w:rPr>
            </w:pPr>
          </w:p>
        </w:tc>
        <w:tc>
          <w:tcPr>
            <w:tcW w:w="844" w:type="dxa"/>
            <w:vAlign w:val="center"/>
          </w:tcPr>
          <w:p>
            <w:pPr>
              <w:widowControl/>
              <w:jc w:val="center"/>
              <w:rPr>
                <w:rFonts w:hint="eastAsia" w:ascii="仿宋_GB2312" w:hAnsi="仿宋_GB2312" w:eastAsia="仿宋_GB2312" w:cs="仿宋_GB2312"/>
                <w:b/>
                <w:sz w:val="20"/>
                <w:szCs w:val="20"/>
              </w:rPr>
            </w:pPr>
          </w:p>
        </w:tc>
        <w:tc>
          <w:tcPr>
            <w:tcW w:w="704" w:type="dxa"/>
            <w:vAlign w:val="center"/>
          </w:tcPr>
          <w:p>
            <w:pPr>
              <w:widowControl/>
              <w:jc w:val="center"/>
              <w:rPr>
                <w:rFonts w:hint="eastAsia" w:ascii="仿宋_GB2312" w:hAnsi="仿宋_GB2312" w:eastAsia="仿宋_GB2312" w:cs="仿宋_GB2312"/>
                <w:b/>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4632" w:type="dxa"/>
            <w:gridSpan w:val="2"/>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kern w:val="0"/>
                <w:sz w:val="20"/>
                <w:szCs w:val="20"/>
              </w:rPr>
              <w:t>一、“十四五”规划项目</w:t>
            </w:r>
          </w:p>
        </w:tc>
        <w:tc>
          <w:tcPr>
            <w:tcW w:w="704" w:type="dxa"/>
            <w:vAlign w:val="center"/>
          </w:tcPr>
          <w:p>
            <w:pPr>
              <w:widowControl/>
              <w:jc w:val="center"/>
              <w:rPr>
                <w:rFonts w:hint="eastAsia" w:ascii="仿宋_GB2312" w:hAnsi="仿宋_GB2312" w:eastAsia="仿宋_GB2312" w:cs="仿宋_GB2312"/>
                <w:b/>
                <w:kern w:val="0"/>
                <w:sz w:val="20"/>
                <w:szCs w:val="20"/>
              </w:rPr>
            </w:pPr>
          </w:p>
        </w:tc>
        <w:tc>
          <w:tcPr>
            <w:tcW w:w="704"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36.2</w:t>
            </w:r>
          </w:p>
        </w:tc>
        <w:tc>
          <w:tcPr>
            <w:tcW w:w="703"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11.2</w:t>
            </w:r>
          </w:p>
        </w:tc>
        <w:tc>
          <w:tcPr>
            <w:tcW w:w="704"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25</w:t>
            </w:r>
          </w:p>
        </w:tc>
        <w:tc>
          <w:tcPr>
            <w:tcW w:w="704"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0</w:t>
            </w:r>
          </w:p>
        </w:tc>
        <w:tc>
          <w:tcPr>
            <w:tcW w:w="844"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0</w:t>
            </w:r>
          </w:p>
        </w:tc>
        <w:tc>
          <w:tcPr>
            <w:tcW w:w="1125"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15.05</w:t>
            </w:r>
          </w:p>
        </w:tc>
        <w:tc>
          <w:tcPr>
            <w:tcW w:w="1265"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10.95</w:t>
            </w:r>
          </w:p>
        </w:tc>
        <w:tc>
          <w:tcPr>
            <w:tcW w:w="845" w:type="dxa"/>
            <w:vAlign w:val="center"/>
          </w:tcPr>
          <w:p>
            <w:pPr>
              <w:widowControl/>
              <w:jc w:val="center"/>
              <w:rPr>
                <w:rFonts w:hint="eastAsia" w:ascii="仿宋_GB2312" w:hAnsi="仿宋_GB2312" w:eastAsia="仿宋_GB2312" w:cs="仿宋_GB2312"/>
                <w:b/>
                <w:kern w:val="0"/>
                <w:sz w:val="20"/>
                <w:szCs w:val="20"/>
              </w:rPr>
            </w:pPr>
          </w:p>
        </w:tc>
        <w:tc>
          <w:tcPr>
            <w:tcW w:w="844" w:type="dxa"/>
            <w:vAlign w:val="center"/>
          </w:tcPr>
          <w:p>
            <w:pPr>
              <w:widowControl/>
              <w:jc w:val="center"/>
              <w:rPr>
                <w:rFonts w:hint="eastAsia" w:ascii="仿宋_GB2312" w:hAnsi="仿宋_GB2312" w:eastAsia="仿宋_GB2312" w:cs="仿宋_GB2312"/>
                <w:b/>
                <w:kern w:val="0"/>
                <w:sz w:val="20"/>
                <w:szCs w:val="20"/>
              </w:rPr>
            </w:pPr>
          </w:p>
        </w:tc>
        <w:tc>
          <w:tcPr>
            <w:tcW w:w="704" w:type="dxa"/>
            <w:vAlign w:val="center"/>
          </w:tcPr>
          <w:p>
            <w:pPr>
              <w:widowControl/>
              <w:jc w:val="center"/>
              <w:rPr>
                <w:rFonts w:hint="eastAsia" w:ascii="仿宋_GB2312" w:hAnsi="仿宋_GB2312" w:eastAsia="仿宋_GB2312" w:cs="仿宋_GB2312"/>
                <w:b/>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42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4209"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G5扩容广元互通（赵家坪）至万源连接线</w:t>
            </w:r>
          </w:p>
        </w:tc>
        <w:tc>
          <w:tcPr>
            <w:tcW w:w="70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新建</w:t>
            </w:r>
          </w:p>
        </w:tc>
        <w:tc>
          <w:tcPr>
            <w:tcW w:w="70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sz w:val="20"/>
                <w:szCs w:val="20"/>
              </w:rPr>
              <w:t>6.4</w:t>
            </w:r>
          </w:p>
        </w:tc>
        <w:tc>
          <w:tcPr>
            <w:tcW w:w="70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sz w:val="20"/>
                <w:szCs w:val="20"/>
              </w:rPr>
              <w:t>6.4</w:t>
            </w:r>
          </w:p>
        </w:tc>
        <w:tc>
          <w:tcPr>
            <w:tcW w:w="704" w:type="dxa"/>
            <w:vAlign w:val="center"/>
          </w:tcPr>
          <w:p>
            <w:pPr>
              <w:widowControl/>
              <w:jc w:val="center"/>
              <w:rPr>
                <w:rFonts w:hint="eastAsia" w:ascii="仿宋_GB2312" w:hAnsi="仿宋_GB2312" w:eastAsia="仿宋_GB2312" w:cs="仿宋_GB2312"/>
                <w:kern w:val="0"/>
                <w:sz w:val="20"/>
                <w:szCs w:val="20"/>
              </w:rPr>
            </w:pPr>
          </w:p>
        </w:tc>
        <w:tc>
          <w:tcPr>
            <w:tcW w:w="704" w:type="dxa"/>
            <w:vAlign w:val="center"/>
          </w:tcPr>
          <w:p>
            <w:pPr>
              <w:widowControl/>
              <w:jc w:val="center"/>
              <w:rPr>
                <w:rFonts w:hint="eastAsia" w:ascii="仿宋_GB2312" w:hAnsi="仿宋_GB2312" w:eastAsia="仿宋_GB2312" w:cs="仿宋_GB2312"/>
                <w:kern w:val="0"/>
                <w:sz w:val="20"/>
                <w:szCs w:val="20"/>
              </w:rPr>
            </w:pPr>
          </w:p>
        </w:tc>
        <w:tc>
          <w:tcPr>
            <w:tcW w:w="844" w:type="dxa"/>
            <w:vAlign w:val="center"/>
          </w:tcPr>
          <w:p>
            <w:pPr>
              <w:widowControl/>
              <w:jc w:val="center"/>
              <w:rPr>
                <w:rFonts w:hint="eastAsia" w:ascii="仿宋_GB2312" w:hAnsi="仿宋_GB2312" w:eastAsia="仿宋_GB2312" w:cs="仿宋_GB2312"/>
                <w:kern w:val="0"/>
                <w:sz w:val="20"/>
                <w:szCs w:val="20"/>
              </w:rPr>
            </w:pPr>
          </w:p>
        </w:tc>
        <w:tc>
          <w:tcPr>
            <w:tcW w:w="112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sz w:val="20"/>
                <w:szCs w:val="20"/>
              </w:rPr>
              <w:t>4.25</w:t>
            </w:r>
          </w:p>
        </w:tc>
        <w:tc>
          <w:tcPr>
            <w:tcW w:w="126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sz w:val="20"/>
                <w:szCs w:val="20"/>
              </w:rPr>
              <w:t>2.25</w:t>
            </w:r>
          </w:p>
        </w:tc>
        <w:tc>
          <w:tcPr>
            <w:tcW w:w="84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2024</w:t>
            </w:r>
          </w:p>
        </w:tc>
        <w:tc>
          <w:tcPr>
            <w:tcW w:w="84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2026</w:t>
            </w:r>
          </w:p>
        </w:tc>
        <w:tc>
          <w:tcPr>
            <w:tcW w:w="704" w:type="dxa"/>
            <w:vAlign w:val="center"/>
          </w:tcPr>
          <w:p>
            <w:pPr>
              <w:widowControl/>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42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w:t>
            </w:r>
          </w:p>
        </w:tc>
        <w:tc>
          <w:tcPr>
            <w:tcW w:w="4209"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万源至龙潭乡AAAA景区快速通道</w:t>
            </w:r>
          </w:p>
        </w:tc>
        <w:tc>
          <w:tcPr>
            <w:tcW w:w="70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新建</w:t>
            </w:r>
          </w:p>
        </w:tc>
        <w:tc>
          <w:tcPr>
            <w:tcW w:w="70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sz w:val="20"/>
                <w:szCs w:val="20"/>
              </w:rPr>
              <w:t>4.5</w:t>
            </w:r>
          </w:p>
        </w:tc>
        <w:tc>
          <w:tcPr>
            <w:tcW w:w="703" w:type="dxa"/>
            <w:vAlign w:val="center"/>
          </w:tcPr>
          <w:p>
            <w:pPr>
              <w:widowControl/>
              <w:jc w:val="center"/>
              <w:rPr>
                <w:rFonts w:hint="eastAsia" w:ascii="仿宋_GB2312" w:hAnsi="仿宋_GB2312" w:eastAsia="仿宋_GB2312" w:cs="仿宋_GB2312"/>
                <w:kern w:val="0"/>
                <w:sz w:val="20"/>
                <w:szCs w:val="20"/>
              </w:rPr>
            </w:pPr>
          </w:p>
        </w:tc>
        <w:tc>
          <w:tcPr>
            <w:tcW w:w="70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sz w:val="20"/>
                <w:szCs w:val="20"/>
              </w:rPr>
              <w:t>4.5</w:t>
            </w:r>
          </w:p>
        </w:tc>
        <w:tc>
          <w:tcPr>
            <w:tcW w:w="704" w:type="dxa"/>
            <w:vAlign w:val="center"/>
          </w:tcPr>
          <w:p>
            <w:pPr>
              <w:widowControl/>
              <w:jc w:val="center"/>
              <w:rPr>
                <w:rFonts w:hint="eastAsia" w:ascii="仿宋_GB2312" w:hAnsi="仿宋_GB2312" w:eastAsia="仿宋_GB2312" w:cs="仿宋_GB2312"/>
                <w:kern w:val="0"/>
                <w:sz w:val="20"/>
                <w:szCs w:val="20"/>
              </w:rPr>
            </w:pPr>
          </w:p>
        </w:tc>
        <w:tc>
          <w:tcPr>
            <w:tcW w:w="844" w:type="dxa"/>
            <w:vAlign w:val="center"/>
          </w:tcPr>
          <w:p>
            <w:pPr>
              <w:widowControl/>
              <w:jc w:val="center"/>
              <w:rPr>
                <w:rFonts w:hint="eastAsia" w:ascii="仿宋_GB2312" w:hAnsi="仿宋_GB2312" w:eastAsia="仿宋_GB2312" w:cs="仿宋_GB2312"/>
                <w:kern w:val="0"/>
                <w:sz w:val="20"/>
                <w:szCs w:val="20"/>
              </w:rPr>
            </w:pPr>
          </w:p>
        </w:tc>
        <w:tc>
          <w:tcPr>
            <w:tcW w:w="112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sz w:val="20"/>
                <w:szCs w:val="20"/>
              </w:rPr>
              <w:t>4.2</w:t>
            </w:r>
          </w:p>
        </w:tc>
        <w:tc>
          <w:tcPr>
            <w:tcW w:w="126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sz w:val="20"/>
                <w:szCs w:val="20"/>
              </w:rPr>
              <w:t>4.2</w:t>
            </w:r>
          </w:p>
        </w:tc>
        <w:tc>
          <w:tcPr>
            <w:tcW w:w="84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2022</w:t>
            </w:r>
          </w:p>
        </w:tc>
        <w:tc>
          <w:tcPr>
            <w:tcW w:w="84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2024</w:t>
            </w:r>
          </w:p>
        </w:tc>
        <w:tc>
          <w:tcPr>
            <w:tcW w:w="704" w:type="dxa"/>
            <w:vAlign w:val="center"/>
          </w:tcPr>
          <w:p>
            <w:pPr>
              <w:widowControl/>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42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w:t>
            </w:r>
          </w:p>
        </w:tc>
        <w:tc>
          <w:tcPr>
            <w:tcW w:w="4209"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G75广甘高速互通立交工程</w:t>
            </w:r>
          </w:p>
        </w:tc>
        <w:tc>
          <w:tcPr>
            <w:tcW w:w="70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新建</w:t>
            </w:r>
          </w:p>
        </w:tc>
        <w:tc>
          <w:tcPr>
            <w:tcW w:w="70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4.8</w:t>
            </w:r>
          </w:p>
        </w:tc>
        <w:tc>
          <w:tcPr>
            <w:tcW w:w="70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4.8</w:t>
            </w:r>
          </w:p>
        </w:tc>
        <w:tc>
          <w:tcPr>
            <w:tcW w:w="704" w:type="dxa"/>
            <w:vAlign w:val="center"/>
          </w:tcPr>
          <w:p>
            <w:pPr>
              <w:widowControl/>
              <w:jc w:val="center"/>
              <w:rPr>
                <w:rFonts w:hint="eastAsia" w:ascii="仿宋_GB2312" w:hAnsi="仿宋_GB2312" w:eastAsia="仿宋_GB2312" w:cs="仿宋_GB2312"/>
                <w:kern w:val="0"/>
                <w:sz w:val="20"/>
                <w:szCs w:val="20"/>
              </w:rPr>
            </w:pPr>
          </w:p>
        </w:tc>
        <w:tc>
          <w:tcPr>
            <w:tcW w:w="704" w:type="dxa"/>
            <w:vAlign w:val="center"/>
          </w:tcPr>
          <w:p>
            <w:pPr>
              <w:widowControl/>
              <w:jc w:val="center"/>
              <w:rPr>
                <w:rFonts w:hint="eastAsia" w:ascii="仿宋_GB2312" w:hAnsi="仿宋_GB2312" w:eastAsia="仿宋_GB2312" w:cs="仿宋_GB2312"/>
                <w:kern w:val="0"/>
                <w:sz w:val="20"/>
                <w:szCs w:val="20"/>
              </w:rPr>
            </w:pPr>
          </w:p>
        </w:tc>
        <w:tc>
          <w:tcPr>
            <w:tcW w:w="844" w:type="dxa"/>
            <w:vAlign w:val="center"/>
          </w:tcPr>
          <w:p>
            <w:pPr>
              <w:widowControl/>
              <w:jc w:val="center"/>
              <w:rPr>
                <w:rFonts w:hint="eastAsia" w:ascii="仿宋_GB2312" w:hAnsi="仿宋_GB2312" w:eastAsia="仿宋_GB2312" w:cs="仿宋_GB2312"/>
                <w:kern w:val="0"/>
                <w:sz w:val="20"/>
                <w:szCs w:val="20"/>
              </w:rPr>
            </w:pPr>
          </w:p>
        </w:tc>
        <w:tc>
          <w:tcPr>
            <w:tcW w:w="112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2.5</w:t>
            </w:r>
          </w:p>
        </w:tc>
        <w:tc>
          <w:tcPr>
            <w:tcW w:w="126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2.5</w:t>
            </w:r>
          </w:p>
        </w:tc>
        <w:tc>
          <w:tcPr>
            <w:tcW w:w="84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2022</w:t>
            </w:r>
          </w:p>
        </w:tc>
        <w:tc>
          <w:tcPr>
            <w:tcW w:w="84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2024</w:t>
            </w:r>
          </w:p>
        </w:tc>
        <w:tc>
          <w:tcPr>
            <w:tcW w:w="704" w:type="dxa"/>
            <w:vAlign w:val="center"/>
          </w:tcPr>
          <w:p>
            <w:pPr>
              <w:widowControl/>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42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w:t>
            </w:r>
          </w:p>
        </w:tc>
        <w:tc>
          <w:tcPr>
            <w:tcW w:w="4209"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G75广甘高速金洞至青川观音乡互通连接工程</w:t>
            </w:r>
          </w:p>
        </w:tc>
        <w:tc>
          <w:tcPr>
            <w:tcW w:w="70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新建</w:t>
            </w:r>
          </w:p>
        </w:tc>
        <w:tc>
          <w:tcPr>
            <w:tcW w:w="70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20.5</w:t>
            </w:r>
          </w:p>
        </w:tc>
        <w:tc>
          <w:tcPr>
            <w:tcW w:w="703" w:type="dxa"/>
            <w:vAlign w:val="center"/>
          </w:tcPr>
          <w:p>
            <w:pPr>
              <w:widowControl/>
              <w:jc w:val="center"/>
              <w:rPr>
                <w:rFonts w:hint="eastAsia" w:ascii="仿宋_GB2312" w:hAnsi="仿宋_GB2312" w:eastAsia="仿宋_GB2312" w:cs="仿宋_GB2312"/>
                <w:kern w:val="0"/>
                <w:sz w:val="20"/>
                <w:szCs w:val="20"/>
              </w:rPr>
            </w:pPr>
          </w:p>
        </w:tc>
        <w:tc>
          <w:tcPr>
            <w:tcW w:w="70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20.5</w:t>
            </w:r>
          </w:p>
        </w:tc>
        <w:tc>
          <w:tcPr>
            <w:tcW w:w="704" w:type="dxa"/>
            <w:vAlign w:val="center"/>
          </w:tcPr>
          <w:p>
            <w:pPr>
              <w:widowControl/>
              <w:jc w:val="center"/>
              <w:rPr>
                <w:rFonts w:hint="eastAsia" w:ascii="仿宋_GB2312" w:hAnsi="仿宋_GB2312" w:eastAsia="仿宋_GB2312" w:cs="仿宋_GB2312"/>
                <w:kern w:val="0"/>
                <w:sz w:val="20"/>
                <w:szCs w:val="20"/>
              </w:rPr>
            </w:pPr>
          </w:p>
        </w:tc>
        <w:tc>
          <w:tcPr>
            <w:tcW w:w="844" w:type="dxa"/>
            <w:vAlign w:val="center"/>
          </w:tcPr>
          <w:p>
            <w:pPr>
              <w:widowControl/>
              <w:jc w:val="center"/>
              <w:rPr>
                <w:rFonts w:hint="eastAsia" w:ascii="仿宋_GB2312" w:hAnsi="仿宋_GB2312" w:eastAsia="仿宋_GB2312" w:cs="仿宋_GB2312"/>
                <w:kern w:val="0"/>
                <w:sz w:val="20"/>
                <w:szCs w:val="20"/>
              </w:rPr>
            </w:pPr>
          </w:p>
        </w:tc>
        <w:tc>
          <w:tcPr>
            <w:tcW w:w="112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4.1</w:t>
            </w:r>
          </w:p>
        </w:tc>
        <w:tc>
          <w:tcPr>
            <w:tcW w:w="126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w:t>
            </w:r>
          </w:p>
        </w:tc>
        <w:tc>
          <w:tcPr>
            <w:tcW w:w="84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2023</w:t>
            </w:r>
          </w:p>
        </w:tc>
        <w:tc>
          <w:tcPr>
            <w:tcW w:w="84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2026</w:t>
            </w:r>
          </w:p>
        </w:tc>
        <w:tc>
          <w:tcPr>
            <w:tcW w:w="704" w:type="dxa"/>
            <w:vAlign w:val="center"/>
          </w:tcPr>
          <w:p>
            <w:pPr>
              <w:widowControl/>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4632" w:type="dxa"/>
            <w:gridSpan w:val="2"/>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kern w:val="0"/>
                <w:sz w:val="20"/>
                <w:szCs w:val="20"/>
              </w:rPr>
              <w:t>二、远期规划项目</w:t>
            </w:r>
          </w:p>
        </w:tc>
        <w:tc>
          <w:tcPr>
            <w:tcW w:w="704" w:type="dxa"/>
            <w:vAlign w:val="center"/>
          </w:tcPr>
          <w:p>
            <w:pPr>
              <w:widowControl/>
              <w:jc w:val="center"/>
              <w:rPr>
                <w:rFonts w:hint="eastAsia" w:ascii="仿宋_GB2312" w:hAnsi="仿宋_GB2312" w:eastAsia="仿宋_GB2312" w:cs="仿宋_GB2312"/>
                <w:b/>
                <w:kern w:val="0"/>
                <w:sz w:val="20"/>
                <w:szCs w:val="20"/>
              </w:rPr>
            </w:pPr>
          </w:p>
        </w:tc>
        <w:tc>
          <w:tcPr>
            <w:tcW w:w="704"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37.2</w:t>
            </w:r>
          </w:p>
        </w:tc>
        <w:tc>
          <w:tcPr>
            <w:tcW w:w="703"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20.2</w:t>
            </w:r>
          </w:p>
        </w:tc>
        <w:tc>
          <w:tcPr>
            <w:tcW w:w="704"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0</w:t>
            </w:r>
          </w:p>
        </w:tc>
        <w:tc>
          <w:tcPr>
            <w:tcW w:w="704"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0</w:t>
            </w:r>
          </w:p>
        </w:tc>
        <w:tc>
          <w:tcPr>
            <w:tcW w:w="844"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17000</w:t>
            </w:r>
          </w:p>
        </w:tc>
        <w:tc>
          <w:tcPr>
            <w:tcW w:w="1125"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41</w:t>
            </w:r>
          </w:p>
        </w:tc>
        <w:tc>
          <w:tcPr>
            <w:tcW w:w="1265" w:type="dxa"/>
            <w:vAlign w:val="center"/>
          </w:tcPr>
          <w:p>
            <w:pPr>
              <w:widowControl/>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bCs/>
                <w:sz w:val="20"/>
                <w:szCs w:val="20"/>
              </w:rPr>
              <w:t>0</w:t>
            </w:r>
          </w:p>
        </w:tc>
        <w:tc>
          <w:tcPr>
            <w:tcW w:w="845" w:type="dxa"/>
            <w:vAlign w:val="center"/>
          </w:tcPr>
          <w:p>
            <w:pPr>
              <w:widowControl/>
              <w:jc w:val="center"/>
              <w:rPr>
                <w:rFonts w:hint="eastAsia" w:ascii="仿宋_GB2312" w:hAnsi="仿宋_GB2312" w:eastAsia="仿宋_GB2312" w:cs="仿宋_GB2312"/>
                <w:b/>
                <w:kern w:val="0"/>
                <w:sz w:val="20"/>
                <w:szCs w:val="20"/>
              </w:rPr>
            </w:pPr>
          </w:p>
        </w:tc>
        <w:tc>
          <w:tcPr>
            <w:tcW w:w="844" w:type="dxa"/>
            <w:vAlign w:val="center"/>
          </w:tcPr>
          <w:p>
            <w:pPr>
              <w:widowControl/>
              <w:jc w:val="center"/>
              <w:rPr>
                <w:rFonts w:hint="eastAsia" w:ascii="仿宋_GB2312" w:hAnsi="仿宋_GB2312" w:eastAsia="仿宋_GB2312" w:cs="仿宋_GB2312"/>
                <w:b/>
                <w:kern w:val="0"/>
                <w:sz w:val="20"/>
                <w:szCs w:val="20"/>
              </w:rPr>
            </w:pPr>
          </w:p>
        </w:tc>
        <w:tc>
          <w:tcPr>
            <w:tcW w:w="704" w:type="dxa"/>
            <w:vAlign w:val="center"/>
          </w:tcPr>
          <w:p>
            <w:pPr>
              <w:widowControl/>
              <w:jc w:val="center"/>
              <w:rPr>
                <w:rFonts w:hint="eastAsia" w:ascii="仿宋_GB2312" w:hAnsi="仿宋_GB2312" w:eastAsia="仿宋_GB2312" w:cs="仿宋_GB2312"/>
                <w:b/>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42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4209"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G5扩容荣山出口至广元城区快速通道</w:t>
            </w:r>
          </w:p>
        </w:tc>
        <w:tc>
          <w:tcPr>
            <w:tcW w:w="70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新建</w:t>
            </w:r>
          </w:p>
        </w:tc>
        <w:tc>
          <w:tcPr>
            <w:tcW w:w="70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19.2</w:t>
            </w:r>
          </w:p>
        </w:tc>
        <w:tc>
          <w:tcPr>
            <w:tcW w:w="70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19.2</w:t>
            </w:r>
          </w:p>
        </w:tc>
        <w:tc>
          <w:tcPr>
            <w:tcW w:w="704" w:type="dxa"/>
            <w:vAlign w:val="center"/>
          </w:tcPr>
          <w:p>
            <w:pPr>
              <w:widowControl/>
              <w:jc w:val="center"/>
              <w:rPr>
                <w:rFonts w:hint="eastAsia" w:ascii="仿宋_GB2312" w:hAnsi="仿宋_GB2312" w:eastAsia="仿宋_GB2312" w:cs="仿宋_GB2312"/>
                <w:kern w:val="0"/>
                <w:sz w:val="20"/>
                <w:szCs w:val="20"/>
              </w:rPr>
            </w:pPr>
          </w:p>
        </w:tc>
        <w:tc>
          <w:tcPr>
            <w:tcW w:w="704" w:type="dxa"/>
            <w:vAlign w:val="center"/>
          </w:tcPr>
          <w:p>
            <w:pPr>
              <w:widowControl/>
              <w:jc w:val="center"/>
              <w:rPr>
                <w:rFonts w:hint="eastAsia" w:ascii="仿宋_GB2312" w:hAnsi="仿宋_GB2312" w:eastAsia="仿宋_GB2312" w:cs="仿宋_GB2312"/>
                <w:kern w:val="0"/>
                <w:sz w:val="20"/>
                <w:szCs w:val="20"/>
              </w:rPr>
            </w:pPr>
          </w:p>
        </w:tc>
        <w:tc>
          <w:tcPr>
            <w:tcW w:w="844" w:type="dxa"/>
            <w:vAlign w:val="center"/>
          </w:tcPr>
          <w:p>
            <w:pPr>
              <w:widowControl/>
              <w:jc w:val="center"/>
              <w:rPr>
                <w:rFonts w:hint="eastAsia" w:ascii="仿宋_GB2312" w:hAnsi="仿宋_GB2312" w:eastAsia="仿宋_GB2312" w:cs="仿宋_GB2312"/>
                <w:kern w:val="0"/>
                <w:sz w:val="20"/>
                <w:szCs w:val="20"/>
              </w:rPr>
            </w:pPr>
          </w:p>
        </w:tc>
        <w:tc>
          <w:tcPr>
            <w:tcW w:w="112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16.3</w:t>
            </w:r>
          </w:p>
        </w:tc>
        <w:tc>
          <w:tcPr>
            <w:tcW w:w="1265" w:type="dxa"/>
            <w:vAlign w:val="center"/>
          </w:tcPr>
          <w:p>
            <w:pPr>
              <w:widowControl/>
              <w:jc w:val="center"/>
              <w:rPr>
                <w:rFonts w:hint="eastAsia" w:ascii="仿宋_GB2312" w:hAnsi="仿宋_GB2312" w:eastAsia="仿宋_GB2312" w:cs="仿宋_GB2312"/>
                <w:kern w:val="0"/>
                <w:sz w:val="20"/>
                <w:szCs w:val="20"/>
              </w:rPr>
            </w:pPr>
          </w:p>
        </w:tc>
        <w:tc>
          <w:tcPr>
            <w:tcW w:w="84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color w:val="000000"/>
                <w:sz w:val="20"/>
                <w:szCs w:val="20"/>
              </w:rPr>
              <w:t>2026</w:t>
            </w:r>
          </w:p>
        </w:tc>
        <w:tc>
          <w:tcPr>
            <w:tcW w:w="84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color w:val="000000"/>
                <w:sz w:val="20"/>
                <w:szCs w:val="20"/>
              </w:rPr>
              <w:t>2028</w:t>
            </w:r>
          </w:p>
        </w:tc>
        <w:tc>
          <w:tcPr>
            <w:tcW w:w="704" w:type="dxa"/>
            <w:vAlign w:val="center"/>
          </w:tcPr>
          <w:p>
            <w:pPr>
              <w:widowControl/>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42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w:t>
            </w:r>
          </w:p>
        </w:tc>
        <w:tc>
          <w:tcPr>
            <w:tcW w:w="4209"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回龙河至天曌山隧道工程</w:t>
            </w:r>
          </w:p>
        </w:tc>
        <w:tc>
          <w:tcPr>
            <w:tcW w:w="70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新建</w:t>
            </w:r>
          </w:p>
        </w:tc>
        <w:tc>
          <w:tcPr>
            <w:tcW w:w="70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18</w:t>
            </w:r>
          </w:p>
        </w:tc>
        <w:tc>
          <w:tcPr>
            <w:tcW w:w="70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704" w:type="dxa"/>
            <w:vAlign w:val="center"/>
          </w:tcPr>
          <w:p>
            <w:pPr>
              <w:widowControl/>
              <w:jc w:val="center"/>
              <w:rPr>
                <w:rFonts w:hint="eastAsia" w:ascii="仿宋_GB2312" w:hAnsi="仿宋_GB2312" w:eastAsia="仿宋_GB2312" w:cs="仿宋_GB2312"/>
                <w:kern w:val="0"/>
                <w:sz w:val="20"/>
                <w:szCs w:val="20"/>
              </w:rPr>
            </w:pPr>
          </w:p>
        </w:tc>
        <w:tc>
          <w:tcPr>
            <w:tcW w:w="704" w:type="dxa"/>
            <w:vAlign w:val="center"/>
          </w:tcPr>
          <w:p>
            <w:pPr>
              <w:widowControl/>
              <w:jc w:val="center"/>
              <w:rPr>
                <w:rFonts w:hint="eastAsia" w:ascii="仿宋_GB2312" w:hAnsi="仿宋_GB2312" w:eastAsia="仿宋_GB2312" w:cs="仿宋_GB2312"/>
                <w:kern w:val="0"/>
                <w:sz w:val="20"/>
                <w:szCs w:val="20"/>
              </w:rPr>
            </w:pPr>
          </w:p>
        </w:tc>
        <w:tc>
          <w:tcPr>
            <w:tcW w:w="84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17000</w:t>
            </w:r>
          </w:p>
        </w:tc>
        <w:tc>
          <w:tcPr>
            <w:tcW w:w="112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24.7</w:t>
            </w:r>
          </w:p>
        </w:tc>
        <w:tc>
          <w:tcPr>
            <w:tcW w:w="1265" w:type="dxa"/>
            <w:vAlign w:val="center"/>
          </w:tcPr>
          <w:p>
            <w:pPr>
              <w:widowControl/>
              <w:jc w:val="center"/>
              <w:rPr>
                <w:rFonts w:hint="eastAsia" w:ascii="仿宋_GB2312" w:hAnsi="仿宋_GB2312" w:eastAsia="仿宋_GB2312" w:cs="仿宋_GB2312"/>
                <w:kern w:val="0"/>
                <w:sz w:val="20"/>
                <w:szCs w:val="20"/>
              </w:rPr>
            </w:pPr>
          </w:p>
        </w:tc>
        <w:tc>
          <w:tcPr>
            <w:tcW w:w="84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color w:val="000000"/>
                <w:sz w:val="20"/>
                <w:szCs w:val="20"/>
              </w:rPr>
              <w:t>2031</w:t>
            </w:r>
          </w:p>
        </w:tc>
        <w:tc>
          <w:tcPr>
            <w:tcW w:w="84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color w:val="000000"/>
                <w:sz w:val="20"/>
                <w:szCs w:val="20"/>
              </w:rPr>
              <w:t>2035</w:t>
            </w:r>
          </w:p>
        </w:tc>
        <w:tc>
          <w:tcPr>
            <w:tcW w:w="704" w:type="dxa"/>
            <w:vAlign w:val="center"/>
          </w:tcPr>
          <w:p>
            <w:pPr>
              <w:widowControl/>
              <w:jc w:val="center"/>
              <w:rPr>
                <w:rFonts w:hint="eastAsia" w:ascii="仿宋_GB2312" w:hAnsi="仿宋_GB2312" w:eastAsia="仿宋_GB2312" w:cs="仿宋_GB2312"/>
                <w:kern w:val="0"/>
                <w:sz w:val="20"/>
                <w:szCs w:val="20"/>
              </w:rPr>
            </w:pPr>
          </w:p>
        </w:tc>
      </w:tr>
    </w:tbl>
    <w:p>
      <w:pPr>
        <w:pStyle w:val="2"/>
        <w:jc w:val="center"/>
        <w:rPr>
          <w:rFonts w:hint="eastAsia" w:ascii="仿宋_GB2312" w:hAnsi="仿宋_GB2312" w:eastAsia="仿宋_GB2312" w:cs="仿宋_GB2312"/>
        </w:rPr>
      </w:pPr>
    </w:p>
    <w:p>
      <w:pPr>
        <w:pStyle w:val="2"/>
        <w:jc w:val="left"/>
        <w:rPr>
          <w:rFonts w:hint="eastAsia" w:ascii="仿宋_GB2312" w:hAnsi="仿宋_GB2312" w:eastAsia="仿宋_GB2312" w:cs="仿宋_GB2312"/>
        </w:rPr>
        <w:sectPr>
          <w:pgSz w:w="16838" w:h="11906" w:orient="landscape"/>
          <w:pgMar w:top="1701" w:right="1531" w:bottom="1701" w:left="1531" w:header="851" w:footer="1418" w:gutter="0"/>
          <w:cols w:space="720" w:num="1"/>
          <w:docGrid w:type="lines" w:linePitch="312" w:charSpace="0"/>
        </w:sectPr>
      </w:pPr>
    </w:p>
    <w:p>
      <w:pPr>
        <w:pStyle w:val="5"/>
        <w:jc w:val="center"/>
        <w:rPr>
          <w:rFonts w:hint="eastAsia" w:ascii="仿宋_GB2312" w:hAnsi="仿宋_GB2312" w:eastAsia="仿宋_GB2312" w:cs="仿宋_GB2312"/>
          <w:b w:val="0"/>
        </w:rPr>
      </w:pPr>
      <w:bookmarkStart w:id="136" w:name="_Toc89264381"/>
      <w:bookmarkStart w:id="137" w:name="_Toc91148194"/>
      <w:bookmarkStart w:id="138" w:name="_Toc101432172"/>
      <w:bookmarkStart w:id="139" w:name="_Toc91150360"/>
      <w:bookmarkStart w:id="140" w:name="_Toc111036310"/>
      <w:bookmarkStart w:id="141" w:name="_Toc114070059"/>
      <w:bookmarkStart w:id="142" w:name="_Toc99786563"/>
      <w:r>
        <w:rPr>
          <w:rFonts w:hint="eastAsia" w:ascii="仿宋_GB2312" w:hAnsi="仿宋_GB2312" w:eastAsia="仿宋_GB2312" w:cs="仿宋_GB2312"/>
          <w:b w:val="0"/>
        </w:rPr>
        <w:t>附表5 利州区“十四五”农村公路建设汇总表</w:t>
      </w:r>
      <w:bookmarkEnd w:id="136"/>
      <w:bookmarkEnd w:id="137"/>
      <w:bookmarkEnd w:id="138"/>
      <w:bookmarkEnd w:id="139"/>
      <w:bookmarkEnd w:id="140"/>
      <w:bookmarkEnd w:id="141"/>
      <w:bookmarkEnd w:id="142"/>
    </w:p>
    <w:tbl>
      <w:tblPr>
        <w:tblStyle w:val="23"/>
        <w:tblW w:w="13778"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68"/>
        <w:gridCol w:w="3486"/>
        <w:gridCol w:w="2898"/>
        <w:gridCol w:w="2467"/>
        <w:gridCol w:w="2753"/>
        <w:gridCol w:w="1306"/>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86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序号</w:t>
            </w:r>
          </w:p>
        </w:tc>
        <w:tc>
          <w:tcPr>
            <w:tcW w:w="348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项目类型</w:t>
            </w:r>
          </w:p>
        </w:tc>
        <w:tc>
          <w:tcPr>
            <w:tcW w:w="289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建设规模（公里/座）</w:t>
            </w:r>
          </w:p>
        </w:tc>
        <w:tc>
          <w:tcPr>
            <w:tcW w:w="2467" w:type="dxa"/>
            <w:vAlign w:val="center"/>
          </w:tcPr>
          <w:p>
            <w:pPr>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总投资（万元）</w:t>
            </w:r>
          </w:p>
        </w:tc>
        <w:tc>
          <w:tcPr>
            <w:tcW w:w="275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建设年限</w:t>
            </w:r>
          </w:p>
        </w:tc>
        <w:tc>
          <w:tcPr>
            <w:tcW w:w="130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备注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4354" w:type="dxa"/>
            <w:gridSpan w:val="2"/>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合计</w:t>
            </w:r>
          </w:p>
        </w:tc>
        <w:tc>
          <w:tcPr>
            <w:tcW w:w="2898"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678.9、59座</w:t>
            </w:r>
          </w:p>
        </w:tc>
        <w:tc>
          <w:tcPr>
            <w:tcW w:w="2467"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245431</w:t>
            </w:r>
          </w:p>
        </w:tc>
        <w:tc>
          <w:tcPr>
            <w:tcW w:w="2753" w:type="dxa"/>
            <w:vAlign w:val="center"/>
          </w:tcPr>
          <w:p>
            <w:pPr>
              <w:widowControl/>
              <w:jc w:val="center"/>
              <w:rPr>
                <w:rFonts w:hint="eastAsia" w:ascii="仿宋_GB2312" w:hAnsi="仿宋_GB2312" w:eastAsia="仿宋_GB2312" w:cs="仿宋_GB2312"/>
                <w:kern w:val="0"/>
                <w:sz w:val="20"/>
                <w:szCs w:val="20"/>
              </w:rPr>
            </w:pPr>
          </w:p>
        </w:tc>
        <w:tc>
          <w:tcPr>
            <w:tcW w:w="1306" w:type="dxa"/>
            <w:vAlign w:val="center"/>
          </w:tcPr>
          <w:p>
            <w:pPr>
              <w:widowControl/>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86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348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撤并建制村通畅工程</w:t>
            </w:r>
          </w:p>
        </w:tc>
        <w:tc>
          <w:tcPr>
            <w:tcW w:w="289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173.9</w:t>
            </w:r>
          </w:p>
        </w:tc>
        <w:tc>
          <w:tcPr>
            <w:tcW w:w="246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10744</w:t>
            </w:r>
          </w:p>
        </w:tc>
        <w:tc>
          <w:tcPr>
            <w:tcW w:w="275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2021—2025</w:t>
            </w:r>
          </w:p>
        </w:tc>
        <w:tc>
          <w:tcPr>
            <w:tcW w:w="1306" w:type="dxa"/>
            <w:vAlign w:val="center"/>
          </w:tcPr>
          <w:p>
            <w:pPr>
              <w:widowControl/>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86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w:t>
            </w:r>
          </w:p>
        </w:tc>
        <w:tc>
          <w:tcPr>
            <w:tcW w:w="348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幸福美丽乡村路</w:t>
            </w:r>
          </w:p>
        </w:tc>
        <w:tc>
          <w:tcPr>
            <w:tcW w:w="289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108.3</w:t>
            </w:r>
          </w:p>
        </w:tc>
        <w:tc>
          <w:tcPr>
            <w:tcW w:w="246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76594</w:t>
            </w:r>
          </w:p>
        </w:tc>
        <w:tc>
          <w:tcPr>
            <w:tcW w:w="275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2021—2025</w:t>
            </w:r>
          </w:p>
        </w:tc>
        <w:tc>
          <w:tcPr>
            <w:tcW w:w="1306" w:type="dxa"/>
            <w:vAlign w:val="center"/>
          </w:tcPr>
          <w:p>
            <w:pPr>
              <w:widowControl/>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86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w:t>
            </w:r>
          </w:p>
        </w:tc>
        <w:tc>
          <w:tcPr>
            <w:tcW w:w="348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县乡道改善提升</w:t>
            </w:r>
          </w:p>
        </w:tc>
        <w:tc>
          <w:tcPr>
            <w:tcW w:w="289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119</w:t>
            </w:r>
          </w:p>
        </w:tc>
        <w:tc>
          <w:tcPr>
            <w:tcW w:w="246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108336</w:t>
            </w:r>
          </w:p>
        </w:tc>
        <w:tc>
          <w:tcPr>
            <w:tcW w:w="275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2021—2025</w:t>
            </w:r>
          </w:p>
        </w:tc>
        <w:tc>
          <w:tcPr>
            <w:tcW w:w="1306" w:type="dxa"/>
            <w:vAlign w:val="center"/>
          </w:tcPr>
          <w:p>
            <w:pPr>
              <w:widowControl/>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86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w:t>
            </w:r>
          </w:p>
        </w:tc>
        <w:tc>
          <w:tcPr>
            <w:tcW w:w="348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通村公路提档升级（四级双车道）</w:t>
            </w:r>
          </w:p>
        </w:tc>
        <w:tc>
          <w:tcPr>
            <w:tcW w:w="289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142</w:t>
            </w:r>
          </w:p>
        </w:tc>
        <w:tc>
          <w:tcPr>
            <w:tcW w:w="246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28323</w:t>
            </w:r>
          </w:p>
        </w:tc>
        <w:tc>
          <w:tcPr>
            <w:tcW w:w="275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2021—2025</w:t>
            </w:r>
          </w:p>
        </w:tc>
        <w:tc>
          <w:tcPr>
            <w:tcW w:w="1306" w:type="dxa"/>
            <w:vAlign w:val="center"/>
          </w:tcPr>
          <w:p>
            <w:pPr>
              <w:widowControl/>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86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5</w:t>
            </w:r>
          </w:p>
        </w:tc>
        <w:tc>
          <w:tcPr>
            <w:tcW w:w="348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通组路</w:t>
            </w:r>
          </w:p>
        </w:tc>
        <w:tc>
          <w:tcPr>
            <w:tcW w:w="289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35.7</w:t>
            </w:r>
          </w:p>
        </w:tc>
        <w:tc>
          <w:tcPr>
            <w:tcW w:w="246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3570</w:t>
            </w:r>
          </w:p>
        </w:tc>
        <w:tc>
          <w:tcPr>
            <w:tcW w:w="275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2021—2025</w:t>
            </w:r>
          </w:p>
        </w:tc>
        <w:tc>
          <w:tcPr>
            <w:tcW w:w="1306" w:type="dxa"/>
            <w:vAlign w:val="center"/>
          </w:tcPr>
          <w:p>
            <w:pPr>
              <w:widowControl/>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86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6</w:t>
            </w:r>
          </w:p>
        </w:tc>
        <w:tc>
          <w:tcPr>
            <w:tcW w:w="348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桥梁工程</w:t>
            </w:r>
          </w:p>
        </w:tc>
        <w:tc>
          <w:tcPr>
            <w:tcW w:w="289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59座</w:t>
            </w:r>
          </w:p>
        </w:tc>
        <w:tc>
          <w:tcPr>
            <w:tcW w:w="246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15364</w:t>
            </w:r>
          </w:p>
        </w:tc>
        <w:tc>
          <w:tcPr>
            <w:tcW w:w="275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2021—2025</w:t>
            </w:r>
          </w:p>
        </w:tc>
        <w:tc>
          <w:tcPr>
            <w:tcW w:w="1306" w:type="dxa"/>
            <w:vAlign w:val="center"/>
          </w:tcPr>
          <w:p>
            <w:pPr>
              <w:widowControl/>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86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7</w:t>
            </w:r>
          </w:p>
        </w:tc>
        <w:tc>
          <w:tcPr>
            <w:tcW w:w="348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安全生命防护工程</w:t>
            </w:r>
          </w:p>
        </w:tc>
        <w:tc>
          <w:tcPr>
            <w:tcW w:w="2898"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100</w:t>
            </w:r>
          </w:p>
        </w:tc>
        <w:tc>
          <w:tcPr>
            <w:tcW w:w="246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2500</w:t>
            </w:r>
          </w:p>
        </w:tc>
        <w:tc>
          <w:tcPr>
            <w:tcW w:w="275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2021—2025</w:t>
            </w:r>
          </w:p>
        </w:tc>
        <w:tc>
          <w:tcPr>
            <w:tcW w:w="1306" w:type="dxa"/>
            <w:vAlign w:val="center"/>
          </w:tcPr>
          <w:p>
            <w:pPr>
              <w:widowControl/>
              <w:jc w:val="center"/>
              <w:rPr>
                <w:rFonts w:hint="eastAsia" w:ascii="仿宋_GB2312" w:hAnsi="仿宋_GB2312" w:eastAsia="仿宋_GB2312" w:cs="仿宋_GB2312"/>
                <w:kern w:val="0"/>
                <w:sz w:val="20"/>
                <w:szCs w:val="20"/>
              </w:rPr>
            </w:pPr>
          </w:p>
        </w:tc>
      </w:tr>
    </w:tbl>
    <w:p>
      <w:pPr>
        <w:rPr>
          <w:rFonts w:hint="eastAsia" w:ascii="仿宋_GB2312" w:hAnsi="仿宋_GB2312" w:eastAsia="仿宋_GB2312" w:cs="仿宋_GB2312"/>
        </w:rPr>
      </w:pPr>
    </w:p>
    <w:p>
      <w:pPr>
        <w:pStyle w:val="2"/>
        <w:jc w:val="left"/>
        <w:rPr>
          <w:rFonts w:hint="eastAsia" w:ascii="仿宋_GB2312" w:hAnsi="仿宋_GB2312" w:eastAsia="仿宋_GB2312" w:cs="仿宋_GB2312"/>
        </w:rPr>
      </w:pPr>
    </w:p>
    <w:p>
      <w:pPr>
        <w:pStyle w:val="2"/>
        <w:jc w:val="left"/>
        <w:rPr>
          <w:rFonts w:hint="eastAsia" w:ascii="仿宋_GB2312" w:hAnsi="仿宋_GB2312" w:eastAsia="仿宋_GB2312" w:cs="仿宋_GB2312"/>
        </w:rPr>
      </w:pPr>
    </w:p>
    <w:p>
      <w:pPr>
        <w:pStyle w:val="2"/>
        <w:jc w:val="left"/>
        <w:rPr>
          <w:rFonts w:hint="eastAsia" w:ascii="仿宋_GB2312" w:hAnsi="仿宋_GB2312" w:eastAsia="仿宋_GB2312" w:cs="仿宋_GB2312"/>
        </w:rPr>
        <w:sectPr>
          <w:pgSz w:w="16838" w:h="11906" w:orient="landscape"/>
          <w:pgMar w:top="1701" w:right="1531" w:bottom="1701" w:left="1531" w:header="851" w:footer="1418" w:gutter="0"/>
          <w:cols w:space="720" w:num="1"/>
          <w:docGrid w:type="lines" w:linePitch="312" w:charSpace="0"/>
        </w:sectPr>
      </w:pPr>
    </w:p>
    <w:p>
      <w:pPr>
        <w:pStyle w:val="5"/>
        <w:jc w:val="center"/>
        <w:rPr>
          <w:rFonts w:hint="eastAsia" w:ascii="仿宋_GB2312" w:hAnsi="仿宋_GB2312" w:eastAsia="仿宋_GB2312" w:cs="仿宋_GB2312"/>
          <w:b w:val="0"/>
        </w:rPr>
      </w:pPr>
      <w:bookmarkStart w:id="143" w:name="_Toc114070060"/>
      <w:bookmarkStart w:id="144" w:name="_Toc91148195"/>
      <w:bookmarkStart w:id="145" w:name="_Toc101432173"/>
      <w:bookmarkStart w:id="146" w:name="_Toc89264382"/>
      <w:bookmarkStart w:id="147" w:name="_Toc99786564"/>
      <w:bookmarkStart w:id="148" w:name="_Toc91150361"/>
      <w:bookmarkStart w:id="149" w:name="_Toc111036311"/>
      <w:r>
        <w:rPr>
          <w:rFonts w:hint="eastAsia" w:ascii="仿宋_GB2312" w:hAnsi="仿宋_GB2312" w:eastAsia="仿宋_GB2312" w:cs="仿宋_GB2312"/>
          <w:b w:val="0"/>
        </w:rPr>
        <w:t>附表6 利州区“十四五”内河水运建设项目表</w:t>
      </w:r>
      <w:bookmarkEnd w:id="143"/>
      <w:bookmarkEnd w:id="144"/>
      <w:bookmarkEnd w:id="145"/>
      <w:bookmarkEnd w:id="146"/>
      <w:bookmarkEnd w:id="147"/>
      <w:bookmarkEnd w:id="148"/>
      <w:bookmarkEnd w:id="149"/>
    </w:p>
    <w:tbl>
      <w:tblPr>
        <w:tblStyle w:val="23"/>
        <w:tblW w:w="13778"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05"/>
        <w:gridCol w:w="2090"/>
        <w:gridCol w:w="3499"/>
        <w:gridCol w:w="1058"/>
        <w:gridCol w:w="1311"/>
        <w:gridCol w:w="1182"/>
        <w:gridCol w:w="1065"/>
        <w:gridCol w:w="1312"/>
        <w:gridCol w:w="666"/>
        <w:gridCol w:w="666"/>
        <w:gridCol w:w="52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tblHeader/>
          <w:jc w:val="center"/>
        </w:trPr>
        <w:tc>
          <w:tcPr>
            <w:tcW w:w="405" w:type="dxa"/>
            <w:vMerge w:val="restart"/>
            <w:tcMar>
              <w:left w:w="17" w:type="dxa"/>
              <w:right w:w="17" w:type="dxa"/>
            </w:tcMar>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序号</w:t>
            </w:r>
          </w:p>
        </w:tc>
        <w:tc>
          <w:tcPr>
            <w:tcW w:w="2090" w:type="dxa"/>
            <w:vMerge w:val="restart"/>
            <w:tcMar>
              <w:left w:w="17" w:type="dxa"/>
              <w:right w:w="17" w:type="dxa"/>
            </w:tcMar>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项目名称</w:t>
            </w:r>
          </w:p>
        </w:tc>
        <w:tc>
          <w:tcPr>
            <w:tcW w:w="3499" w:type="dxa"/>
            <w:vMerge w:val="restart"/>
            <w:tcMar>
              <w:left w:w="17" w:type="dxa"/>
              <w:right w:w="17" w:type="dxa"/>
            </w:tcMar>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建设规模</w:t>
            </w:r>
          </w:p>
        </w:tc>
        <w:tc>
          <w:tcPr>
            <w:tcW w:w="3551" w:type="dxa"/>
            <w:gridSpan w:val="3"/>
            <w:vMerge w:val="restart"/>
            <w:tcMar>
              <w:left w:w="17" w:type="dxa"/>
              <w:right w:w="17" w:type="dxa"/>
            </w:tcMar>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所在水域</w:t>
            </w:r>
          </w:p>
        </w:tc>
        <w:tc>
          <w:tcPr>
            <w:tcW w:w="1065" w:type="dxa"/>
            <w:vMerge w:val="restart"/>
            <w:tcMar>
              <w:left w:w="17" w:type="dxa"/>
              <w:right w:w="17" w:type="dxa"/>
            </w:tcMar>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总投资</w:t>
            </w:r>
          </w:p>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（万元）</w:t>
            </w:r>
          </w:p>
        </w:tc>
        <w:tc>
          <w:tcPr>
            <w:tcW w:w="1312" w:type="dxa"/>
            <w:vMerge w:val="restart"/>
            <w:tcMar>
              <w:left w:w="17" w:type="dxa"/>
              <w:right w:w="17" w:type="dxa"/>
            </w:tcMar>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“十四五”投资（万元）</w:t>
            </w:r>
          </w:p>
        </w:tc>
        <w:tc>
          <w:tcPr>
            <w:tcW w:w="1332" w:type="dxa"/>
            <w:gridSpan w:val="2"/>
            <w:tcMar>
              <w:left w:w="17" w:type="dxa"/>
              <w:right w:w="17" w:type="dxa"/>
            </w:tcMar>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规划建设年份</w:t>
            </w:r>
          </w:p>
        </w:tc>
        <w:tc>
          <w:tcPr>
            <w:tcW w:w="524" w:type="dxa"/>
            <w:vMerge w:val="restart"/>
            <w:tcMar>
              <w:left w:w="17" w:type="dxa"/>
              <w:right w:w="17" w:type="dxa"/>
            </w:tcMar>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备注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tblHeader/>
          <w:jc w:val="center"/>
        </w:trPr>
        <w:tc>
          <w:tcPr>
            <w:tcW w:w="405" w:type="dxa"/>
            <w:vMerge w:val="continue"/>
            <w:tcMar>
              <w:left w:w="17" w:type="dxa"/>
              <w:right w:w="17" w:type="dxa"/>
            </w:tcMar>
            <w:vAlign w:val="center"/>
          </w:tcPr>
          <w:p>
            <w:pPr>
              <w:widowControl/>
              <w:jc w:val="center"/>
              <w:rPr>
                <w:rFonts w:hint="eastAsia" w:ascii="仿宋_GB2312" w:hAnsi="仿宋_GB2312" w:eastAsia="仿宋_GB2312" w:cs="仿宋_GB2312"/>
                <w:b/>
                <w:bCs/>
                <w:kern w:val="0"/>
                <w:sz w:val="20"/>
                <w:szCs w:val="20"/>
              </w:rPr>
            </w:pPr>
          </w:p>
        </w:tc>
        <w:tc>
          <w:tcPr>
            <w:tcW w:w="2090" w:type="dxa"/>
            <w:vMerge w:val="continue"/>
            <w:tcMar>
              <w:left w:w="17" w:type="dxa"/>
              <w:right w:w="17" w:type="dxa"/>
            </w:tcMar>
            <w:vAlign w:val="center"/>
          </w:tcPr>
          <w:p>
            <w:pPr>
              <w:widowControl/>
              <w:jc w:val="center"/>
              <w:rPr>
                <w:rFonts w:hint="eastAsia" w:ascii="仿宋_GB2312" w:hAnsi="仿宋_GB2312" w:eastAsia="仿宋_GB2312" w:cs="仿宋_GB2312"/>
                <w:b/>
                <w:bCs/>
                <w:kern w:val="0"/>
                <w:sz w:val="20"/>
                <w:szCs w:val="20"/>
              </w:rPr>
            </w:pPr>
          </w:p>
        </w:tc>
        <w:tc>
          <w:tcPr>
            <w:tcW w:w="3499" w:type="dxa"/>
            <w:vMerge w:val="continue"/>
            <w:tcMar>
              <w:left w:w="17" w:type="dxa"/>
              <w:right w:w="17" w:type="dxa"/>
            </w:tcMar>
            <w:vAlign w:val="center"/>
          </w:tcPr>
          <w:p>
            <w:pPr>
              <w:widowControl/>
              <w:jc w:val="center"/>
              <w:rPr>
                <w:rFonts w:hint="eastAsia" w:ascii="仿宋_GB2312" w:hAnsi="仿宋_GB2312" w:eastAsia="仿宋_GB2312" w:cs="仿宋_GB2312"/>
                <w:b/>
                <w:bCs/>
                <w:kern w:val="0"/>
                <w:sz w:val="20"/>
                <w:szCs w:val="20"/>
              </w:rPr>
            </w:pPr>
          </w:p>
        </w:tc>
        <w:tc>
          <w:tcPr>
            <w:tcW w:w="3551" w:type="dxa"/>
            <w:gridSpan w:val="3"/>
            <w:vMerge w:val="continue"/>
            <w:tcMar>
              <w:left w:w="17" w:type="dxa"/>
              <w:right w:w="17" w:type="dxa"/>
            </w:tcMar>
            <w:vAlign w:val="center"/>
          </w:tcPr>
          <w:p>
            <w:pPr>
              <w:widowControl/>
              <w:jc w:val="center"/>
              <w:rPr>
                <w:rFonts w:hint="eastAsia" w:ascii="仿宋_GB2312" w:hAnsi="仿宋_GB2312" w:eastAsia="仿宋_GB2312" w:cs="仿宋_GB2312"/>
                <w:b/>
                <w:bCs/>
                <w:kern w:val="0"/>
                <w:sz w:val="20"/>
                <w:szCs w:val="20"/>
              </w:rPr>
            </w:pPr>
          </w:p>
        </w:tc>
        <w:tc>
          <w:tcPr>
            <w:tcW w:w="1065" w:type="dxa"/>
            <w:vMerge w:val="continue"/>
            <w:tcMar>
              <w:left w:w="17" w:type="dxa"/>
              <w:right w:w="17" w:type="dxa"/>
            </w:tcMar>
            <w:vAlign w:val="center"/>
          </w:tcPr>
          <w:p>
            <w:pPr>
              <w:widowControl/>
              <w:jc w:val="center"/>
              <w:rPr>
                <w:rFonts w:hint="eastAsia" w:ascii="仿宋_GB2312" w:hAnsi="仿宋_GB2312" w:eastAsia="仿宋_GB2312" w:cs="仿宋_GB2312"/>
                <w:b/>
                <w:bCs/>
                <w:kern w:val="0"/>
                <w:sz w:val="20"/>
                <w:szCs w:val="20"/>
              </w:rPr>
            </w:pPr>
          </w:p>
        </w:tc>
        <w:tc>
          <w:tcPr>
            <w:tcW w:w="1312" w:type="dxa"/>
            <w:vMerge w:val="continue"/>
            <w:tcMar>
              <w:left w:w="17" w:type="dxa"/>
              <w:right w:w="17" w:type="dxa"/>
            </w:tcMar>
            <w:vAlign w:val="center"/>
          </w:tcPr>
          <w:p>
            <w:pPr>
              <w:widowControl/>
              <w:jc w:val="center"/>
              <w:rPr>
                <w:rFonts w:hint="eastAsia" w:ascii="仿宋_GB2312" w:hAnsi="仿宋_GB2312" w:eastAsia="仿宋_GB2312" w:cs="仿宋_GB2312"/>
                <w:kern w:val="0"/>
                <w:sz w:val="20"/>
                <w:szCs w:val="20"/>
              </w:rPr>
            </w:pPr>
          </w:p>
        </w:tc>
        <w:tc>
          <w:tcPr>
            <w:tcW w:w="666" w:type="dxa"/>
            <w:tcMar>
              <w:left w:w="17" w:type="dxa"/>
              <w:right w:w="17" w:type="dxa"/>
            </w:tcMar>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开工年</w:t>
            </w:r>
          </w:p>
        </w:tc>
        <w:tc>
          <w:tcPr>
            <w:tcW w:w="666" w:type="dxa"/>
            <w:tcMar>
              <w:left w:w="17" w:type="dxa"/>
              <w:right w:w="17" w:type="dxa"/>
            </w:tcMar>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完工年</w:t>
            </w:r>
          </w:p>
        </w:tc>
        <w:tc>
          <w:tcPr>
            <w:tcW w:w="524" w:type="dxa"/>
            <w:vMerge w:val="continue"/>
            <w:tcMar>
              <w:left w:w="17" w:type="dxa"/>
              <w:right w:w="17" w:type="dxa"/>
            </w:tcMar>
            <w:vAlign w:val="center"/>
          </w:tcPr>
          <w:p>
            <w:pPr>
              <w:widowControl/>
              <w:jc w:val="center"/>
              <w:rPr>
                <w:rFonts w:hint="eastAsia" w:ascii="仿宋_GB2312" w:hAnsi="仿宋_GB2312" w:eastAsia="仿宋_GB2312" w:cs="仿宋_GB2312"/>
                <w:b/>
                <w:bCs/>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5994" w:type="dxa"/>
            <w:gridSpan w:val="3"/>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合计</w:t>
            </w:r>
          </w:p>
        </w:tc>
        <w:tc>
          <w:tcPr>
            <w:tcW w:w="3551" w:type="dxa"/>
            <w:gridSpan w:val="3"/>
            <w:vAlign w:val="center"/>
          </w:tcPr>
          <w:p>
            <w:pPr>
              <w:widowControl/>
              <w:jc w:val="center"/>
              <w:rPr>
                <w:rFonts w:hint="eastAsia" w:ascii="仿宋_GB2312" w:hAnsi="仿宋_GB2312" w:eastAsia="仿宋_GB2312" w:cs="仿宋_GB2312"/>
                <w:b/>
                <w:bCs/>
                <w:kern w:val="0"/>
                <w:sz w:val="20"/>
                <w:szCs w:val="20"/>
              </w:rPr>
            </w:pPr>
          </w:p>
        </w:tc>
        <w:tc>
          <w:tcPr>
            <w:tcW w:w="1065"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sz w:val="20"/>
                <w:szCs w:val="20"/>
              </w:rPr>
              <w:t>66112</w:t>
            </w:r>
          </w:p>
        </w:tc>
        <w:tc>
          <w:tcPr>
            <w:tcW w:w="1312"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sz w:val="20"/>
                <w:szCs w:val="20"/>
              </w:rPr>
              <w:t>11112</w:t>
            </w:r>
          </w:p>
        </w:tc>
        <w:tc>
          <w:tcPr>
            <w:tcW w:w="666" w:type="dxa"/>
            <w:vAlign w:val="center"/>
          </w:tcPr>
          <w:p>
            <w:pPr>
              <w:widowControl/>
              <w:jc w:val="center"/>
              <w:rPr>
                <w:rFonts w:hint="eastAsia" w:ascii="仿宋_GB2312" w:hAnsi="仿宋_GB2312" w:eastAsia="仿宋_GB2312" w:cs="仿宋_GB2312"/>
                <w:b/>
                <w:bCs/>
                <w:kern w:val="0"/>
                <w:sz w:val="20"/>
                <w:szCs w:val="20"/>
              </w:rPr>
            </w:pPr>
          </w:p>
        </w:tc>
        <w:tc>
          <w:tcPr>
            <w:tcW w:w="666" w:type="dxa"/>
            <w:vAlign w:val="center"/>
          </w:tcPr>
          <w:p>
            <w:pPr>
              <w:widowControl/>
              <w:jc w:val="center"/>
              <w:rPr>
                <w:rFonts w:hint="eastAsia" w:ascii="仿宋_GB2312" w:hAnsi="仿宋_GB2312" w:eastAsia="仿宋_GB2312" w:cs="仿宋_GB2312"/>
                <w:b/>
                <w:bCs/>
                <w:kern w:val="0"/>
                <w:sz w:val="20"/>
                <w:szCs w:val="20"/>
              </w:rPr>
            </w:pPr>
          </w:p>
        </w:tc>
        <w:tc>
          <w:tcPr>
            <w:tcW w:w="524" w:type="dxa"/>
            <w:vAlign w:val="center"/>
          </w:tcPr>
          <w:p>
            <w:pPr>
              <w:widowControl/>
              <w:jc w:val="center"/>
              <w:rPr>
                <w:rFonts w:hint="eastAsia" w:ascii="仿宋_GB2312" w:hAnsi="仿宋_GB2312" w:eastAsia="仿宋_GB2312" w:cs="仿宋_GB2312"/>
                <w:b/>
                <w:bCs/>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5994" w:type="dxa"/>
            <w:gridSpan w:val="3"/>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一、桥梁建设</w:t>
            </w:r>
          </w:p>
        </w:tc>
        <w:tc>
          <w:tcPr>
            <w:tcW w:w="3551" w:type="dxa"/>
            <w:gridSpan w:val="3"/>
            <w:vAlign w:val="center"/>
          </w:tcPr>
          <w:p>
            <w:pPr>
              <w:widowControl/>
              <w:jc w:val="center"/>
              <w:rPr>
                <w:rFonts w:hint="eastAsia" w:ascii="仿宋_GB2312" w:hAnsi="仿宋_GB2312" w:eastAsia="仿宋_GB2312" w:cs="仿宋_GB2312"/>
                <w:b/>
                <w:bCs/>
                <w:kern w:val="0"/>
                <w:sz w:val="20"/>
                <w:szCs w:val="20"/>
              </w:rPr>
            </w:pPr>
          </w:p>
        </w:tc>
        <w:tc>
          <w:tcPr>
            <w:tcW w:w="1065"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sz w:val="20"/>
                <w:szCs w:val="20"/>
              </w:rPr>
              <w:t>56400</w:t>
            </w:r>
          </w:p>
        </w:tc>
        <w:tc>
          <w:tcPr>
            <w:tcW w:w="1312"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sz w:val="20"/>
                <w:szCs w:val="20"/>
              </w:rPr>
              <w:t>1400</w:t>
            </w:r>
          </w:p>
        </w:tc>
        <w:tc>
          <w:tcPr>
            <w:tcW w:w="666" w:type="dxa"/>
            <w:vAlign w:val="center"/>
          </w:tcPr>
          <w:p>
            <w:pPr>
              <w:widowControl/>
              <w:jc w:val="center"/>
              <w:rPr>
                <w:rFonts w:hint="eastAsia" w:ascii="仿宋_GB2312" w:hAnsi="仿宋_GB2312" w:eastAsia="仿宋_GB2312" w:cs="仿宋_GB2312"/>
                <w:b/>
                <w:bCs/>
                <w:kern w:val="0"/>
                <w:sz w:val="20"/>
                <w:szCs w:val="20"/>
              </w:rPr>
            </w:pPr>
          </w:p>
        </w:tc>
        <w:tc>
          <w:tcPr>
            <w:tcW w:w="666" w:type="dxa"/>
            <w:vAlign w:val="center"/>
          </w:tcPr>
          <w:p>
            <w:pPr>
              <w:widowControl/>
              <w:jc w:val="center"/>
              <w:rPr>
                <w:rFonts w:hint="eastAsia" w:ascii="仿宋_GB2312" w:hAnsi="仿宋_GB2312" w:eastAsia="仿宋_GB2312" w:cs="仿宋_GB2312"/>
                <w:b/>
                <w:bCs/>
                <w:kern w:val="0"/>
                <w:sz w:val="20"/>
                <w:szCs w:val="20"/>
              </w:rPr>
            </w:pPr>
          </w:p>
        </w:tc>
        <w:tc>
          <w:tcPr>
            <w:tcW w:w="524" w:type="dxa"/>
            <w:vAlign w:val="center"/>
          </w:tcPr>
          <w:p>
            <w:pPr>
              <w:widowControl/>
              <w:jc w:val="center"/>
              <w:rPr>
                <w:rFonts w:hint="eastAsia" w:ascii="仿宋_GB2312" w:hAnsi="仿宋_GB2312" w:eastAsia="仿宋_GB2312" w:cs="仿宋_GB2312"/>
                <w:b/>
                <w:bCs/>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405" w:type="dxa"/>
            <w:vAlign w:val="center"/>
          </w:tcPr>
          <w:p>
            <w:pPr>
              <w:widowControl/>
              <w:jc w:val="center"/>
              <w:rPr>
                <w:rFonts w:hint="eastAsia" w:ascii="仿宋_GB2312" w:hAnsi="仿宋_GB2312" w:eastAsia="仿宋_GB2312" w:cs="仿宋_GB2312"/>
                <w:bCs/>
                <w:kern w:val="0"/>
                <w:sz w:val="20"/>
                <w:szCs w:val="20"/>
              </w:rPr>
            </w:pPr>
            <w:r>
              <w:rPr>
                <w:rFonts w:hint="eastAsia" w:ascii="仿宋_GB2312" w:hAnsi="仿宋_GB2312" w:eastAsia="仿宋_GB2312" w:cs="仿宋_GB2312"/>
                <w:bCs/>
                <w:kern w:val="0"/>
                <w:sz w:val="20"/>
                <w:szCs w:val="20"/>
              </w:rPr>
              <w:t>1</w:t>
            </w:r>
          </w:p>
        </w:tc>
        <w:tc>
          <w:tcPr>
            <w:tcW w:w="2090"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白龙江大桥</w:t>
            </w:r>
          </w:p>
        </w:tc>
        <w:tc>
          <w:tcPr>
            <w:tcW w:w="3499"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448延米</w:t>
            </w:r>
          </w:p>
        </w:tc>
        <w:tc>
          <w:tcPr>
            <w:tcW w:w="3551" w:type="dxa"/>
            <w:gridSpan w:val="3"/>
            <w:vAlign w:val="center"/>
          </w:tcPr>
          <w:p>
            <w:pPr>
              <w:widowControl/>
              <w:jc w:val="center"/>
              <w:rPr>
                <w:rFonts w:hint="eastAsia" w:ascii="仿宋_GB2312" w:hAnsi="仿宋_GB2312" w:eastAsia="仿宋_GB2312" w:cs="仿宋_GB2312"/>
                <w:b/>
                <w:bCs/>
                <w:kern w:val="0"/>
                <w:sz w:val="20"/>
                <w:szCs w:val="20"/>
              </w:rPr>
            </w:pPr>
          </w:p>
        </w:tc>
        <w:tc>
          <w:tcPr>
            <w:tcW w:w="1065"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sz w:val="20"/>
                <w:szCs w:val="20"/>
              </w:rPr>
              <w:t>1400</w:t>
            </w:r>
          </w:p>
        </w:tc>
        <w:tc>
          <w:tcPr>
            <w:tcW w:w="1312"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sz w:val="20"/>
                <w:szCs w:val="20"/>
              </w:rPr>
              <w:t>1400</w:t>
            </w:r>
          </w:p>
        </w:tc>
        <w:tc>
          <w:tcPr>
            <w:tcW w:w="66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2021</w:t>
            </w:r>
          </w:p>
        </w:tc>
        <w:tc>
          <w:tcPr>
            <w:tcW w:w="66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2021</w:t>
            </w:r>
          </w:p>
        </w:tc>
        <w:tc>
          <w:tcPr>
            <w:tcW w:w="524" w:type="dxa"/>
            <w:vAlign w:val="center"/>
          </w:tcPr>
          <w:p>
            <w:pPr>
              <w:widowControl/>
              <w:jc w:val="center"/>
              <w:rPr>
                <w:rFonts w:hint="eastAsia" w:ascii="仿宋_GB2312" w:hAnsi="仿宋_GB2312" w:eastAsia="仿宋_GB2312" w:cs="仿宋_GB2312"/>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405" w:type="dxa"/>
            <w:vAlign w:val="center"/>
          </w:tcPr>
          <w:p>
            <w:pPr>
              <w:widowControl/>
              <w:jc w:val="center"/>
              <w:rPr>
                <w:rFonts w:hint="eastAsia" w:ascii="仿宋_GB2312" w:hAnsi="仿宋_GB2312" w:eastAsia="仿宋_GB2312" w:cs="仿宋_GB2312"/>
                <w:bCs/>
                <w:kern w:val="0"/>
                <w:sz w:val="20"/>
                <w:szCs w:val="20"/>
              </w:rPr>
            </w:pPr>
            <w:r>
              <w:rPr>
                <w:rFonts w:hint="eastAsia" w:ascii="仿宋_GB2312" w:hAnsi="仿宋_GB2312" w:eastAsia="仿宋_GB2312" w:cs="仿宋_GB2312"/>
                <w:bCs/>
                <w:kern w:val="0"/>
                <w:sz w:val="20"/>
                <w:szCs w:val="20"/>
              </w:rPr>
              <w:t>2</w:t>
            </w:r>
          </w:p>
        </w:tc>
        <w:tc>
          <w:tcPr>
            <w:tcW w:w="2090"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金洞乡白龙江特大桥新建工程</w:t>
            </w:r>
          </w:p>
        </w:tc>
        <w:tc>
          <w:tcPr>
            <w:tcW w:w="3499"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1100延米</w:t>
            </w:r>
          </w:p>
        </w:tc>
        <w:tc>
          <w:tcPr>
            <w:tcW w:w="3551" w:type="dxa"/>
            <w:gridSpan w:val="3"/>
            <w:vAlign w:val="center"/>
          </w:tcPr>
          <w:p>
            <w:pPr>
              <w:widowControl/>
              <w:jc w:val="center"/>
              <w:rPr>
                <w:rFonts w:hint="eastAsia" w:ascii="仿宋_GB2312" w:hAnsi="仿宋_GB2312" w:eastAsia="仿宋_GB2312" w:cs="仿宋_GB2312"/>
                <w:b/>
                <w:bCs/>
                <w:kern w:val="0"/>
                <w:sz w:val="20"/>
                <w:szCs w:val="20"/>
              </w:rPr>
            </w:pPr>
          </w:p>
        </w:tc>
        <w:tc>
          <w:tcPr>
            <w:tcW w:w="1065"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sz w:val="20"/>
                <w:szCs w:val="20"/>
              </w:rPr>
              <w:t>55000</w:t>
            </w:r>
          </w:p>
        </w:tc>
        <w:tc>
          <w:tcPr>
            <w:tcW w:w="1312"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sz w:val="20"/>
                <w:szCs w:val="20"/>
              </w:rPr>
              <w:t>0</w:t>
            </w:r>
          </w:p>
        </w:tc>
        <w:tc>
          <w:tcPr>
            <w:tcW w:w="66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2026</w:t>
            </w:r>
          </w:p>
        </w:tc>
        <w:tc>
          <w:tcPr>
            <w:tcW w:w="66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2030</w:t>
            </w:r>
          </w:p>
        </w:tc>
        <w:tc>
          <w:tcPr>
            <w:tcW w:w="524" w:type="dxa"/>
            <w:vAlign w:val="center"/>
          </w:tcPr>
          <w:p>
            <w:pPr>
              <w:widowControl/>
              <w:jc w:val="center"/>
              <w:rPr>
                <w:rFonts w:hint="eastAsia" w:ascii="仿宋_GB2312" w:hAnsi="仿宋_GB2312" w:eastAsia="仿宋_GB2312" w:cs="仿宋_GB2312"/>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5994" w:type="dxa"/>
            <w:gridSpan w:val="3"/>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二、渡口码头提档升级改造（含库湖便民码头）</w:t>
            </w:r>
          </w:p>
        </w:tc>
        <w:tc>
          <w:tcPr>
            <w:tcW w:w="3551" w:type="dxa"/>
            <w:gridSpan w:val="3"/>
            <w:vAlign w:val="center"/>
          </w:tcPr>
          <w:p>
            <w:pPr>
              <w:widowControl/>
              <w:jc w:val="center"/>
              <w:rPr>
                <w:rFonts w:hint="eastAsia" w:ascii="仿宋_GB2312" w:hAnsi="仿宋_GB2312" w:eastAsia="仿宋_GB2312" w:cs="仿宋_GB2312"/>
                <w:b/>
                <w:bCs/>
                <w:kern w:val="0"/>
                <w:sz w:val="20"/>
                <w:szCs w:val="20"/>
              </w:rPr>
            </w:pPr>
          </w:p>
        </w:tc>
        <w:tc>
          <w:tcPr>
            <w:tcW w:w="1065"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560</w:t>
            </w:r>
          </w:p>
        </w:tc>
        <w:tc>
          <w:tcPr>
            <w:tcW w:w="1312"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560</w:t>
            </w:r>
          </w:p>
        </w:tc>
        <w:tc>
          <w:tcPr>
            <w:tcW w:w="666" w:type="dxa"/>
            <w:vAlign w:val="center"/>
          </w:tcPr>
          <w:p>
            <w:pPr>
              <w:widowControl/>
              <w:jc w:val="center"/>
              <w:rPr>
                <w:rFonts w:hint="eastAsia" w:ascii="仿宋_GB2312" w:hAnsi="仿宋_GB2312" w:eastAsia="仿宋_GB2312" w:cs="仿宋_GB2312"/>
                <w:b/>
                <w:bCs/>
                <w:kern w:val="0"/>
                <w:sz w:val="20"/>
                <w:szCs w:val="20"/>
              </w:rPr>
            </w:pPr>
          </w:p>
        </w:tc>
        <w:tc>
          <w:tcPr>
            <w:tcW w:w="666" w:type="dxa"/>
            <w:vAlign w:val="center"/>
          </w:tcPr>
          <w:p>
            <w:pPr>
              <w:widowControl/>
              <w:jc w:val="center"/>
              <w:rPr>
                <w:rFonts w:hint="eastAsia" w:ascii="仿宋_GB2312" w:hAnsi="仿宋_GB2312" w:eastAsia="仿宋_GB2312" w:cs="仿宋_GB2312"/>
                <w:b/>
                <w:bCs/>
                <w:kern w:val="0"/>
                <w:sz w:val="20"/>
                <w:szCs w:val="20"/>
              </w:rPr>
            </w:pPr>
          </w:p>
        </w:tc>
        <w:tc>
          <w:tcPr>
            <w:tcW w:w="524" w:type="dxa"/>
            <w:vAlign w:val="center"/>
          </w:tcPr>
          <w:p>
            <w:pPr>
              <w:widowControl/>
              <w:jc w:val="center"/>
              <w:rPr>
                <w:rFonts w:hint="eastAsia" w:ascii="仿宋_GB2312" w:hAnsi="仿宋_GB2312" w:eastAsia="仿宋_GB2312" w:cs="仿宋_GB2312"/>
                <w:b/>
                <w:bCs/>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40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2090"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金洞渡口</w:t>
            </w:r>
          </w:p>
        </w:tc>
        <w:tc>
          <w:tcPr>
            <w:tcW w:w="3499"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升级改造监管房120平方，码头长137米，宽5米，泊位10个，候船亭2处，锚地9套。</w:t>
            </w:r>
          </w:p>
        </w:tc>
        <w:tc>
          <w:tcPr>
            <w:tcW w:w="3551" w:type="dxa"/>
            <w:gridSpan w:val="3"/>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白龙湖库区</w:t>
            </w:r>
          </w:p>
        </w:tc>
        <w:tc>
          <w:tcPr>
            <w:tcW w:w="106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560</w:t>
            </w:r>
          </w:p>
        </w:tc>
        <w:tc>
          <w:tcPr>
            <w:tcW w:w="1312"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560</w:t>
            </w:r>
          </w:p>
        </w:tc>
        <w:tc>
          <w:tcPr>
            <w:tcW w:w="66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2021</w:t>
            </w:r>
          </w:p>
        </w:tc>
        <w:tc>
          <w:tcPr>
            <w:tcW w:w="66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2021</w:t>
            </w:r>
          </w:p>
        </w:tc>
        <w:tc>
          <w:tcPr>
            <w:tcW w:w="524" w:type="dxa"/>
            <w:vAlign w:val="center"/>
          </w:tcPr>
          <w:p>
            <w:pPr>
              <w:widowControl/>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5994" w:type="dxa"/>
            <w:gridSpan w:val="3"/>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三、航道专项养护项目（含航段整治、</w:t>
            </w:r>
          </w:p>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养护站房等设施、养护船艇等设备建设）</w:t>
            </w:r>
          </w:p>
        </w:tc>
        <w:tc>
          <w:tcPr>
            <w:tcW w:w="3551" w:type="dxa"/>
            <w:gridSpan w:val="3"/>
            <w:vAlign w:val="center"/>
          </w:tcPr>
          <w:p>
            <w:pPr>
              <w:widowControl/>
              <w:jc w:val="center"/>
              <w:rPr>
                <w:rFonts w:hint="eastAsia" w:ascii="仿宋_GB2312" w:hAnsi="仿宋_GB2312" w:eastAsia="仿宋_GB2312" w:cs="仿宋_GB2312"/>
                <w:b/>
                <w:bCs/>
                <w:kern w:val="0"/>
                <w:sz w:val="20"/>
                <w:szCs w:val="20"/>
              </w:rPr>
            </w:pPr>
          </w:p>
        </w:tc>
        <w:tc>
          <w:tcPr>
            <w:tcW w:w="1065"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160</w:t>
            </w:r>
          </w:p>
        </w:tc>
        <w:tc>
          <w:tcPr>
            <w:tcW w:w="1312"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160</w:t>
            </w:r>
          </w:p>
        </w:tc>
        <w:tc>
          <w:tcPr>
            <w:tcW w:w="666" w:type="dxa"/>
            <w:vAlign w:val="center"/>
          </w:tcPr>
          <w:p>
            <w:pPr>
              <w:widowControl/>
              <w:jc w:val="center"/>
              <w:rPr>
                <w:rFonts w:hint="eastAsia" w:ascii="仿宋_GB2312" w:hAnsi="仿宋_GB2312" w:eastAsia="仿宋_GB2312" w:cs="仿宋_GB2312"/>
                <w:b/>
                <w:bCs/>
                <w:kern w:val="0"/>
                <w:sz w:val="20"/>
                <w:szCs w:val="20"/>
              </w:rPr>
            </w:pPr>
          </w:p>
        </w:tc>
        <w:tc>
          <w:tcPr>
            <w:tcW w:w="666" w:type="dxa"/>
            <w:vAlign w:val="center"/>
          </w:tcPr>
          <w:p>
            <w:pPr>
              <w:widowControl/>
              <w:jc w:val="center"/>
              <w:rPr>
                <w:rFonts w:hint="eastAsia" w:ascii="仿宋_GB2312" w:hAnsi="仿宋_GB2312" w:eastAsia="仿宋_GB2312" w:cs="仿宋_GB2312"/>
                <w:b/>
                <w:bCs/>
                <w:kern w:val="0"/>
                <w:sz w:val="20"/>
                <w:szCs w:val="20"/>
              </w:rPr>
            </w:pPr>
          </w:p>
        </w:tc>
        <w:tc>
          <w:tcPr>
            <w:tcW w:w="524" w:type="dxa"/>
            <w:vAlign w:val="center"/>
          </w:tcPr>
          <w:p>
            <w:pPr>
              <w:widowControl/>
              <w:jc w:val="center"/>
              <w:rPr>
                <w:rFonts w:hint="eastAsia" w:ascii="仿宋_GB2312" w:hAnsi="仿宋_GB2312" w:eastAsia="仿宋_GB2312" w:cs="仿宋_GB2312"/>
                <w:b/>
                <w:bCs/>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40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2090"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白龙湖航道整治</w:t>
            </w:r>
          </w:p>
        </w:tc>
        <w:tc>
          <w:tcPr>
            <w:tcW w:w="3499" w:type="dxa"/>
            <w:vAlign w:val="center"/>
          </w:tcPr>
          <w:p>
            <w:pPr>
              <w:widowControl/>
              <w:jc w:val="lef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白龙湖盐井溪码头到金洞渡口航段航道养护，禁航标3对、浮标20对、界限标2座、鸣笛标5座、指路牌7座。</w:t>
            </w:r>
          </w:p>
        </w:tc>
        <w:tc>
          <w:tcPr>
            <w:tcW w:w="3551" w:type="dxa"/>
            <w:gridSpan w:val="3"/>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白龙湖库区</w:t>
            </w:r>
          </w:p>
        </w:tc>
        <w:tc>
          <w:tcPr>
            <w:tcW w:w="106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160</w:t>
            </w:r>
          </w:p>
        </w:tc>
        <w:tc>
          <w:tcPr>
            <w:tcW w:w="1312"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160</w:t>
            </w:r>
          </w:p>
        </w:tc>
        <w:tc>
          <w:tcPr>
            <w:tcW w:w="66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2024</w:t>
            </w:r>
          </w:p>
        </w:tc>
        <w:tc>
          <w:tcPr>
            <w:tcW w:w="66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2024</w:t>
            </w:r>
          </w:p>
        </w:tc>
        <w:tc>
          <w:tcPr>
            <w:tcW w:w="524" w:type="dxa"/>
            <w:vAlign w:val="center"/>
          </w:tcPr>
          <w:p>
            <w:pPr>
              <w:widowControl/>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5994" w:type="dxa"/>
            <w:gridSpan w:val="3"/>
            <w:vAlign w:val="center"/>
          </w:tcPr>
          <w:p>
            <w:pPr>
              <w:widowControl/>
              <w:spacing w:line="300" w:lineRule="exact"/>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四、客船提档升级</w:t>
            </w:r>
          </w:p>
        </w:tc>
        <w:tc>
          <w:tcPr>
            <w:tcW w:w="3551" w:type="dxa"/>
            <w:gridSpan w:val="3"/>
            <w:vAlign w:val="center"/>
          </w:tcPr>
          <w:p>
            <w:pPr>
              <w:widowControl/>
              <w:spacing w:line="300" w:lineRule="exact"/>
              <w:jc w:val="center"/>
              <w:rPr>
                <w:rFonts w:hint="eastAsia" w:ascii="仿宋_GB2312" w:hAnsi="仿宋_GB2312" w:eastAsia="仿宋_GB2312" w:cs="仿宋_GB2312"/>
                <w:b/>
                <w:bCs/>
                <w:kern w:val="0"/>
                <w:sz w:val="20"/>
                <w:szCs w:val="20"/>
              </w:rPr>
            </w:pPr>
          </w:p>
        </w:tc>
        <w:tc>
          <w:tcPr>
            <w:tcW w:w="1065" w:type="dxa"/>
            <w:vAlign w:val="center"/>
          </w:tcPr>
          <w:p>
            <w:pPr>
              <w:widowControl/>
              <w:spacing w:line="300" w:lineRule="exact"/>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1660</w:t>
            </w:r>
          </w:p>
        </w:tc>
        <w:tc>
          <w:tcPr>
            <w:tcW w:w="1312" w:type="dxa"/>
            <w:vAlign w:val="center"/>
          </w:tcPr>
          <w:p>
            <w:pPr>
              <w:widowControl/>
              <w:spacing w:line="300" w:lineRule="exact"/>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1660</w:t>
            </w:r>
          </w:p>
        </w:tc>
        <w:tc>
          <w:tcPr>
            <w:tcW w:w="666" w:type="dxa"/>
            <w:vAlign w:val="center"/>
          </w:tcPr>
          <w:p>
            <w:pPr>
              <w:widowControl/>
              <w:spacing w:line="300" w:lineRule="exact"/>
              <w:jc w:val="center"/>
              <w:rPr>
                <w:rFonts w:hint="eastAsia" w:ascii="仿宋_GB2312" w:hAnsi="仿宋_GB2312" w:eastAsia="仿宋_GB2312" w:cs="仿宋_GB2312"/>
                <w:b/>
                <w:bCs/>
                <w:kern w:val="0"/>
                <w:sz w:val="20"/>
                <w:szCs w:val="20"/>
              </w:rPr>
            </w:pPr>
          </w:p>
        </w:tc>
        <w:tc>
          <w:tcPr>
            <w:tcW w:w="666" w:type="dxa"/>
            <w:vAlign w:val="center"/>
          </w:tcPr>
          <w:p>
            <w:pPr>
              <w:widowControl/>
              <w:spacing w:line="300" w:lineRule="exact"/>
              <w:jc w:val="center"/>
              <w:rPr>
                <w:rFonts w:hint="eastAsia" w:ascii="仿宋_GB2312" w:hAnsi="仿宋_GB2312" w:eastAsia="仿宋_GB2312" w:cs="仿宋_GB2312"/>
                <w:b/>
                <w:bCs/>
                <w:kern w:val="0"/>
                <w:sz w:val="20"/>
                <w:szCs w:val="20"/>
              </w:rPr>
            </w:pPr>
          </w:p>
        </w:tc>
        <w:tc>
          <w:tcPr>
            <w:tcW w:w="524" w:type="dxa"/>
            <w:vAlign w:val="center"/>
          </w:tcPr>
          <w:p>
            <w:pPr>
              <w:widowControl/>
              <w:spacing w:line="300" w:lineRule="exact"/>
              <w:jc w:val="center"/>
              <w:rPr>
                <w:rFonts w:hint="eastAsia" w:ascii="仿宋_GB2312" w:hAnsi="仿宋_GB2312" w:eastAsia="仿宋_GB2312" w:cs="仿宋_GB2312"/>
                <w:b/>
                <w:bCs/>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405"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2090" w:type="dxa"/>
            <w:vAlign w:val="center"/>
          </w:tcPr>
          <w:p>
            <w:pPr>
              <w:widowControl/>
              <w:spacing w:line="30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川广元金001</w:t>
            </w:r>
          </w:p>
        </w:tc>
        <w:tc>
          <w:tcPr>
            <w:tcW w:w="3499" w:type="dxa"/>
            <w:vAlign w:val="center"/>
          </w:tcPr>
          <w:p>
            <w:pPr>
              <w:widowControl/>
              <w:spacing w:line="30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更新为新能源客船船型（含岸电、充电桩设施）</w:t>
            </w:r>
          </w:p>
        </w:tc>
        <w:tc>
          <w:tcPr>
            <w:tcW w:w="3551" w:type="dxa"/>
            <w:gridSpan w:val="3"/>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白龙湖库区</w:t>
            </w:r>
          </w:p>
        </w:tc>
        <w:tc>
          <w:tcPr>
            <w:tcW w:w="1065"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340</w:t>
            </w:r>
          </w:p>
        </w:tc>
        <w:tc>
          <w:tcPr>
            <w:tcW w:w="1312"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340</w:t>
            </w:r>
          </w:p>
        </w:tc>
        <w:tc>
          <w:tcPr>
            <w:tcW w:w="666"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2022</w:t>
            </w:r>
          </w:p>
        </w:tc>
        <w:tc>
          <w:tcPr>
            <w:tcW w:w="666"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2022</w:t>
            </w:r>
          </w:p>
        </w:tc>
        <w:tc>
          <w:tcPr>
            <w:tcW w:w="524" w:type="dxa"/>
            <w:vAlign w:val="center"/>
          </w:tcPr>
          <w:p>
            <w:pPr>
              <w:widowControl/>
              <w:spacing w:line="300" w:lineRule="exact"/>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405"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w:t>
            </w:r>
          </w:p>
        </w:tc>
        <w:tc>
          <w:tcPr>
            <w:tcW w:w="2090" w:type="dxa"/>
            <w:vAlign w:val="center"/>
          </w:tcPr>
          <w:p>
            <w:pPr>
              <w:widowControl/>
              <w:spacing w:line="30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则天号</w:t>
            </w:r>
          </w:p>
        </w:tc>
        <w:tc>
          <w:tcPr>
            <w:tcW w:w="3499" w:type="dxa"/>
            <w:vAlign w:val="center"/>
          </w:tcPr>
          <w:p>
            <w:pPr>
              <w:widowControl/>
              <w:spacing w:line="30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更新为新能源客船船型（含岸电、充电桩设施）</w:t>
            </w:r>
          </w:p>
        </w:tc>
        <w:tc>
          <w:tcPr>
            <w:tcW w:w="3551" w:type="dxa"/>
            <w:gridSpan w:val="3"/>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栖凤湖库区</w:t>
            </w:r>
          </w:p>
        </w:tc>
        <w:tc>
          <w:tcPr>
            <w:tcW w:w="1065"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550</w:t>
            </w:r>
          </w:p>
        </w:tc>
        <w:tc>
          <w:tcPr>
            <w:tcW w:w="1312"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550</w:t>
            </w:r>
          </w:p>
        </w:tc>
        <w:tc>
          <w:tcPr>
            <w:tcW w:w="666"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2023</w:t>
            </w:r>
          </w:p>
        </w:tc>
        <w:tc>
          <w:tcPr>
            <w:tcW w:w="666"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2023</w:t>
            </w:r>
          </w:p>
        </w:tc>
        <w:tc>
          <w:tcPr>
            <w:tcW w:w="524" w:type="dxa"/>
            <w:vAlign w:val="center"/>
          </w:tcPr>
          <w:p>
            <w:pPr>
              <w:widowControl/>
              <w:spacing w:line="300" w:lineRule="exact"/>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405"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w:t>
            </w:r>
          </w:p>
        </w:tc>
        <w:tc>
          <w:tcPr>
            <w:tcW w:w="2090" w:type="dxa"/>
            <w:vAlign w:val="center"/>
          </w:tcPr>
          <w:p>
            <w:pPr>
              <w:widowControl/>
              <w:spacing w:line="30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则天故里2号</w:t>
            </w:r>
          </w:p>
        </w:tc>
        <w:tc>
          <w:tcPr>
            <w:tcW w:w="3499" w:type="dxa"/>
            <w:vAlign w:val="center"/>
          </w:tcPr>
          <w:p>
            <w:pPr>
              <w:widowControl/>
              <w:spacing w:line="30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更新为新能源客船船型</w:t>
            </w:r>
          </w:p>
        </w:tc>
        <w:tc>
          <w:tcPr>
            <w:tcW w:w="3551" w:type="dxa"/>
            <w:gridSpan w:val="3"/>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栖凤湖库区</w:t>
            </w:r>
          </w:p>
        </w:tc>
        <w:tc>
          <w:tcPr>
            <w:tcW w:w="1065"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210</w:t>
            </w:r>
          </w:p>
        </w:tc>
        <w:tc>
          <w:tcPr>
            <w:tcW w:w="1312"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210</w:t>
            </w:r>
          </w:p>
        </w:tc>
        <w:tc>
          <w:tcPr>
            <w:tcW w:w="666"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2024</w:t>
            </w:r>
          </w:p>
        </w:tc>
        <w:tc>
          <w:tcPr>
            <w:tcW w:w="666"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2024</w:t>
            </w:r>
          </w:p>
        </w:tc>
        <w:tc>
          <w:tcPr>
            <w:tcW w:w="524" w:type="dxa"/>
            <w:vAlign w:val="center"/>
          </w:tcPr>
          <w:p>
            <w:pPr>
              <w:widowControl/>
              <w:spacing w:line="300" w:lineRule="exact"/>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405"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w:t>
            </w:r>
          </w:p>
        </w:tc>
        <w:tc>
          <w:tcPr>
            <w:tcW w:w="2090" w:type="dxa"/>
            <w:vAlign w:val="center"/>
          </w:tcPr>
          <w:p>
            <w:pPr>
              <w:widowControl/>
              <w:spacing w:line="30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天府风景6号</w:t>
            </w:r>
          </w:p>
        </w:tc>
        <w:tc>
          <w:tcPr>
            <w:tcW w:w="3499" w:type="dxa"/>
            <w:vAlign w:val="center"/>
          </w:tcPr>
          <w:p>
            <w:pPr>
              <w:widowControl/>
              <w:spacing w:line="30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更新为新能源客船船型</w:t>
            </w:r>
          </w:p>
        </w:tc>
        <w:tc>
          <w:tcPr>
            <w:tcW w:w="3551" w:type="dxa"/>
            <w:gridSpan w:val="3"/>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栖凤湖库区</w:t>
            </w:r>
          </w:p>
        </w:tc>
        <w:tc>
          <w:tcPr>
            <w:tcW w:w="1065"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210</w:t>
            </w:r>
          </w:p>
        </w:tc>
        <w:tc>
          <w:tcPr>
            <w:tcW w:w="1312"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210</w:t>
            </w:r>
          </w:p>
        </w:tc>
        <w:tc>
          <w:tcPr>
            <w:tcW w:w="666"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2024</w:t>
            </w:r>
          </w:p>
        </w:tc>
        <w:tc>
          <w:tcPr>
            <w:tcW w:w="666"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2024</w:t>
            </w:r>
          </w:p>
        </w:tc>
        <w:tc>
          <w:tcPr>
            <w:tcW w:w="524" w:type="dxa"/>
            <w:vAlign w:val="center"/>
          </w:tcPr>
          <w:p>
            <w:pPr>
              <w:widowControl/>
              <w:spacing w:line="300" w:lineRule="exact"/>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405"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5</w:t>
            </w:r>
          </w:p>
        </w:tc>
        <w:tc>
          <w:tcPr>
            <w:tcW w:w="2090" w:type="dxa"/>
            <w:vAlign w:val="center"/>
          </w:tcPr>
          <w:p>
            <w:pPr>
              <w:widowControl/>
              <w:spacing w:line="30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皇泽7号</w:t>
            </w:r>
          </w:p>
        </w:tc>
        <w:tc>
          <w:tcPr>
            <w:tcW w:w="3499" w:type="dxa"/>
            <w:vAlign w:val="center"/>
          </w:tcPr>
          <w:p>
            <w:pPr>
              <w:widowControl/>
              <w:spacing w:line="30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更新为新能源客船船型</w:t>
            </w:r>
          </w:p>
        </w:tc>
        <w:tc>
          <w:tcPr>
            <w:tcW w:w="3551" w:type="dxa"/>
            <w:gridSpan w:val="3"/>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栖凤湖库区</w:t>
            </w:r>
          </w:p>
        </w:tc>
        <w:tc>
          <w:tcPr>
            <w:tcW w:w="1065"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350</w:t>
            </w:r>
          </w:p>
        </w:tc>
        <w:tc>
          <w:tcPr>
            <w:tcW w:w="1312"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350</w:t>
            </w:r>
          </w:p>
        </w:tc>
        <w:tc>
          <w:tcPr>
            <w:tcW w:w="666"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2025</w:t>
            </w:r>
          </w:p>
        </w:tc>
        <w:tc>
          <w:tcPr>
            <w:tcW w:w="666"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2025</w:t>
            </w:r>
          </w:p>
        </w:tc>
        <w:tc>
          <w:tcPr>
            <w:tcW w:w="524" w:type="dxa"/>
            <w:vAlign w:val="center"/>
          </w:tcPr>
          <w:p>
            <w:pPr>
              <w:widowControl/>
              <w:spacing w:line="300" w:lineRule="exact"/>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5994" w:type="dxa"/>
            <w:gridSpan w:val="3"/>
            <w:vAlign w:val="center"/>
          </w:tcPr>
          <w:p>
            <w:pPr>
              <w:widowControl/>
              <w:spacing w:line="300" w:lineRule="exact"/>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五、水上旅游码头建设</w:t>
            </w:r>
          </w:p>
        </w:tc>
        <w:tc>
          <w:tcPr>
            <w:tcW w:w="3551" w:type="dxa"/>
            <w:gridSpan w:val="3"/>
            <w:vAlign w:val="center"/>
          </w:tcPr>
          <w:p>
            <w:pPr>
              <w:widowControl/>
              <w:spacing w:line="300" w:lineRule="exact"/>
              <w:jc w:val="center"/>
              <w:rPr>
                <w:rFonts w:hint="eastAsia" w:ascii="仿宋_GB2312" w:hAnsi="仿宋_GB2312" w:eastAsia="仿宋_GB2312" w:cs="仿宋_GB2312"/>
                <w:b/>
                <w:bCs/>
                <w:kern w:val="0"/>
                <w:sz w:val="20"/>
                <w:szCs w:val="20"/>
              </w:rPr>
            </w:pPr>
          </w:p>
        </w:tc>
        <w:tc>
          <w:tcPr>
            <w:tcW w:w="1065" w:type="dxa"/>
            <w:vAlign w:val="center"/>
          </w:tcPr>
          <w:p>
            <w:pPr>
              <w:widowControl/>
              <w:spacing w:line="300" w:lineRule="exact"/>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6000</w:t>
            </w:r>
          </w:p>
        </w:tc>
        <w:tc>
          <w:tcPr>
            <w:tcW w:w="1312" w:type="dxa"/>
            <w:vAlign w:val="center"/>
          </w:tcPr>
          <w:p>
            <w:pPr>
              <w:widowControl/>
              <w:spacing w:line="300" w:lineRule="exact"/>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6000</w:t>
            </w:r>
          </w:p>
        </w:tc>
        <w:tc>
          <w:tcPr>
            <w:tcW w:w="666" w:type="dxa"/>
            <w:vAlign w:val="center"/>
          </w:tcPr>
          <w:p>
            <w:pPr>
              <w:widowControl/>
              <w:spacing w:line="300" w:lineRule="exact"/>
              <w:jc w:val="center"/>
              <w:rPr>
                <w:rFonts w:hint="eastAsia" w:ascii="仿宋_GB2312" w:hAnsi="仿宋_GB2312" w:eastAsia="仿宋_GB2312" w:cs="仿宋_GB2312"/>
                <w:b/>
                <w:bCs/>
                <w:kern w:val="0"/>
                <w:sz w:val="20"/>
                <w:szCs w:val="20"/>
              </w:rPr>
            </w:pPr>
          </w:p>
        </w:tc>
        <w:tc>
          <w:tcPr>
            <w:tcW w:w="666" w:type="dxa"/>
            <w:vAlign w:val="center"/>
          </w:tcPr>
          <w:p>
            <w:pPr>
              <w:widowControl/>
              <w:spacing w:line="300" w:lineRule="exact"/>
              <w:jc w:val="center"/>
              <w:rPr>
                <w:rFonts w:hint="eastAsia" w:ascii="仿宋_GB2312" w:hAnsi="仿宋_GB2312" w:eastAsia="仿宋_GB2312" w:cs="仿宋_GB2312"/>
                <w:b/>
                <w:bCs/>
                <w:kern w:val="0"/>
                <w:sz w:val="20"/>
                <w:szCs w:val="20"/>
              </w:rPr>
            </w:pPr>
          </w:p>
        </w:tc>
        <w:tc>
          <w:tcPr>
            <w:tcW w:w="524" w:type="dxa"/>
            <w:vAlign w:val="center"/>
          </w:tcPr>
          <w:p>
            <w:pPr>
              <w:widowControl/>
              <w:spacing w:line="300" w:lineRule="exact"/>
              <w:jc w:val="center"/>
              <w:rPr>
                <w:rFonts w:hint="eastAsia" w:ascii="仿宋_GB2312" w:hAnsi="仿宋_GB2312" w:eastAsia="仿宋_GB2312" w:cs="仿宋_GB2312"/>
                <w:b/>
                <w:bCs/>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405"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2090" w:type="dxa"/>
            <w:vAlign w:val="center"/>
          </w:tcPr>
          <w:p>
            <w:pPr>
              <w:widowControl/>
              <w:spacing w:line="30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千佛崖旅游码头</w:t>
            </w:r>
          </w:p>
        </w:tc>
        <w:tc>
          <w:tcPr>
            <w:tcW w:w="3499" w:type="dxa"/>
            <w:vAlign w:val="center"/>
          </w:tcPr>
          <w:p>
            <w:pPr>
              <w:widowControl/>
              <w:spacing w:line="30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新建售票大厅、监管房及候船厅等400平方，码头长156米，宽7米，泊位15个，锚地9套。</w:t>
            </w:r>
          </w:p>
        </w:tc>
        <w:tc>
          <w:tcPr>
            <w:tcW w:w="3551" w:type="dxa"/>
            <w:gridSpan w:val="3"/>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栖凤湖库区</w:t>
            </w:r>
          </w:p>
        </w:tc>
        <w:tc>
          <w:tcPr>
            <w:tcW w:w="1065"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2800</w:t>
            </w:r>
          </w:p>
        </w:tc>
        <w:tc>
          <w:tcPr>
            <w:tcW w:w="1312"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2800</w:t>
            </w:r>
          </w:p>
        </w:tc>
        <w:tc>
          <w:tcPr>
            <w:tcW w:w="666"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2025</w:t>
            </w:r>
          </w:p>
        </w:tc>
        <w:tc>
          <w:tcPr>
            <w:tcW w:w="666"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2025</w:t>
            </w:r>
          </w:p>
        </w:tc>
        <w:tc>
          <w:tcPr>
            <w:tcW w:w="524" w:type="dxa"/>
            <w:vAlign w:val="center"/>
          </w:tcPr>
          <w:p>
            <w:pPr>
              <w:widowControl/>
              <w:spacing w:line="300" w:lineRule="exact"/>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405"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w:t>
            </w:r>
          </w:p>
        </w:tc>
        <w:tc>
          <w:tcPr>
            <w:tcW w:w="2090" w:type="dxa"/>
            <w:vAlign w:val="center"/>
          </w:tcPr>
          <w:p>
            <w:pPr>
              <w:widowControl/>
              <w:spacing w:line="30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干溪河旅游码头</w:t>
            </w:r>
          </w:p>
        </w:tc>
        <w:tc>
          <w:tcPr>
            <w:tcW w:w="3499" w:type="dxa"/>
            <w:vAlign w:val="center"/>
          </w:tcPr>
          <w:p>
            <w:pPr>
              <w:widowControl/>
              <w:spacing w:line="30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新建售票大厅、监管房及候船厅等300平方，码头长236米，宽5米，泊位15个，锚地9套。</w:t>
            </w:r>
          </w:p>
        </w:tc>
        <w:tc>
          <w:tcPr>
            <w:tcW w:w="3551" w:type="dxa"/>
            <w:gridSpan w:val="3"/>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白龙湖库区</w:t>
            </w:r>
          </w:p>
        </w:tc>
        <w:tc>
          <w:tcPr>
            <w:tcW w:w="1065"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3200</w:t>
            </w:r>
          </w:p>
        </w:tc>
        <w:tc>
          <w:tcPr>
            <w:tcW w:w="1312"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3200</w:t>
            </w:r>
          </w:p>
        </w:tc>
        <w:tc>
          <w:tcPr>
            <w:tcW w:w="666"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2024</w:t>
            </w:r>
          </w:p>
        </w:tc>
        <w:tc>
          <w:tcPr>
            <w:tcW w:w="666"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2025</w:t>
            </w:r>
          </w:p>
        </w:tc>
        <w:tc>
          <w:tcPr>
            <w:tcW w:w="524" w:type="dxa"/>
            <w:vAlign w:val="center"/>
          </w:tcPr>
          <w:p>
            <w:pPr>
              <w:widowControl/>
              <w:spacing w:line="300" w:lineRule="exact"/>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5994" w:type="dxa"/>
            <w:gridSpan w:val="3"/>
            <w:vAlign w:val="center"/>
          </w:tcPr>
          <w:p>
            <w:pPr>
              <w:widowControl/>
              <w:spacing w:line="300" w:lineRule="exact"/>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六、巡航船艇建造项目</w:t>
            </w:r>
          </w:p>
        </w:tc>
        <w:tc>
          <w:tcPr>
            <w:tcW w:w="3551" w:type="dxa"/>
            <w:gridSpan w:val="3"/>
            <w:vAlign w:val="center"/>
          </w:tcPr>
          <w:p>
            <w:pPr>
              <w:widowControl/>
              <w:spacing w:line="300" w:lineRule="exact"/>
              <w:jc w:val="center"/>
              <w:rPr>
                <w:rFonts w:hint="eastAsia" w:ascii="仿宋_GB2312" w:hAnsi="仿宋_GB2312" w:eastAsia="仿宋_GB2312" w:cs="仿宋_GB2312"/>
                <w:b/>
                <w:bCs/>
                <w:kern w:val="0"/>
                <w:sz w:val="20"/>
                <w:szCs w:val="20"/>
              </w:rPr>
            </w:pPr>
          </w:p>
        </w:tc>
        <w:tc>
          <w:tcPr>
            <w:tcW w:w="1065" w:type="dxa"/>
            <w:vAlign w:val="center"/>
          </w:tcPr>
          <w:p>
            <w:pPr>
              <w:widowControl/>
              <w:spacing w:line="300" w:lineRule="exact"/>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580</w:t>
            </w:r>
          </w:p>
        </w:tc>
        <w:tc>
          <w:tcPr>
            <w:tcW w:w="1312" w:type="dxa"/>
            <w:vAlign w:val="center"/>
          </w:tcPr>
          <w:p>
            <w:pPr>
              <w:widowControl/>
              <w:spacing w:line="300" w:lineRule="exact"/>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580</w:t>
            </w:r>
          </w:p>
        </w:tc>
        <w:tc>
          <w:tcPr>
            <w:tcW w:w="666" w:type="dxa"/>
            <w:vAlign w:val="center"/>
          </w:tcPr>
          <w:p>
            <w:pPr>
              <w:widowControl/>
              <w:spacing w:line="300" w:lineRule="exact"/>
              <w:jc w:val="center"/>
              <w:rPr>
                <w:rFonts w:hint="eastAsia" w:ascii="仿宋_GB2312" w:hAnsi="仿宋_GB2312" w:eastAsia="仿宋_GB2312" w:cs="仿宋_GB2312"/>
                <w:b/>
                <w:bCs/>
                <w:kern w:val="0"/>
                <w:sz w:val="20"/>
                <w:szCs w:val="20"/>
              </w:rPr>
            </w:pPr>
          </w:p>
        </w:tc>
        <w:tc>
          <w:tcPr>
            <w:tcW w:w="666" w:type="dxa"/>
            <w:vAlign w:val="center"/>
          </w:tcPr>
          <w:p>
            <w:pPr>
              <w:widowControl/>
              <w:spacing w:line="300" w:lineRule="exact"/>
              <w:jc w:val="center"/>
              <w:rPr>
                <w:rFonts w:hint="eastAsia" w:ascii="仿宋_GB2312" w:hAnsi="仿宋_GB2312" w:eastAsia="仿宋_GB2312" w:cs="仿宋_GB2312"/>
                <w:b/>
                <w:bCs/>
                <w:kern w:val="0"/>
                <w:sz w:val="20"/>
                <w:szCs w:val="20"/>
              </w:rPr>
            </w:pPr>
          </w:p>
        </w:tc>
        <w:tc>
          <w:tcPr>
            <w:tcW w:w="524" w:type="dxa"/>
            <w:vAlign w:val="center"/>
          </w:tcPr>
          <w:p>
            <w:pPr>
              <w:widowControl/>
              <w:spacing w:line="300" w:lineRule="exact"/>
              <w:jc w:val="center"/>
              <w:rPr>
                <w:rFonts w:hint="eastAsia" w:ascii="仿宋_GB2312" w:hAnsi="仿宋_GB2312" w:eastAsia="仿宋_GB2312" w:cs="仿宋_GB2312"/>
                <w:b/>
                <w:bCs/>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2495" w:type="dxa"/>
            <w:gridSpan w:val="2"/>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1．海事巡逻艇</w:t>
            </w:r>
          </w:p>
        </w:tc>
        <w:tc>
          <w:tcPr>
            <w:tcW w:w="3499"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艘数</w:t>
            </w:r>
          </w:p>
        </w:tc>
        <w:tc>
          <w:tcPr>
            <w:tcW w:w="1058"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米级</w:t>
            </w:r>
          </w:p>
        </w:tc>
        <w:tc>
          <w:tcPr>
            <w:tcW w:w="1311"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尺度</w:t>
            </w:r>
          </w:p>
        </w:tc>
        <w:tc>
          <w:tcPr>
            <w:tcW w:w="1182" w:type="dxa"/>
            <w:vAlign w:val="center"/>
          </w:tcPr>
          <w:p>
            <w:pPr>
              <w:widowControl/>
              <w:spacing w:line="300" w:lineRule="exact"/>
              <w:jc w:val="center"/>
              <w:rPr>
                <w:rFonts w:hint="eastAsia" w:ascii="仿宋_GB2312" w:hAnsi="仿宋_GB2312" w:eastAsia="仿宋_GB2312" w:cs="仿宋_GB2312"/>
                <w:kern w:val="0"/>
                <w:sz w:val="20"/>
                <w:szCs w:val="20"/>
              </w:rPr>
            </w:pPr>
          </w:p>
        </w:tc>
        <w:tc>
          <w:tcPr>
            <w:tcW w:w="1065"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450</w:t>
            </w:r>
          </w:p>
        </w:tc>
        <w:tc>
          <w:tcPr>
            <w:tcW w:w="1312"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450</w:t>
            </w:r>
          </w:p>
        </w:tc>
        <w:tc>
          <w:tcPr>
            <w:tcW w:w="666" w:type="dxa"/>
            <w:vAlign w:val="center"/>
          </w:tcPr>
          <w:p>
            <w:pPr>
              <w:widowControl/>
              <w:spacing w:line="300" w:lineRule="exact"/>
              <w:jc w:val="center"/>
              <w:rPr>
                <w:rFonts w:hint="eastAsia" w:ascii="仿宋_GB2312" w:hAnsi="仿宋_GB2312" w:eastAsia="仿宋_GB2312" w:cs="仿宋_GB2312"/>
                <w:kern w:val="0"/>
                <w:sz w:val="20"/>
                <w:szCs w:val="20"/>
              </w:rPr>
            </w:pPr>
          </w:p>
        </w:tc>
        <w:tc>
          <w:tcPr>
            <w:tcW w:w="666" w:type="dxa"/>
            <w:vAlign w:val="center"/>
          </w:tcPr>
          <w:p>
            <w:pPr>
              <w:widowControl/>
              <w:spacing w:line="300" w:lineRule="exact"/>
              <w:jc w:val="center"/>
              <w:rPr>
                <w:rFonts w:hint="eastAsia" w:ascii="仿宋_GB2312" w:hAnsi="仿宋_GB2312" w:eastAsia="仿宋_GB2312" w:cs="仿宋_GB2312"/>
                <w:kern w:val="0"/>
                <w:sz w:val="20"/>
                <w:szCs w:val="20"/>
              </w:rPr>
            </w:pPr>
          </w:p>
        </w:tc>
        <w:tc>
          <w:tcPr>
            <w:tcW w:w="524" w:type="dxa"/>
            <w:vAlign w:val="center"/>
          </w:tcPr>
          <w:p>
            <w:pPr>
              <w:widowControl/>
              <w:spacing w:line="300" w:lineRule="exact"/>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405"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2090" w:type="dxa"/>
            <w:vAlign w:val="center"/>
          </w:tcPr>
          <w:p>
            <w:pPr>
              <w:widowControl/>
              <w:spacing w:line="30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30米巡逻艇</w:t>
            </w:r>
          </w:p>
        </w:tc>
        <w:tc>
          <w:tcPr>
            <w:tcW w:w="3499"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1058"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30米</w:t>
            </w:r>
          </w:p>
        </w:tc>
        <w:tc>
          <w:tcPr>
            <w:tcW w:w="1311" w:type="dxa"/>
            <w:vAlign w:val="center"/>
          </w:tcPr>
          <w:p>
            <w:pPr>
              <w:widowControl/>
              <w:spacing w:line="30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长30米，宽4米，型深1.6米</w:t>
            </w:r>
          </w:p>
        </w:tc>
        <w:tc>
          <w:tcPr>
            <w:tcW w:w="1182" w:type="dxa"/>
            <w:vAlign w:val="center"/>
          </w:tcPr>
          <w:p>
            <w:pPr>
              <w:widowControl/>
              <w:spacing w:line="300" w:lineRule="exact"/>
              <w:jc w:val="center"/>
              <w:rPr>
                <w:rFonts w:hint="eastAsia" w:ascii="仿宋_GB2312" w:hAnsi="仿宋_GB2312" w:eastAsia="仿宋_GB2312" w:cs="仿宋_GB2312"/>
                <w:spacing w:val="-10"/>
                <w:kern w:val="0"/>
                <w:sz w:val="20"/>
                <w:szCs w:val="20"/>
              </w:rPr>
            </w:pPr>
            <w:r>
              <w:rPr>
                <w:rFonts w:hint="eastAsia" w:ascii="仿宋_GB2312" w:hAnsi="仿宋_GB2312" w:eastAsia="仿宋_GB2312" w:cs="仿宋_GB2312"/>
                <w:spacing w:val="-10"/>
                <w:kern w:val="0"/>
                <w:sz w:val="20"/>
                <w:szCs w:val="20"/>
              </w:rPr>
              <w:t>白龙湖库区</w:t>
            </w:r>
          </w:p>
        </w:tc>
        <w:tc>
          <w:tcPr>
            <w:tcW w:w="1065"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450</w:t>
            </w:r>
          </w:p>
        </w:tc>
        <w:tc>
          <w:tcPr>
            <w:tcW w:w="1312"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450</w:t>
            </w:r>
          </w:p>
        </w:tc>
        <w:tc>
          <w:tcPr>
            <w:tcW w:w="666"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2024</w:t>
            </w:r>
          </w:p>
        </w:tc>
        <w:tc>
          <w:tcPr>
            <w:tcW w:w="666"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2024</w:t>
            </w:r>
          </w:p>
        </w:tc>
        <w:tc>
          <w:tcPr>
            <w:tcW w:w="524" w:type="dxa"/>
            <w:vAlign w:val="center"/>
          </w:tcPr>
          <w:p>
            <w:pPr>
              <w:widowControl/>
              <w:spacing w:line="300" w:lineRule="exact"/>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5994" w:type="dxa"/>
            <w:gridSpan w:val="3"/>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2．海事监管无人航空器</w:t>
            </w:r>
          </w:p>
        </w:tc>
        <w:tc>
          <w:tcPr>
            <w:tcW w:w="3551" w:type="dxa"/>
            <w:gridSpan w:val="3"/>
            <w:vAlign w:val="center"/>
          </w:tcPr>
          <w:p>
            <w:pPr>
              <w:widowControl/>
              <w:spacing w:line="300" w:lineRule="exact"/>
              <w:jc w:val="center"/>
              <w:rPr>
                <w:rFonts w:hint="eastAsia" w:ascii="仿宋_GB2312" w:hAnsi="仿宋_GB2312" w:eastAsia="仿宋_GB2312" w:cs="仿宋_GB2312"/>
                <w:kern w:val="0"/>
                <w:sz w:val="20"/>
                <w:szCs w:val="20"/>
              </w:rPr>
            </w:pPr>
          </w:p>
        </w:tc>
        <w:tc>
          <w:tcPr>
            <w:tcW w:w="1065"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130</w:t>
            </w:r>
          </w:p>
        </w:tc>
        <w:tc>
          <w:tcPr>
            <w:tcW w:w="1312"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130</w:t>
            </w:r>
          </w:p>
        </w:tc>
        <w:tc>
          <w:tcPr>
            <w:tcW w:w="666" w:type="dxa"/>
            <w:vAlign w:val="center"/>
          </w:tcPr>
          <w:p>
            <w:pPr>
              <w:widowControl/>
              <w:spacing w:line="300" w:lineRule="exact"/>
              <w:jc w:val="center"/>
              <w:rPr>
                <w:rFonts w:hint="eastAsia" w:ascii="仿宋_GB2312" w:hAnsi="仿宋_GB2312" w:eastAsia="仿宋_GB2312" w:cs="仿宋_GB2312"/>
                <w:kern w:val="0"/>
                <w:sz w:val="20"/>
                <w:szCs w:val="20"/>
              </w:rPr>
            </w:pPr>
          </w:p>
        </w:tc>
        <w:tc>
          <w:tcPr>
            <w:tcW w:w="666" w:type="dxa"/>
            <w:vAlign w:val="center"/>
          </w:tcPr>
          <w:p>
            <w:pPr>
              <w:widowControl/>
              <w:spacing w:line="300" w:lineRule="exact"/>
              <w:jc w:val="center"/>
              <w:rPr>
                <w:rFonts w:hint="eastAsia" w:ascii="仿宋_GB2312" w:hAnsi="仿宋_GB2312" w:eastAsia="仿宋_GB2312" w:cs="仿宋_GB2312"/>
                <w:kern w:val="0"/>
                <w:sz w:val="20"/>
                <w:szCs w:val="20"/>
              </w:rPr>
            </w:pPr>
          </w:p>
        </w:tc>
        <w:tc>
          <w:tcPr>
            <w:tcW w:w="524" w:type="dxa"/>
            <w:vAlign w:val="center"/>
          </w:tcPr>
          <w:p>
            <w:pPr>
              <w:widowControl/>
              <w:spacing w:line="300" w:lineRule="exact"/>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405"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2090" w:type="dxa"/>
            <w:vAlign w:val="center"/>
          </w:tcPr>
          <w:p>
            <w:pPr>
              <w:widowControl/>
              <w:spacing w:line="30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无人监测机</w:t>
            </w:r>
          </w:p>
        </w:tc>
        <w:tc>
          <w:tcPr>
            <w:tcW w:w="3499" w:type="dxa"/>
            <w:vAlign w:val="center"/>
          </w:tcPr>
          <w:p>
            <w:pPr>
              <w:widowControl/>
              <w:spacing w:line="30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无人机及配件、双光电调舱、摄像头、热像仪、微波前段、天线、便捷式测控站。</w:t>
            </w:r>
          </w:p>
        </w:tc>
        <w:tc>
          <w:tcPr>
            <w:tcW w:w="3551" w:type="dxa"/>
            <w:gridSpan w:val="3"/>
            <w:vAlign w:val="center"/>
          </w:tcPr>
          <w:p>
            <w:pPr>
              <w:widowControl/>
              <w:spacing w:line="300" w:lineRule="exact"/>
              <w:jc w:val="center"/>
              <w:rPr>
                <w:rFonts w:hint="eastAsia" w:ascii="仿宋_GB2312" w:hAnsi="仿宋_GB2312" w:eastAsia="仿宋_GB2312" w:cs="仿宋_GB2312"/>
                <w:kern w:val="0"/>
                <w:sz w:val="20"/>
                <w:szCs w:val="20"/>
              </w:rPr>
            </w:pPr>
          </w:p>
        </w:tc>
        <w:tc>
          <w:tcPr>
            <w:tcW w:w="1065"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130</w:t>
            </w:r>
          </w:p>
        </w:tc>
        <w:tc>
          <w:tcPr>
            <w:tcW w:w="1312"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130</w:t>
            </w:r>
          </w:p>
        </w:tc>
        <w:tc>
          <w:tcPr>
            <w:tcW w:w="666"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2021</w:t>
            </w:r>
          </w:p>
        </w:tc>
        <w:tc>
          <w:tcPr>
            <w:tcW w:w="666"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2021</w:t>
            </w:r>
          </w:p>
        </w:tc>
        <w:tc>
          <w:tcPr>
            <w:tcW w:w="524" w:type="dxa"/>
            <w:vAlign w:val="center"/>
          </w:tcPr>
          <w:p>
            <w:pPr>
              <w:widowControl/>
              <w:spacing w:line="300" w:lineRule="exact"/>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5994" w:type="dxa"/>
            <w:gridSpan w:val="3"/>
            <w:vAlign w:val="center"/>
          </w:tcPr>
          <w:p>
            <w:pPr>
              <w:widowControl/>
              <w:spacing w:line="300" w:lineRule="exact"/>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七、水上应急救助设施建设项目</w:t>
            </w:r>
          </w:p>
        </w:tc>
        <w:tc>
          <w:tcPr>
            <w:tcW w:w="3551" w:type="dxa"/>
            <w:gridSpan w:val="3"/>
            <w:vAlign w:val="center"/>
          </w:tcPr>
          <w:p>
            <w:pPr>
              <w:widowControl/>
              <w:spacing w:line="300" w:lineRule="exact"/>
              <w:jc w:val="center"/>
              <w:rPr>
                <w:rFonts w:hint="eastAsia" w:ascii="仿宋_GB2312" w:hAnsi="仿宋_GB2312" w:eastAsia="仿宋_GB2312" w:cs="仿宋_GB2312"/>
                <w:b/>
                <w:bCs/>
                <w:kern w:val="0"/>
                <w:sz w:val="20"/>
                <w:szCs w:val="20"/>
              </w:rPr>
            </w:pPr>
          </w:p>
        </w:tc>
        <w:tc>
          <w:tcPr>
            <w:tcW w:w="1065" w:type="dxa"/>
            <w:vAlign w:val="center"/>
          </w:tcPr>
          <w:p>
            <w:pPr>
              <w:widowControl/>
              <w:spacing w:line="300" w:lineRule="exact"/>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150</w:t>
            </w:r>
          </w:p>
        </w:tc>
        <w:tc>
          <w:tcPr>
            <w:tcW w:w="1312" w:type="dxa"/>
            <w:vAlign w:val="center"/>
          </w:tcPr>
          <w:p>
            <w:pPr>
              <w:widowControl/>
              <w:spacing w:line="300" w:lineRule="exact"/>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150</w:t>
            </w:r>
          </w:p>
        </w:tc>
        <w:tc>
          <w:tcPr>
            <w:tcW w:w="666" w:type="dxa"/>
            <w:vAlign w:val="center"/>
          </w:tcPr>
          <w:p>
            <w:pPr>
              <w:widowControl/>
              <w:spacing w:line="300" w:lineRule="exact"/>
              <w:jc w:val="center"/>
              <w:rPr>
                <w:rFonts w:hint="eastAsia" w:ascii="仿宋_GB2312" w:hAnsi="仿宋_GB2312" w:eastAsia="仿宋_GB2312" w:cs="仿宋_GB2312"/>
                <w:b/>
                <w:bCs/>
                <w:kern w:val="0"/>
                <w:sz w:val="20"/>
                <w:szCs w:val="20"/>
              </w:rPr>
            </w:pPr>
          </w:p>
        </w:tc>
        <w:tc>
          <w:tcPr>
            <w:tcW w:w="666" w:type="dxa"/>
            <w:vAlign w:val="center"/>
          </w:tcPr>
          <w:p>
            <w:pPr>
              <w:widowControl/>
              <w:spacing w:line="300" w:lineRule="exact"/>
              <w:jc w:val="center"/>
              <w:rPr>
                <w:rFonts w:hint="eastAsia" w:ascii="仿宋_GB2312" w:hAnsi="仿宋_GB2312" w:eastAsia="仿宋_GB2312" w:cs="仿宋_GB2312"/>
                <w:b/>
                <w:bCs/>
                <w:kern w:val="0"/>
                <w:sz w:val="20"/>
                <w:szCs w:val="20"/>
              </w:rPr>
            </w:pPr>
          </w:p>
        </w:tc>
        <w:tc>
          <w:tcPr>
            <w:tcW w:w="524" w:type="dxa"/>
            <w:vAlign w:val="center"/>
          </w:tcPr>
          <w:p>
            <w:pPr>
              <w:widowControl/>
              <w:spacing w:line="300" w:lineRule="exact"/>
              <w:jc w:val="center"/>
              <w:rPr>
                <w:rFonts w:hint="eastAsia" w:ascii="仿宋_GB2312" w:hAnsi="仿宋_GB2312" w:eastAsia="仿宋_GB2312" w:cs="仿宋_GB2312"/>
                <w:b/>
                <w:bCs/>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2495" w:type="dxa"/>
            <w:gridSpan w:val="2"/>
            <w:vAlign w:val="center"/>
          </w:tcPr>
          <w:p>
            <w:pPr>
              <w:widowControl/>
              <w:spacing w:line="30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应急救助基地、站、点建设（含海事工作船码头和物资储备库）</w:t>
            </w:r>
          </w:p>
        </w:tc>
        <w:tc>
          <w:tcPr>
            <w:tcW w:w="3499"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泊位数量</w:t>
            </w:r>
          </w:p>
        </w:tc>
        <w:tc>
          <w:tcPr>
            <w:tcW w:w="1058"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趸船艘数及米级</w:t>
            </w:r>
          </w:p>
        </w:tc>
        <w:tc>
          <w:tcPr>
            <w:tcW w:w="1311"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仓库面积</w:t>
            </w:r>
          </w:p>
        </w:tc>
        <w:tc>
          <w:tcPr>
            <w:tcW w:w="1182" w:type="dxa"/>
            <w:vAlign w:val="center"/>
          </w:tcPr>
          <w:p>
            <w:pPr>
              <w:widowControl/>
              <w:spacing w:line="300" w:lineRule="exact"/>
              <w:jc w:val="center"/>
              <w:rPr>
                <w:rFonts w:hint="eastAsia" w:ascii="仿宋_GB2312" w:hAnsi="仿宋_GB2312" w:eastAsia="仿宋_GB2312" w:cs="仿宋_GB2312"/>
                <w:kern w:val="0"/>
                <w:sz w:val="20"/>
                <w:szCs w:val="20"/>
              </w:rPr>
            </w:pPr>
          </w:p>
        </w:tc>
        <w:tc>
          <w:tcPr>
            <w:tcW w:w="1065"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150</w:t>
            </w:r>
          </w:p>
        </w:tc>
        <w:tc>
          <w:tcPr>
            <w:tcW w:w="1312"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150</w:t>
            </w:r>
          </w:p>
        </w:tc>
        <w:tc>
          <w:tcPr>
            <w:tcW w:w="666" w:type="dxa"/>
            <w:vAlign w:val="center"/>
          </w:tcPr>
          <w:p>
            <w:pPr>
              <w:widowControl/>
              <w:spacing w:line="300" w:lineRule="exact"/>
              <w:jc w:val="center"/>
              <w:rPr>
                <w:rFonts w:hint="eastAsia" w:ascii="仿宋_GB2312" w:hAnsi="仿宋_GB2312" w:eastAsia="仿宋_GB2312" w:cs="仿宋_GB2312"/>
                <w:kern w:val="0"/>
                <w:sz w:val="20"/>
                <w:szCs w:val="20"/>
              </w:rPr>
            </w:pPr>
          </w:p>
        </w:tc>
        <w:tc>
          <w:tcPr>
            <w:tcW w:w="666" w:type="dxa"/>
            <w:vAlign w:val="center"/>
          </w:tcPr>
          <w:p>
            <w:pPr>
              <w:widowControl/>
              <w:spacing w:line="300" w:lineRule="exact"/>
              <w:jc w:val="center"/>
              <w:rPr>
                <w:rFonts w:hint="eastAsia" w:ascii="仿宋_GB2312" w:hAnsi="仿宋_GB2312" w:eastAsia="仿宋_GB2312" w:cs="仿宋_GB2312"/>
                <w:kern w:val="0"/>
                <w:sz w:val="20"/>
                <w:szCs w:val="20"/>
              </w:rPr>
            </w:pPr>
          </w:p>
        </w:tc>
        <w:tc>
          <w:tcPr>
            <w:tcW w:w="524" w:type="dxa"/>
            <w:vAlign w:val="center"/>
          </w:tcPr>
          <w:p>
            <w:pPr>
              <w:widowControl/>
              <w:spacing w:line="300" w:lineRule="exact"/>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405"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2090"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干溪河应急救助站</w:t>
            </w:r>
          </w:p>
        </w:tc>
        <w:tc>
          <w:tcPr>
            <w:tcW w:w="3499"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15</w:t>
            </w:r>
          </w:p>
        </w:tc>
        <w:tc>
          <w:tcPr>
            <w:tcW w:w="1058" w:type="dxa"/>
            <w:vAlign w:val="center"/>
          </w:tcPr>
          <w:p>
            <w:pPr>
              <w:widowControl/>
              <w:spacing w:line="300" w:lineRule="exact"/>
              <w:jc w:val="center"/>
              <w:rPr>
                <w:rFonts w:hint="eastAsia" w:ascii="仿宋_GB2312" w:hAnsi="仿宋_GB2312" w:eastAsia="仿宋_GB2312" w:cs="仿宋_GB2312"/>
                <w:kern w:val="0"/>
                <w:sz w:val="20"/>
                <w:szCs w:val="20"/>
              </w:rPr>
            </w:pPr>
          </w:p>
        </w:tc>
        <w:tc>
          <w:tcPr>
            <w:tcW w:w="1311"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20平方</w:t>
            </w:r>
          </w:p>
        </w:tc>
        <w:tc>
          <w:tcPr>
            <w:tcW w:w="1182" w:type="dxa"/>
            <w:vAlign w:val="center"/>
          </w:tcPr>
          <w:p>
            <w:pPr>
              <w:widowControl/>
              <w:spacing w:line="300" w:lineRule="exact"/>
              <w:jc w:val="center"/>
              <w:rPr>
                <w:rFonts w:hint="eastAsia" w:ascii="仿宋_GB2312" w:hAnsi="仿宋_GB2312" w:eastAsia="仿宋_GB2312" w:cs="仿宋_GB2312"/>
                <w:spacing w:val="-10"/>
                <w:kern w:val="0"/>
                <w:sz w:val="20"/>
                <w:szCs w:val="20"/>
              </w:rPr>
            </w:pPr>
            <w:r>
              <w:rPr>
                <w:rFonts w:hint="eastAsia" w:ascii="仿宋_GB2312" w:hAnsi="仿宋_GB2312" w:eastAsia="仿宋_GB2312" w:cs="仿宋_GB2312"/>
                <w:spacing w:val="-10"/>
                <w:kern w:val="0"/>
                <w:sz w:val="20"/>
                <w:szCs w:val="20"/>
              </w:rPr>
              <w:t>白龙湖库区</w:t>
            </w:r>
          </w:p>
        </w:tc>
        <w:tc>
          <w:tcPr>
            <w:tcW w:w="1065"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150</w:t>
            </w:r>
          </w:p>
        </w:tc>
        <w:tc>
          <w:tcPr>
            <w:tcW w:w="1312"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150</w:t>
            </w:r>
          </w:p>
        </w:tc>
        <w:tc>
          <w:tcPr>
            <w:tcW w:w="666"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2024</w:t>
            </w:r>
          </w:p>
        </w:tc>
        <w:tc>
          <w:tcPr>
            <w:tcW w:w="666"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2024</w:t>
            </w:r>
          </w:p>
        </w:tc>
        <w:tc>
          <w:tcPr>
            <w:tcW w:w="524" w:type="dxa"/>
            <w:vAlign w:val="center"/>
          </w:tcPr>
          <w:p>
            <w:pPr>
              <w:widowControl/>
              <w:spacing w:line="300" w:lineRule="exact"/>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5994" w:type="dxa"/>
            <w:gridSpan w:val="3"/>
            <w:vAlign w:val="center"/>
          </w:tcPr>
          <w:p>
            <w:pPr>
              <w:widowControl/>
              <w:spacing w:line="300" w:lineRule="exact"/>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八、水路信息化规划项目</w:t>
            </w:r>
          </w:p>
        </w:tc>
        <w:tc>
          <w:tcPr>
            <w:tcW w:w="3551" w:type="dxa"/>
            <w:gridSpan w:val="3"/>
            <w:vAlign w:val="center"/>
          </w:tcPr>
          <w:p>
            <w:pPr>
              <w:widowControl/>
              <w:spacing w:line="300" w:lineRule="exact"/>
              <w:jc w:val="center"/>
              <w:rPr>
                <w:rFonts w:hint="eastAsia" w:ascii="仿宋_GB2312" w:hAnsi="仿宋_GB2312" w:eastAsia="仿宋_GB2312" w:cs="仿宋_GB2312"/>
                <w:b/>
                <w:bCs/>
                <w:kern w:val="0"/>
                <w:sz w:val="20"/>
                <w:szCs w:val="20"/>
              </w:rPr>
            </w:pPr>
          </w:p>
        </w:tc>
        <w:tc>
          <w:tcPr>
            <w:tcW w:w="1065" w:type="dxa"/>
            <w:vAlign w:val="center"/>
          </w:tcPr>
          <w:p>
            <w:pPr>
              <w:widowControl/>
              <w:spacing w:line="300" w:lineRule="exact"/>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600</w:t>
            </w:r>
          </w:p>
        </w:tc>
        <w:tc>
          <w:tcPr>
            <w:tcW w:w="1312" w:type="dxa"/>
            <w:vAlign w:val="center"/>
          </w:tcPr>
          <w:p>
            <w:pPr>
              <w:widowControl/>
              <w:spacing w:line="300" w:lineRule="exact"/>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600</w:t>
            </w:r>
          </w:p>
        </w:tc>
        <w:tc>
          <w:tcPr>
            <w:tcW w:w="666" w:type="dxa"/>
            <w:vAlign w:val="center"/>
          </w:tcPr>
          <w:p>
            <w:pPr>
              <w:widowControl/>
              <w:spacing w:line="300" w:lineRule="exact"/>
              <w:jc w:val="center"/>
              <w:rPr>
                <w:rFonts w:hint="eastAsia" w:ascii="仿宋_GB2312" w:hAnsi="仿宋_GB2312" w:eastAsia="仿宋_GB2312" w:cs="仿宋_GB2312"/>
                <w:b/>
                <w:bCs/>
                <w:kern w:val="0"/>
                <w:sz w:val="20"/>
                <w:szCs w:val="20"/>
              </w:rPr>
            </w:pPr>
          </w:p>
        </w:tc>
        <w:tc>
          <w:tcPr>
            <w:tcW w:w="666" w:type="dxa"/>
            <w:vAlign w:val="center"/>
          </w:tcPr>
          <w:p>
            <w:pPr>
              <w:widowControl/>
              <w:spacing w:line="300" w:lineRule="exact"/>
              <w:jc w:val="center"/>
              <w:rPr>
                <w:rFonts w:hint="eastAsia" w:ascii="仿宋_GB2312" w:hAnsi="仿宋_GB2312" w:eastAsia="仿宋_GB2312" w:cs="仿宋_GB2312"/>
                <w:b/>
                <w:bCs/>
                <w:kern w:val="0"/>
                <w:sz w:val="20"/>
                <w:szCs w:val="20"/>
              </w:rPr>
            </w:pPr>
          </w:p>
        </w:tc>
        <w:tc>
          <w:tcPr>
            <w:tcW w:w="524" w:type="dxa"/>
            <w:vAlign w:val="center"/>
          </w:tcPr>
          <w:p>
            <w:pPr>
              <w:widowControl/>
              <w:spacing w:line="300" w:lineRule="exact"/>
              <w:jc w:val="center"/>
              <w:rPr>
                <w:rFonts w:hint="eastAsia" w:ascii="仿宋_GB2312" w:hAnsi="仿宋_GB2312" w:eastAsia="仿宋_GB2312" w:cs="仿宋_GB2312"/>
                <w:b/>
                <w:bCs/>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405"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2090" w:type="dxa"/>
            <w:vAlign w:val="center"/>
          </w:tcPr>
          <w:p>
            <w:pPr>
              <w:widowControl/>
              <w:spacing w:line="30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水上交通安全风力测报中心</w:t>
            </w:r>
          </w:p>
        </w:tc>
        <w:tc>
          <w:tcPr>
            <w:tcW w:w="3499" w:type="dxa"/>
            <w:vAlign w:val="center"/>
          </w:tcPr>
          <w:p>
            <w:pPr>
              <w:widowControl/>
              <w:spacing w:line="30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白龙湖库区风力测报系统，设备及维护。</w:t>
            </w:r>
          </w:p>
        </w:tc>
        <w:tc>
          <w:tcPr>
            <w:tcW w:w="3551" w:type="dxa"/>
            <w:gridSpan w:val="3"/>
            <w:vAlign w:val="center"/>
          </w:tcPr>
          <w:p>
            <w:pPr>
              <w:widowControl/>
              <w:spacing w:line="300" w:lineRule="exact"/>
              <w:jc w:val="center"/>
              <w:rPr>
                <w:rFonts w:hint="eastAsia" w:ascii="仿宋_GB2312" w:hAnsi="仿宋_GB2312" w:eastAsia="仿宋_GB2312" w:cs="仿宋_GB2312"/>
                <w:kern w:val="0"/>
                <w:sz w:val="20"/>
                <w:szCs w:val="20"/>
              </w:rPr>
            </w:pPr>
          </w:p>
        </w:tc>
        <w:tc>
          <w:tcPr>
            <w:tcW w:w="1065"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300</w:t>
            </w:r>
          </w:p>
        </w:tc>
        <w:tc>
          <w:tcPr>
            <w:tcW w:w="1312"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300</w:t>
            </w:r>
          </w:p>
        </w:tc>
        <w:tc>
          <w:tcPr>
            <w:tcW w:w="666"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2024</w:t>
            </w:r>
          </w:p>
        </w:tc>
        <w:tc>
          <w:tcPr>
            <w:tcW w:w="666"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2024</w:t>
            </w:r>
          </w:p>
        </w:tc>
        <w:tc>
          <w:tcPr>
            <w:tcW w:w="524" w:type="dxa"/>
            <w:vAlign w:val="center"/>
          </w:tcPr>
          <w:p>
            <w:pPr>
              <w:widowControl/>
              <w:spacing w:line="300" w:lineRule="exact"/>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405"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w:t>
            </w:r>
          </w:p>
        </w:tc>
        <w:tc>
          <w:tcPr>
            <w:tcW w:w="2090" w:type="dxa"/>
            <w:vAlign w:val="center"/>
          </w:tcPr>
          <w:p>
            <w:pPr>
              <w:widowControl/>
              <w:spacing w:line="30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广元市轮船总公司</w:t>
            </w:r>
          </w:p>
          <w:p>
            <w:pPr>
              <w:widowControl/>
              <w:spacing w:line="30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水运监测中心</w:t>
            </w:r>
          </w:p>
        </w:tc>
        <w:tc>
          <w:tcPr>
            <w:tcW w:w="3499" w:type="dxa"/>
            <w:vAlign w:val="center"/>
          </w:tcPr>
          <w:p>
            <w:pPr>
              <w:widowControl/>
              <w:spacing w:line="30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信息监测房20平方，设备及维护.</w:t>
            </w:r>
          </w:p>
        </w:tc>
        <w:tc>
          <w:tcPr>
            <w:tcW w:w="3551" w:type="dxa"/>
            <w:gridSpan w:val="3"/>
            <w:vAlign w:val="center"/>
          </w:tcPr>
          <w:p>
            <w:pPr>
              <w:widowControl/>
              <w:spacing w:line="300" w:lineRule="exact"/>
              <w:jc w:val="center"/>
              <w:rPr>
                <w:rFonts w:hint="eastAsia" w:ascii="仿宋_GB2312" w:hAnsi="仿宋_GB2312" w:eastAsia="仿宋_GB2312" w:cs="仿宋_GB2312"/>
                <w:kern w:val="0"/>
                <w:sz w:val="20"/>
                <w:szCs w:val="20"/>
              </w:rPr>
            </w:pPr>
          </w:p>
        </w:tc>
        <w:tc>
          <w:tcPr>
            <w:tcW w:w="1065"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300</w:t>
            </w:r>
          </w:p>
        </w:tc>
        <w:tc>
          <w:tcPr>
            <w:tcW w:w="1312"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300</w:t>
            </w:r>
          </w:p>
        </w:tc>
        <w:tc>
          <w:tcPr>
            <w:tcW w:w="666"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2022</w:t>
            </w:r>
          </w:p>
        </w:tc>
        <w:tc>
          <w:tcPr>
            <w:tcW w:w="666"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2022</w:t>
            </w:r>
          </w:p>
        </w:tc>
        <w:tc>
          <w:tcPr>
            <w:tcW w:w="524" w:type="dxa"/>
            <w:vAlign w:val="center"/>
          </w:tcPr>
          <w:p>
            <w:pPr>
              <w:widowControl/>
              <w:spacing w:line="300" w:lineRule="exact"/>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5994" w:type="dxa"/>
            <w:gridSpan w:val="3"/>
            <w:vAlign w:val="center"/>
          </w:tcPr>
          <w:p>
            <w:pPr>
              <w:widowControl/>
              <w:spacing w:line="300" w:lineRule="exact"/>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九、远期规划项目</w:t>
            </w:r>
          </w:p>
        </w:tc>
        <w:tc>
          <w:tcPr>
            <w:tcW w:w="3551" w:type="dxa"/>
            <w:gridSpan w:val="3"/>
            <w:vAlign w:val="center"/>
          </w:tcPr>
          <w:p>
            <w:pPr>
              <w:widowControl/>
              <w:spacing w:line="300" w:lineRule="exact"/>
              <w:jc w:val="center"/>
              <w:rPr>
                <w:rFonts w:hint="eastAsia" w:ascii="仿宋_GB2312" w:hAnsi="仿宋_GB2312" w:eastAsia="仿宋_GB2312" w:cs="仿宋_GB2312"/>
                <w:b/>
                <w:kern w:val="0"/>
                <w:sz w:val="20"/>
                <w:szCs w:val="20"/>
              </w:rPr>
            </w:pPr>
          </w:p>
        </w:tc>
        <w:tc>
          <w:tcPr>
            <w:tcW w:w="1065" w:type="dxa"/>
            <w:vAlign w:val="center"/>
          </w:tcPr>
          <w:p>
            <w:pPr>
              <w:widowControl/>
              <w:spacing w:line="300" w:lineRule="exact"/>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kern w:val="0"/>
                <w:sz w:val="20"/>
                <w:szCs w:val="20"/>
              </w:rPr>
              <w:t>2</w:t>
            </w:r>
          </w:p>
        </w:tc>
        <w:tc>
          <w:tcPr>
            <w:tcW w:w="1312" w:type="dxa"/>
            <w:vAlign w:val="center"/>
          </w:tcPr>
          <w:p>
            <w:pPr>
              <w:widowControl/>
              <w:spacing w:line="300" w:lineRule="exact"/>
              <w:jc w:val="center"/>
              <w:rPr>
                <w:rFonts w:hint="eastAsia" w:ascii="仿宋_GB2312" w:hAnsi="仿宋_GB2312" w:eastAsia="仿宋_GB2312" w:cs="仿宋_GB2312"/>
                <w:b/>
                <w:kern w:val="0"/>
                <w:sz w:val="20"/>
                <w:szCs w:val="20"/>
              </w:rPr>
            </w:pPr>
            <w:r>
              <w:rPr>
                <w:rFonts w:hint="eastAsia" w:ascii="仿宋_GB2312" w:hAnsi="仿宋_GB2312" w:eastAsia="仿宋_GB2312" w:cs="仿宋_GB2312"/>
                <w:b/>
                <w:kern w:val="0"/>
                <w:sz w:val="20"/>
                <w:szCs w:val="20"/>
              </w:rPr>
              <w:t>2</w:t>
            </w:r>
          </w:p>
        </w:tc>
        <w:tc>
          <w:tcPr>
            <w:tcW w:w="666" w:type="dxa"/>
            <w:vAlign w:val="center"/>
          </w:tcPr>
          <w:p>
            <w:pPr>
              <w:widowControl/>
              <w:spacing w:line="300" w:lineRule="exact"/>
              <w:jc w:val="center"/>
              <w:rPr>
                <w:rFonts w:hint="eastAsia" w:ascii="仿宋_GB2312" w:hAnsi="仿宋_GB2312" w:eastAsia="仿宋_GB2312" w:cs="仿宋_GB2312"/>
                <w:b/>
                <w:kern w:val="0"/>
                <w:sz w:val="20"/>
                <w:szCs w:val="20"/>
              </w:rPr>
            </w:pPr>
          </w:p>
        </w:tc>
        <w:tc>
          <w:tcPr>
            <w:tcW w:w="666" w:type="dxa"/>
            <w:vAlign w:val="center"/>
          </w:tcPr>
          <w:p>
            <w:pPr>
              <w:widowControl/>
              <w:spacing w:line="300" w:lineRule="exact"/>
              <w:jc w:val="center"/>
              <w:rPr>
                <w:rFonts w:hint="eastAsia" w:ascii="仿宋_GB2312" w:hAnsi="仿宋_GB2312" w:eastAsia="仿宋_GB2312" w:cs="仿宋_GB2312"/>
                <w:b/>
                <w:kern w:val="0"/>
                <w:sz w:val="20"/>
                <w:szCs w:val="20"/>
              </w:rPr>
            </w:pPr>
          </w:p>
        </w:tc>
        <w:tc>
          <w:tcPr>
            <w:tcW w:w="524" w:type="dxa"/>
            <w:vAlign w:val="center"/>
          </w:tcPr>
          <w:p>
            <w:pPr>
              <w:widowControl/>
              <w:spacing w:line="300" w:lineRule="exact"/>
              <w:jc w:val="center"/>
              <w:rPr>
                <w:rFonts w:hint="eastAsia" w:ascii="仿宋_GB2312" w:hAnsi="仿宋_GB2312" w:eastAsia="仿宋_GB2312" w:cs="仿宋_GB2312"/>
                <w:b/>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405"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2090" w:type="dxa"/>
            <w:vAlign w:val="center"/>
          </w:tcPr>
          <w:p>
            <w:pPr>
              <w:widowControl/>
              <w:spacing w:line="30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广元港利州港区</w:t>
            </w:r>
          </w:p>
        </w:tc>
        <w:tc>
          <w:tcPr>
            <w:tcW w:w="3499" w:type="dxa"/>
            <w:vAlign w:val="center"/>
          </w:tcPr>
          <w:p>
            <w:pPr>
              <w:widowControl/>
              <w:spacing w:line="30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建设袁家坝货运码头</w:t>
            </w:r>
          </w:p>
        </w:tc>
        <w:tc>
          <w:tcPr>
            <w:tcW w:w="3551" w:type="dxa"/>
            <w:gridSpan w:val="3"/>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嘉陵江</w:t>
            </w:r>
          </w:p>
        </w:tc>
        <w:tc>
          <w:tcPr>
            <w:tcW w:w="1065"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w:t>
            </w:r>
          </w:p>
        </w:tc>
        <w:tc>
          <w:tcPr>
            <w:tcW w:w="1312"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w:t>
            </w:r>
          </w:p>
        </w:tc>
        <w:tc>
          <w:tcPr>
            <w:tcW w:w="666" w:type="dxa"/>
            <w:vAlign w:val="center"/>
          </w:tcPr>
          <w:p>
            <w:pPr>
              <w:widowControl/>
              <w:spacing w:line="300" w:lineRule="exact"/>
              <w:jc w:val="center"/>
              <w:rPr>
                <w:rFonts w:hint="eastAsia" w:ascii="仿宋_GB2312" w:hAnsi="仿宋_GB2312" w:eastAsia="仿宋_GB2312" w:cs="仿宋_GB2312"/>
                <w:kern w:val="0"/>
                <w:sz w:val="20"/>
                <w:szCs w:val="20"/>
              </w:rPr>
            </w:pPr>
          </w:p>
        </w:tc>
        <w:tc>
          <w:tcPr>
            <w:tcW w:w="666" w:type="dxa"/>
            <w:vAlign w:val="center"/>
          </w:tcPr>
          <w:p>
            <w:pPr>
              <w:widowControl/>
              <w:spacing w:line="300" w:lineRule="exact"/>
              <w:jc w:val="center"/>
              <w:rPr>
                <w:rFonts w:hint="eastAsia" w:ascii="仿宋_GB2312" w:hAnsi="仿宋_GB2312" w:eastAsia="仿宋_GB2312" w:cs="仿宋_GB2312"/>
                <w:kern w:val="0"/>
                <w:sz w:val="20"/>
                <w:szCs w:val="20"/>
              </w:rPr>
            </w:pPr>
          </w:p>
        </w:tc>
        <w:tc>
          <w:tcPr>
            <w:tcW w:w="524" w:type="dxa"/>
            <w:vAlign w:val="center"/>
          </w:tcPr>
          <w:p>
            <w:pPr>
              <w:widowControl/>
              <w:spacing w:line="300" w:lineRule="exact"/>
              <w:jc w:val="center"/>
              <w:rPr>
                <w:rFonts w:hint="eastAsia" w:ascii="仿宋_GB2312" w:hAnsi="仿宋_GB2312" w:eastAsia="仿宋_GB2312" w:cs="仿宋_GB2312"/>
                <w:kern w:val="0"/>
                <w:sz w:val="20"/>
                <w:szCs w:val="20"/>
              </w:rPr>
            </w:pPr>
          </w:p>
        </w:tc>
      </w:tr>
    </w:tbl>
    <w:p>
      <w:pPr>
        <w:rPr>
          <w:rFonts w:hint="eastAsia" w:ascii="仿宋_GB2312" w:hAnsi="仿宋_GB2312" w:eastAsia="仿宋_GB2312" w:cs="仿宋_GB2312"/>
          <w:b/>
          <w:sz w:val="28"/>
          <w:szCs w:val="28"/>
        </w:rPr>
      </w:pPr>
      <w:bookmarkStart w:id="150" w:name="_Toc91148196"/>
      <w:bookmarkStart w:id="151" w:name="_Toc91150362"/>
      <w:bookmarkStart w:id="152" w:name="_Toc89264383"/>
    </w:p>
    <w:p>
      <w:pPr>
        <w:pStyle w:val="2"/>
        <w:rPr>
          <w:rFonts w:hint="eastAsia" w:ascii="仿宋_GB2312" w:hAnsi="仿宋_GB2312" w:eastAsia="仿宋_GB2312" w:cs="仿宋_GB2312"/>
        </w:rPr>
      </w:pPr>
      <w:r>
        <w:rPr>
          <w:rFonts w:hint="eastAsia" w:ascii="仿宋_GB2312" w:hAnsi="仿宋_GB2312" w:eastAsia="仿宋_GB2312" w:cs="仿宋_GB2312"/>
        </w:rPr>
        <w:br w:type="page"/>
      </w:r>
    </w:p>
    <w:p>
      <w:pPr>
        <w:pStyle w:val="5"/>
        <w:jc w:val="center"/>
        <w:rPr>
          <w:rFonts w:hint="eastAsia" w:ascii="仿宋_GB2312" w:hAnsi="仿宋_GB2312" w:eastAsia="仿宋_GB2312" w:cs="仿宋_GB2312"/>
          <w:b w:val="0"/>
        </w:rPr>
      </w:pPr>
      <w:bookmarkStart w:id="153" w:name="_Toc99786565"/>
      <w:bookmarkStart w:id="154" w:name="_Toc114070061"/>
      <w:bookmarkStart w:id="155" w:name="_Toc111036312"/>
      <w:bookmarkStart w:id="156" w:name="_Toc101432174"/>
      <w:r>
        <w:rPr>
          <w:rFonts w:hint="eastAsia" w:ascii="仿宋_GB2312" w:hAnsi="仿宋_GB2312" w:eastAsia="仿宋_GB2312" w:cs="仿宋_GB2312"/>
          <w:b w:val="0"/>
        </w:rPr>
        <w:t>附表7 利州区“十四五”航空建设项目表</w:t>
      </w:r>
      <w:bookmarkEnd w:id="150"/>
      <w:bookmarkEnd w:id="151"/>
      <w:bookmarkEnd w:id="152"/>
      <w:bookmarkEnd w:id="153"/>
      <w:bookmarkEnd w:id="154"/>
      <w:bookmarkEnd w:id="155"/>
      <w:bookmarkEnd w:id="156"/>
    </w:p>
    <w:tbl>
      <w:tblPr>
        <w:tblStyle w:val="23"/>
        <w:tblW w:w="13778"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82"/>
        <w:gridCol w:w="1394"/>
        <w:gridCol w:w="6273"/>
        <w:gridCol w:w="963"/>
        <w:gridCol w:w="1103"/>
        <w:gridCol w:w="1100"/>
        <w:gridCol w:w="1646"/>
        <w:gridCol w:w="61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682" w:type="dxa"/>
            <w:vMerge w:val="restart"/>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序号</w:t>
            </w:r>
          </w:p>
        </w:tc>
        <w:tc>
          <w:tcPr>
            <w:tcW w:w="1394" w:type="dxa"/>
            <w:vMerge w:val="restart"/>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项目名称</w:t>
            </w:r>
          </w:p>
        </w:tc>
        <w:tc>
          <w:tcPr>
            <w:tcW w:w="6273" w:type="dxa"/>
            <w:vMerge w:val="restart"/>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建设标准、规模</w:t>
            </w:r>
          </w:p>
        </w:tc>
        <w:tc>
          <w:tcPr>
            <w:tcW w:w="2066" w:type="dxa"/>
            <w:gridSpan w:val="2"/>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建设年限</w:t>
            </w:r>
          </w:p>
        </w:tc>
        <w:tc>
          <w:tcPr>
            <w:tcW w:w="1100" w:type="dxa"/>
            <w:vMerge w:val="restart"/>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总投资（亿元）</w:t>
            </w:r>
          </w:p>
        </w:tc>
        <w:tc>
          <w:tcPr>
            <w:tcW w:w="1646" w:type="dxa"/>
            <w:vMerge w:val="restart"/>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“十四五”投资（亿元）</w:t>
            </w:r>
          </w:p>
        </w:tc>
        <w:tc>
          <w:tcPr>
            <w:tcW w:w="617" w:type="dxa"/>
            <w:vMerge w:val="restart"/>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备注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682" w:type="dxa"/>
            <w:vMerge w:val="continue"/>
            <w:vAlign w:val="center"/>
          </w:tcPr>
          <w:p>
            <w:pPr>
              <w:widowControl/>
              <w:jc w:val="center"/>
              <w:rPr>
                <w:rFonts w:hint="eastAsia" w:ascii="仿宋_GB2312" w:hAnsi="仿宋_GB2312" w:eastAsia="仿宋_GB2312" w:cs="仿宋_GB2312"/>
                <w:b/>
                <w:bCs/>
                <w:kern w:val="0"/>
                <w:sz w:val="20"/>
                <w:szCs w:val="20"/>
              </w:rPr>
            </w:pPr>
          </w:p>
        </w:tc>
        <w:tc>
          <w:tcPr>
            <w:tcW w:w="1394" w:type="dxa"/>
            <w:vMerge w:val="continue"/>
            <w:vAlign w:val="center"/>
          </w:tcPr>
          <w:p>
            <w:pPr>
              <w:widowControl/>
              <w:jc w:val="center"/>
              <w:rPr>
                <w:rFonts w:hint="eastAsia" w:ascii="仿宋_GB2312" w:hAnsi="仿宋_GB2312" w:eastAsia="仿宋_GB2312" w:cs="仿宋_GB2312"/>
                <w:b/>
                <w:bCs/>
                <w:kern w:val="0"/>
                <w:sz w:val="20"/>
                <w:szCs w:val="20"/>
              </w:rPr>
            </w:pPr>
          </w:p>
        </w:tc>
        <w:tc>
          <w:tcPr>
            <w:tcW w:w="6273" w:type="dxa"/>
            <w:vMerge w:val="continue"/>
            <w:vAlign w:val="center"/>
          </w:tcPr>
          <w:p>
            <w:pPr>
              <w:widowControl/>
              <w:jc w:val="center"/>
              <w:rPr>
                <w:rFonts w:hint="eastAsia" w:ascii="仿宋_GB2312" w:hAnsi="仿宋_GB2312" w:eastAsia="仿宋_GB2312" w:cs="仿宋_GB2312"/>
                <w:b/>
                <w:bCs/>
                <w:kern w:val="0"/>
                <w:sz w:val="20"/>
                <w:szCs w:val="20"/>
              </w:rPr>
            </w:pPr>
          </w:p>
        </w:tc>
        <w:tc>
          <w:tcPr>
            <w:tcW w:w="96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开工年</w:t>
            </w:r>
          </w:p>
        </w:tc>
        <w:tc>
          <w:tcPr>
            <w:tcW w:w="110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完工年</w:t>
            </w:r>
          </w:p>
        </w:tc>
        <w:tc>
          <w:tcPr>
            <w:tcW w:w="1100" w:type="dxa"/>
            <w:vMerge w:val="continue"/>
            <w:vAlign w:val="center"/>
          </w:tcPr>
          <w:p>
            <w:pPr>
              <w:widowControl/>
              <w:jc w:val="center"/>
              <w:rPr>
                <w:rFonts w:hint="eastAsia" w:ascii="仿宋_GB2312" w:hAnsi="仿宋_GB2312" w:eastAsia="仿宋_GB2312" w:cs="仿宋_GB2312"/>
                <w:b/>
                <w:bCs/>
                <w:kern w:val="0"/>
                <w:sz w:val="20"/>
                <w:szCs w:val="20"/>
              </w:rPr>
            </w:pPr>
          </w:p>
        </w:tc>
        <w:tc>
          <w:tcPr>
            <w:tcW w:w="1646" w:type="dxa"/>
            <w:vMerge w:val="continue"/>
            <w:vAlign w:val="center"/>
          </w:tcPr>
          <w:p>
            <w:pPr>
              <w:widowControl/>
              <w:jc w:val="center"/>
              <w:rPr>
                <w:rFonts w:hint="eastAsia" w:ascii="仿宋_GB2312" w:hAnsi="仿宋_GB2312" w:eastAsia="仿宋_GB2312" w:cs="仿宋_GB2312"/>
                <w:b/>
                <w:bCs/>
                <w:kern w:val="0"/>
                <w:sz w:val="20"/>
                <w:szCs w:val="20"/>
              </w:rPr>
            </w:pPr>
          </w:p>
        </w:tc>
        <w:tc>
          <w:tcPr>
            <w:tcW w:w="617" w:type="dxa"/>
            <w:vMerge w:val="continue"/>
            <w:vAlign w:val="center"/>
          </w:tcPr>
          <w:p>
            <w:pPr>
              <w:widowControl/>
              <w:jc w:val="center"/>
              <w:rPr>
                <w:rFonts w:hint="eastAsia" w:ascii="仿宋_GB2312" w:hAnsi="仿宋_GB2312" w:eastAsia="仿宋_GB2312" w:cs="仿宋_GB2312"/>
                <w:b/>
                <w:bCs/>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2076" w:type="dxa"/>
            <w:gridSpan w:val="2"/>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合计</w:t>
            </w:r>
          </w:p>
        </w:tc>
        <w:tc>
          <w:tcPr>
            <w:tcW w:w="6273" w:type="dxa"/>
            <w:vAlign w:val="center"/>
          </w:tcPr>
          <w:p>
            <w:pPr>
              <w:widowControl/>
              <w:jc w:val="center"/>
              <w:rPr>
                <w:rFonts w:hint="eastAsia" w:ascii="仿宋_GB2312" w:hAnsi="仿宋_GB2312" w:eastAsia="仿宋_GB2312" w:cs="仿宋_GB2312"/>
                <w:b/>
                <w:bCs/>
                <w:kern w:val="0"/>
                <w:sz w:val="20"/>
                <w:szCs w:val="20"/>
              </w:rPr>
            </w:pPr>
          </w:p>
        </w:tc>
        <w:tc>
          <w:tcPr>
            <w:tcW w:w="963" w:type="dxa"/>
            <w:vAlign w:val="center"/>
          </w:tcPr>
          <w:p>
            <w:pPr>
              <w:widowControl/>
              <w:jc w:val="center"/>
              <w:rPr>
                <w:rFonts w:hint="eastAsia" w:ascii="仿宋_GB2312" w:hAnsi="仿宋_GB2312" w:eastAsia="仿宋_GB2312" w:cs="仿宋_GB2312"/>
                <w:b/>
                <w:bCs/>
                <w:kern w:val="0"/>
                <w:sz w:val="20"/>
                <w:szCs w:val="20"/>
              </w:rPr>
            </w:pPr>
          </w:p>
        </w:tc>
        <w:tc>
          <w:tcPr>
            <w:tcW w:w="1103" w:type="dxa"/>
            <w:vAlign w:val="center"/>
          </w:tcPr>
          <w:p>
            <w:pPr>
              <w:widowControl/>
              <w:jc w:val="center"/>
              <w:rPr>
                <w:rFonts w:hint="eastAsia" w:ascii="仿宋_GB2312" w:hAnsi="仿宋_GB2312" w:eastAsia="仿宋_GB2312" w:cs="仿宋_GB2312"/>
                <w:b/>
                <w:bCs/>
                <w:kern w:val="0"/>
                <w:sz w:val="20"/>
                <w:szCs w:val="20"/>
              </w:rPr>
            </w:pPr>
          </w:p>
        </w:tc>
        <w:tc>
          <w:tcPr>
            <w:tcW w:w="1100"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86.95</w:t>
            </w:r>
          </w:p>
        </w:tc>
        <w:tc>
          <w:tcPr>
            <w:tcW w:w="1646" w:type="dxa"/>
            <w:vAlign w:val="center"/>
          </w:tcPr>
          <w:p>
            <w:pPr>
              <w:widowControl/>
              <w:jc w:val="center"/>
              <w:rPr>
                <w:rFonts w:hint="eastAsia" w:ascii="仿宋_GB2312" w:hAnsi="仿宋_GB2312" w:eastAsia="仿宋_GB2312" w:cs="仿宋_GB2312"/>
                <w:b/>
                <w:sz w:val="20"/>
                <w:szCs w:val="20"/>
              </w:rPr>
            </w:pPr>
            <w:r>
              <w:rPr>
                <w:rFonts w:hint="eastAsia" w:ascii="仿宋_GB2312" w:hAnsi="仿宋_GB2312" w:eastAsia="仿宋_GB2312" w:cs="仿宋_GB2312"/>
                <w:b/>
                <w:sz w:val="20"/>
                <w:szCs w:val="20"/>
              </w:rPr>
              <w:t>33.95</w:t>
            </w:r>
          </w:p>
        </w:tc>
        <w:tc>
          <w:tcPr>
            <w:tcW w:w="617" w:type="dxa"/>
            <w:vAlign w:val="center"/>
          </w:tcPr>
          <w:p>
            <w:pPr>
              <w:widowControl/>
              <w:jc w:val="center"/>
              <w:rPr>
                <w:rFonts w:hint="eastAsia" w:ascii="仿宋_GB2312" w:hAnsi="仿宋_GB2312" w:eastAsia="仿宋_GB2312" w:cs="仿宋_GB2312"/>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2076" w:type="dxa"/>
            <w:gridSpan w:val="2"/>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一、续建项目</w:t>
            </w:r>
          </w:p>
        </w:tc>
        <w:tc>
          <w:tcPr>
            <w:tcW w:w="6273" w:type="dxa"/>
            <w:vAlign w:val="center"/>
          </w:tcPr>
          <w:p>
            <w:pPr>
              <w:widowControl/>
              <w:jc w:val="center"/>
              <w:rPr>
                <w:rFonts w:hint="eastAsia" w:ascii="仿宋_GB2312" w:hAnsi="仿宋_GB2312" w:eastAsia="仿宋_GB2312" w:cs="仿宋_GB2312"/>
                <w:b/>
                <w:bCs/>
                <w:kern w:val="0"/>
                <w:sz w:val="20"/>
                <w:szCs w:val="20"/>
              </w:rPr>
            </w:pPr>
          </w:p>
        </w:tc>
        <w:tc>
          <w:tcPr>
            <w:tcW w:w="963" w:type="dxa"/>
            <w:vAlign w:val="center"/>
          </w:tcPr>
          <w:p>
            <w:pPr>
              <w:widowControl/>
              <w:jc w:val="center"/>
              <w:rPr>
                <w:rFonts w:hint="eastAsia" w:ascii="仿宋_GB2312" w:hAnsi="仿宋_GB2312" w:eastAsia="仿宋_GB2312" w:cs="仿宋_GB2312"/>
                <w:b/>
                <w:bCs/>
                <w:kern w:val="0"/>
                <w:sz w:val="20"/>
                <w:szCs w:val="20"/>
              </w:rPr>
            </w:pPr>
          </w:p>
        </w:tc>
        <w:tc>
          <w:tcPr>
            <w:tcW w:w="1103" w:type="dxa"/>
            <w:vAlign w:val="center"/>
          </w:tcPr>
          <w:p>
            <w:pPr>
              <w:widowControl/>
              <w:jc w:val="center"/>
              <w:rPr>
                <w:rFonts w:hint="eastAsia" w:ascii="仿宋_GB2312" w:hAnsi="仿宋_GB2312" w:eastAsia="仿宋_GB2312" w:cs="仿宋_GB2312"/>
                <w:b/>
                <w:bCs/>
                <w:kern w:val="0"/>
                <w:sz w:val="20"/>
                <w:szCs w:val="20"/>
              </w:rPr>
            </w:pPr>
          </w:p>
        </w:tc>
        <w:tc>
          <w:tcPr>
            <w:tcW w:w="1100"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50</w:t>
            </w:r>
          </w:p>
        </w:tc>
        <w:tc>
          <w:tcPr>
            <w:tcW w:w="1646"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5</w:t>
            </w:r>
          </w:p>
        </w:tc>
        <w:tc>
          <w:tcPr>
            <w:tcW w:w="617" w:type="dxa"/>
            <w:vAlign w:val="center"/>
          </w:tcPr>
          <w:p>
            <w:pPr>
              <w:widowControl/>
              <w:jc w:val="center"/>
              <w:rPr>
                <w:rFonts w:hint="eastAsia" w:ascii="仿宋_GB2312" w:hAnsi="仿宋_GB2312" w:eastAsia="仿宋_GB2312" w:cs="仿宋_GB2312"/>
                <w:b/>
                <w:bCs/>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682"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1394"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广元通用航空产业园</w:t>
            </w:r>
          </w:p>
        </w:tc>
        <w:tc>
          <w:tcPr>
            <w:tcW w:w="6273"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占地200余亩，建设停机坪、飞机机库、综合办公楼、驾培中心及飞机零部件组装生产线等</w:t>
            </w:r>
          </w:p>
        </w:tc>
        <w:tc>
          <w:tcPr>
            <w:tcW w:w="96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2019</w:t>
            </w:r>
          </w:p>
        </w:tc>
        <w:tc>
          <w:tcPr>
            <w:tcW w:w="110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2022</w:t>
            </w:r>
          </w:p>
        </w:tc>
        <w:tc>
          <w:tcPr>
            <w:tcW w:w="110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50</w:t>
            </w:r>
          </w:p>
        </w:tc>
        <w:tc>
          <w:tcPr>
            <w:tcW w:w="1646" w:type="dxa"/>
            <w:vAlign w:val="center"/>
          </w:tcPr>
          <w:p>
            <w:pPr>
              <w:widowControl/>
              <w:jc w:val="center"/>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5</w:t>
            </w:r>
          </w:p>
        </w:tc>
        <w:tc>
          <w:tcPr>
            <w:tcW w:w="617" w:type="dxa"/>
            <w:vAlign w:val="center"/>
          </w:tcPr>
          <w:p>
            <w:pPr>
              <w:widowControl/>
              <w:jc w:val="center"/>
              <w:rPr>
                <w:rFonts w:hint="eastAsia" w:ascii="仿宋_GB2312" w:hAnsi="仿宋_GB2312" w:eastAsia="仿宋_GB2312" w:cs="仿宋_GB2312"/>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2076" w:type="dxa"/>
            <w:gridSpan w:val="2"/>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二、新开工项目</w:t>
            </w:r>
          </w:p>
        </w:tc>
        <w:tc>
          <w:tcPr>
            <w:tcW w:w="6273" w:type="dxa"/>
            <w:vAlign w:val="center"/>
          </w:tcPr>
          <w:p>
            <w:pPr>
              <w:widowControl/>
              <w:rPr>
                <w:rFonts w:hint="eastAsia" w:ascii="仿宋_GB2312" w:hAnsi="仿宋_GB2312" w:eastAsia="仿宋_GB2312" w:cs="仿宋_GB2312"/>
                <w:b/>
                <w:bCs/>
                <w:kern w:val="0"/>
                <w:sz w:val="20"/>
                <w:szCs w:val="20"/>
              </w:rPr>
            </w:pPr>
          </w:p>
        </w:tc>
        <w:tc>
          <w:tcPr>
            <w:tcW w:w="963" w:type="dxa"/>
            <w:vAlign w:val="center"/>
          </w:tcPr>
          <w:p>
            <w:pPr>
              <w:widowControl/>
              <w:jc w:val="center"/>
              <w:rPr>
                <w:rFonts w:hint="eastAsia" w:ascii="仿宋_GB2312" w:hAnsi="仿宋_GB2312" w:eastAsia="仿宋_GB2312" w:cs="仿宋_GB2312"/>
                <w:b/>
                <w:bCs/>
                <w:kern w:val="0"/>
                <w:sz w:val="20"/>
                <w:szCs w:val="20"/>
              </w:rPr>
            </w:pPr>
          </w:p>
        </w:tc>
        <w:tc>
          <w:tcPr>
            <w:tcW w:w="1103" w:type="dxa"/>
            <w:vAlign w:val="center"/>
          </w:tcPr>
          <w:p>
            <w:pPr>
              <w:widowControl/>
              <w:jc w:val="center"/>
              <w:rPr>
                <w:rFonts w:hint="eastAsia" w:ascii="仿宋_GB2312" w:hAnsi="仿宋_GB2312" w:eastAsia="仿宋_GB2312" w:cs="仿宋_GB2312"/>
                <w:b/>
                <w:bCs/>
                <w:kern w:val="0"/>
                <w:sz w:val="20"/>
                <w:szCs w:val="20"/>
              </w:rPr>
            </w:pPr>
          </w:p>
        </w:tc>
        <w:tc>
          <w:tcPr>
            <w:tcW w:w="1100"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36.95</w:t>
            </w:r>
          </w:p>
        </w:tc>
        <w:tc>
          <w:tcPr>
            <w:tcW w:w="1646"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28.95</w:t>
            </w:r>
          </w:p>
        </w:tc>
        <w:tc>
          <w:tcPr>
            <w:tcW w:w="617" w:type="dxa"/>
            <w:vAlign w:val="center"/>
          </w:tcPr>
          <w:p>
            <w:pPr>
              <w:widowControl/>
              <w:jc w:val="center"/>
              <w:rPr>
                <w:rFonts w:hint="eastAsia" w:ascii="仿宋_GB2312" w:hAnsi="仿宋_GB2312" w:eastAsia="仿宋_GB2312" w:cs="仿宋_GB2312"/>
                <w:b/>
                <w:bCs/>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682"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1394"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广元机场改扩建工程</w:t>
            </w:r>
          </w:p>
        </w:tc>
        <w:tc>
          <w:tcPr>
            <w:tcW w:w="6273"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改造并恢复跑道至2500米，实现全跑道运行，新建候机楼1万余平方米以及廊桥、停机坪、海关检疫等设施设备</w:t>
            </w:r>
          </w:p>
        </w:tc>
        <w:tc>
          <w:tcPr>
            <w:tcW w:w="96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2022</w:t>
            </w:r>
          </w:p>
        </w:tc>
        <w:tc>
          <w:tcPr>
            <w:tcW w:w="110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2025</w:t>
            </w:r>
          </w:p>
        </w:tc>
        <w:tc>
          <w:tcPr>
            <w:tcW w:w="110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15.2</w:t>
            </w:r>
          </w:p>
        </w:tc>
        <w:tc>
          <w:tcPr>
            <w:tcW w:w="164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15.2</w:t>
            </w:r>
          </w:p>
        </w:tc>
        <w:tc>
          <w:tcPr>
            <w:tcW w:w="617" w:type="dxa"/>
            <w:vAlign w:val="center"/>
          </w:tcPr>
          <w:p>
            <w:pPr>
              <w:widowControl/>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682"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w:t>
            </w:r>
          </w:p>
        </w:tc>
        <w:tc>
          <w:tcPr>
            <w:tcW w:w="1394"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龙浩航校集团总部基地项目</w:t>
            </w:r>
          </w:p>
        </w:tc>
        <w:tc>
          <w:tcPr>
            <w:tcW w:w="6273"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龙浩航校集团总部基地占地约100亩，建设总部办公基地及特色商业街区；航空配套区占地200亩，建设航空精品酒店、航空博览及飞行家小镇等</w:t>
            </w:r>
          </w:p>
        </w:tc>
        <w:tc>
          <w:tcPr>
            <w:tcW w:w="96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2022</w:t>
            </w:r>
          </w:p>
        </w:tc>
        <w:tc>
          <w:tcPr>
            <w:tcW w:w="110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2025</w:t>
            </w:r>
          </w:p>
        </w:tc>
        <w:tc>
          <w:tcPr>
            <w:tcW w:w="110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10</w:t>
            </w:r>
          </w:p>
        </w:tc>
        <w:tc>
          <w:tcPr>
            <w:tcW w:w="164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w:t>
            </w:r>
          </w:p>
        </w:tc>
        <w:tc>
          <w:tcPr>
            <w:tcW w:w="617" w:type="dxa"/>
            <w:vAlign w:val="center"/>
          </w:tcPr>
          <w:p>
            <w:pPr>
              <w:widowControl/>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682" w:type="dxa"/>
            <w:shd w:val="clear" w:color="auto" w:fill="auto"/>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w:t>
            </w:r>
          </w:p>
        </w:tc>
        <w:tc>
          <w:tcPr>
            <w:tcW w:w="1394" w:type="dxa"/>
            <w:shd w:val="clear" w:color="000000" w:fill="FFFFFF"/>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机场油库扩容建设项目</w:t>
            </w:r>
          </w:p>
        </w:tc>
        <w:tc>
          <w:tcPr>
            <w:tcW w:w="6273" w:type="dxa"/>
            <w:shd w:val="clear" w:color="000000" w:fill="FFFFFF"/>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总投资1.25亿元，储油量为8000方</w:t>
            </w:r>
          </w:p>
        </w:tc>
        <w:tc>
          <w:tcPr>
            <w:tcW w:w="963" w:type="dxa"/>
            <w:shd w:val="clear" w:color="000000" w:fill="FFFFFF"/>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2022</w:t>
            </w:r>
          </w:p>
        </w:tc>
        <w:tc>
          <w:tcPr>
            <w:tcW w:w="1103" w:type="dxa"/>
            <w:shd w:val="clear" w:color="000000" w:fill="FFFFFF"/>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2025</w:t>
            </w:r>
          </w:p>
        </w:tc>
        <w:tc>
          <w:tcPr>
            <w:tcW w:w="1100" w:type="dxa"/>
            <w:shd w:val="clear" w:color="000000" w:fill="FFFFFF"/>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1.25</w:t>
            </w:r>
          </w:p>
        </w:tc>
        <w:tc>
          <w:tcPr>
            <w:tcW w:w="164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1.25</w:t>
            </w:r>
          </w:p>
        </w:tc>
        <w:tc>
          <w:tcPr>
            <w:tcW w:w="617" w:type="dxa"/>
            <w:vAlign w:val="center"/>
          </w:tcPr>
          <w:p>
            <w:pPr>
              <w:widowControl/>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682" w:type="dxa"/>
            <w:shd w:val="clear" w:color="auto" w:fill="auto"/>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w:t>
            </w:r>
          </w:p>
        </w:tc>
        <w:tc>
          <w:tcPr>
            <w:tcW w:w="1394" w:type="dxa"/>
            <w:shd w:val="clear" w:color="000000" w:fill="FFFFFF"/>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综合油料配送中心项目</w:t>
            </w:r>
          </w:p>
        </w:tc>
        <w:tc>
          <w:tcPr>
            <w:tcW w:w="6273" w:type="dxa"/>
            <w:shd w:val="clear" w:color="000000" w:fill="FFFFFF"/>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项目总投资10.5亿元，辐盖陇南、汉中、巴中、阆中、南充、达州、广元、九寨8座机场航空油料配送</w:t>
            </w:r>
          </w:p>
        </w:tc>
        <w:tc>
          <w:tcPr>
            <w:tcW w:w="963" w:type="dxa"/>
            <w:shd w:val="clear" w:color="000000" w:fill="FFFFFF"/>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2022</w:t>
            </w:r>
          </w:p>
        </w:tc>
        <w:tc>
          <w:tcPr>
            <w:tcW w:w="1103" w:type="dxa"/>
            <w:shd w:val="clear" w:color="000000" w:fill="FFFFFF"/>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2025</w:t>
            </w:r>
          </w:p>
        </w:tc>
        <w:tc>
          <w:tcPr>
            <w:tcW w:w="1100" w:type="dxa"/>
            <w:shd w:val="clear" w:color="000000" w:fill="FFFFFF"/>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10.5</w:t>
            </w:r>
          </w:p>
        </w:tc>
        <w:tc>
          <w:tcPr>
            <w:tcW w:w="1646"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10.5</w:t>
            </w:r>
          </w:p>
        </w:tc>
        <w:tc>
          <w:tcPr>
            <w:tcW w:w="617" w:type="dxa"/>
            <w:vAlign w:val="center"/>
          </w:tcPr>
          <w:p>
            <w:pPr>
              <w:widowControl/>
              <w:jc w:val="center"/>
              <w:rPr>
                <w:rFonts w:hint="eastAsia" w:ascii="仿宋_GB2312" w:hAnsi="仿宋_GB2312" w:eastAsia="仿宋_GB2312" w:cs="仿宋_GB2312"/>
                <w:kern w:val="0"/>
                <w:sz w:val="20"/>
                <w:szCs w:val="20"/>
              </w:rPr>
            </w:pPr>
          </w:p>
        </w:tc>
      </w:tr>
    </w:tbl>
    <w:p>
      <w:pPr>
        <w:pStyle w:val="2"/>
        <w:tabs>
          <w:tab w:val="left" w:pos="1410"/>
        </w:tabs>
        <w:jc w:val="left"/>
        <w:rPr>
          <w:rFonts w:hint="eastAsia" w:ascii="仿宋_GB2312" w:hAnsi="仿宋_GB2312" w:eastAsia="仿宋_GB2312" w:cs="仿宋_GB2312"/>
        </w:rPr>
      </w:pPr>
    </w:p>
    <w:p>
      <w:pPr>
        <w:pStyle w:val="2"/>
        <w:tabs>
          <w:tab w:val="left" w:pos="1410"/>
        </w:tabs>
        <w:jc w:val="left"/>
        <w:rPr>
          <w:rFonts w:hint="eastAsia" w:ascii="仿宋_GB2312" w:hAnsi="仿宋_GB2312" w:eastAsia="仿宋_GB2312" w:cs="仿宋_GB2312"/>
        </w:rPr>
        <w:sectPr>
          <w:pgSz w:w="16838" w:h="11906" w:orient="landscape"/>
          <w:pgMar w:top="1701" w:right="1531" w:bottom="1701" w:left="1531" w:header="851" w:footer="1418" w:gutter="0"/>
          <w:cols w:space="720" w:num="1"/>
          <w:docGrid w:type="lines" w:linePitch="312" w:charSpace="0"/>
        </w:sectPr>
      </w:pPr>
    </w:p>
    <w:p>
      <w:pPr>
        <w:pStyle w:val="5"/>
        <w:jc w:val="center"/>
        <w:rPr>
          <w:rFonts w:hint="eastAsia" w:ascii="仿宋_GB2312" w:hAnsi="仿宋_GB2312" w:eastAsia="仿宋_GB2312" w:cs="仿宋_GB2312"/>
          <w:b w:val="0"/>
        </w:rPr>
      </w:pPr>
      <w:bookmarkStart w:id="157" w:name="_Toc99786566"/>
      <w:bookmarkStart w:id="158" w:name="_Toc111036313"/>
      <w:bookmarkStart w:id="159" w:name="_Toc91148197"/>
      <w:bookmarkStart w:id="160" w:name="_Toc89264384"/>
      <w:bookmarkStart w:id="161" w:name="_Toc114070062"/>
      <w:bookmarkStart w:id="162" w:name="_Toc91150363"/>
      <w:bookmarkStart w:id="163" w:name="_Toc101432175"/>
      <w:r>
        <w:rPr>
          <w:rFonts w:hint="eastAsia" w:ascii="仿宋_GB2312" w:hAnsi="仿宋_GB2312" w:eastAsia="仿宋_GB2312" w:cs="仿宋_GB2312"/>
          <w:b w:val="0"/>
        </w:rPr>
        <w:t>附表8 利州区“十四五”枢纽站场建设项目表</w:t>
      </w:r>
      <w:bookmarkEnd w:id="157"/>
      <w:bookmarkEnd w:id="158"/>
      <w:bookmarkEnd w:id="159"/>
      <w:bookmarkEnd w:id="160"/>
      <w:bookmarkEnd w:id="161"/>
      <w:bookmarkEnd w:id="162"/>
      <w:bookmarkEnd w:id="163"/>
    </w:p>
    <w:tbl>
      <w:tblPr>
        <w:tblStyle w:val="23"/>
        <w:tblW w:w="13778"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10"/>
        <w:gridCol w:w="4354"/>
        <w:gridCol w:w="2720"/>
        <w:gridCol w:w="1234"/>
        <w:gridCol w:w="1094"/>
        <w:gridCol w:w="1365"/>
        <w:gridCol w:w="823"/>
        <w:gridCol w:w="1097"/>
        <w:gridCol w:w="681"/>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tblHeader/>
          <w:jc w:val="center"/>
        </w:trPr>
        <w:tc>
          <w:tcPr>
            <w:tcW w:w="410" w:type="dxa"/>
            <w:vMerge w:val="restart"/>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序号</w:t>
            </w:r>
          </w:p>
        </w:tc>
        <w:tc>
          <w:tcPr>
            <w:tcW w:w="4354" w:type="dxa"/>
            <w:vMerge w:val="restart"/>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项目名称</w:t>
            </w:r>
          </w:p>
        </w:tc>
        <w:tc>
          <w:tcPr>
            <w:tcW w:w="2720" w:type="dxa"/>
            <w:vMerge w:val="restart"/>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建设内容及规模</w:t>
            </w:r>
          </w:p>
        </w:tc>
        <w:tc>
          <w:tcPr>
            <w:tcW w:w="1234" w:type="dxa"/>
            <w:vMerge w:val="restart"/>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衔接类型</w:t>
            </w:r>
          </w:p>
        </w:tc>
        <w:tc>
          <w:tcPr>
            <w:tcW w:w="1094" w:type="dxa"/>
            <w:vMerge w:val="restart"/>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总投资（亿元）</w:t>
            </w:r>
          </w:p>
        </w:tc>
        <w:tc>
          <w:tcPr>
            <w:tcW w:w="1365" w:type="dxa"/>
            <w:vMerge w:val="restart"/>
            <w:vAlign w:val="center"/>
          </w:tcPr>
          <w:p>
            <w:pPr>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“十四五”</w:t>
            </w:r>
          </w:p>
          <w:p>
            <w:pPr>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投资（亿元）</w:t>
            </w:r>
          </w:p>
        </w:tc>
        <w:tc>
          <w:tcPr>
            <w:tcW w:w="1920" w:type="dxa"/>
            <w:gridSpan w:val="2"/>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建设年限</w:t>
            </w:r>
          </w:p>
        </w:tc>
        <w:tc>
          <w:tcPr>
            <w:tcW w:w="681" w:type="dxa"/>
            <w:vMerge w:val="restart"/>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备注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tblHeader/>
          <w:jc w:val="center"/>
        </w:trPr>
        <w:tc>
          <w:tcPr>
            <w:tcW w:w="410" w:type="dxa"/>
            <w:vMerge w:val="continue"/>
            <w:vAlign w:val="center"/>
          </w:tcPr>
          <w:p>
            <w:pPr>
              <w:widowControl/>
              <w:spacing w:line="280" w:lineRule="exact"/>
              <w:jc w:val="center"/>
              <w:rPr>
                <w:rFonts w:hint="eastAsia" w:ascii="仿宋_GB2312" w:hAnsi="仿宋_GB2312" w:eastAsia="仿宋_GB2312" w:cs="仿宋_GB2312"/>
                <w:b/>
                <w:bCs/>
                <w:kern w:val="0"/>
                <w:sz w:val="20"/>
                <w:szCs w:val="20"/>
              </w:rPr>
            </w:pPr>
          </w:p>
        </w:tc>
        <w:tc>
          <w:tcPr>
            <w:tcW w:w="4354" w:type="dxa"/>
            <w:vMerge w:val="continue"/>
            <w:vAlign w:val="center"/>
          </w:tcPr>
          <w:p>
            <w:pPr>
              <w:widowControl/>
              <w:spacing w:line="280" w:lineRule="exact"/>
              <w:jc w:val="center"/>
              <w:rPr>
                <w:rFonts w:hint="eastAsia" w:ascii="仿宋_GB2312" w:hAnsi="仿宋_GB2312" w:eastAsia="仿宋_GB2312" w:cs="仿宋_GB2312"/>
                <w:b/>
                <w:bCs/>
                <w:kern w:val="0"/>
                <w:sz w:val="20"/>
                <w:szCs w:val="20"/>
              </w:rPr>
            </w:pPr>
          </w:p>
        </w:tc>
        <w:tc>
          <w:tcPr>
            <w:tcW w:w="2720" w:type="dxa"/>
            <w:vMerge w:val="continue"/>
            <w:vAlign w:val="center"/>
          </w:tcPr>
          <w:p>
            <w:pPr>
              <w:widowControl/>
              <w:spacing w:line="280" w:lineRule="exact"/>
              <w:jc w:val="center"/>
              <w:rPr>
                <w:rFonts w:hint="eastAsia" w:ascii="仿宋_GB2312" w:hAnsi="仿宋_GB2312" w:eastAsia="仿宋_GB2312" w:cs="仿宋_GB2312"/>
                <w:b/>
                <w:bCs/>
                <w:kern w:val="0"/>
                <w:sz w:val="20"/>
                <w:szCs w:val="20"/>
              </w:rPr>
            </w:pPr>
          </w:p>
        </w:tc>
        <w:tc>
          <w:tcPr>
            <w:tcW w:w="1234" w:type="dxa"/>
            <w:vMerge w:val="continue"/>
            <w:vAlign w:val="center"/>
          </w:tcPr>
          <w:p>
            <w:pPr>
              <w:widowControl/>
              <w:spacing w:line="280" w:lineRule="exact"/>
              <w:jc w:val="center"/>
              <w:rPr>
                <w:rFonts w:hint="eastAsia" w:ascii="仿宋_GB2312" w:hAnsi="仿宋_GB2312" w:eastAsia="仿宋_GB2312" w:cs="仿宋_GB2312"/>
                <w:b/>
                <w:bCs/>
                <w:kern w:val="0"/>
                <w:sz w:val="20"/>
                <w:szCs w:val="20"/>
              </w:rPr>
            </w:pPr>
          </w:p>
        </w:tc>
        <w:tc>
          <w:tcPr>
            <w:tcW w:w="1094" w:type="dxa"/>
            <w:vMerge w:val="continue"/>
            <w:vAlign w:val="center"/>
          </w:tcPr>
          <w:p>
            <w:pPr>
              <w:widowControl/>
              <w:spacing w:line="280" w:lineRule="exact"/>
              <w:jc w:val="center"/>
              <w:rPr>
                <w:rFonts w:hint="eastAsia" w:ascii="仿宋_GB2312" w:hAnsi="仿宋_GB2312" w:eastAsia="仿宋_GB2312" w:cs="仿宋_GB2312"/>
                <w:b/>
                <w:bCs/>
                <w:kern w:val="0"/>
                <w:sz w:val="20"/>
                <w:szCs w:val="20"/>
              </w:rPr>
            </w:pPr>
          </w:p>
        </w:tc>
        <w:tc>
          <w:tcPr>
            <w:tcW w:w="1365" w:type="dxa"/>
            <w:vMerge w:val="continue"/>
            <w:vAlign w:val="center"/>
          </w:tcPr>
          <w:p>
            <w:pPr>
              <w:widowControl/>
              <w:spacing w:line="280" w:lineRule="exact"/>
              <w:jc w:val="center"/>
              <w:rPr>
                <w:rFonts w:hint="eastAsia" w:ascii="仿宋_GB2312" w:hAnsi="仿宋_GB2312" w:eastAsia="仿宋_GB2312" w:cs="仿宋_GB2312"/>
                <w:kern w:val="0"/>
                <w:sz w:val="20"/>
                <w:szCs w:val="20"/>
              </w:rPr>
            </w:pPr>
          </w:p>
        </w:tc>
        <w:tc>
          <w:tcPr>
            <w:tcW w:w="823"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开工年</w:t>
            </w:r>
          </w:p>
        </w:tc>
        <w:tc>
          <w:tcPr>
            <w:tcW w:w="1097"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完工年</w:t>
            </w:r>
          </w:p>
        </w:tc>
        <w:tc>
          <w:tcPr>
            <w:tcW w:w="681" w:type="dxa"/>
            <w:vMerge w:val="continue"/>
            <w:vAlign w:val="center"/>
          </w:tcPr>
          <w:p>
            <w:pPr>
              <w:widowControl/>
              <w:spacing w:line="280" w:lineRule="exact"/>
              <w:jc w:val="center"/>
              <w:rPr>
                <w:rFonts w:hint="eastAsia" w:ascii="仿宋_GB2312" w:hAnsi="仿宋_GB2312" w:eastAsia="仿宋_GB2312" w:cs="仿宋_GB2312"/>
                <w:b/>
                <w:bCs/>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10" w:type="dxa"/>
            <w:vAlign w:val="center"/>
          </w:tcPr>
          <w:p>
            <w:pPr>
              <w:widowControl/>
              <w:spacing w:line="280" w:lineRule="exact"/>
              <w:jc w:val="center"/>
              <w:rPr>
                <w:rFonts w:hint="eastAsia" w:ascii="仿宋_GB2312" w:hAnsi="仿宋_GB2312" w:eastAsia="仿宋_GB2312" w:cs="仿宋_GB2312"/>
                <w:b/>
                <w:bCs/>
                <w:kern w:val="0"/>
                <w:sz w:val="20"/>
                <w:szCs w:val="20"/>
              </w:rPr>
            </w:pPr>
          </w:p>
        </w:tc>
        <w:tc>
          <w:tcPr>
            <w:tcW w:w="4354" w:type="dxa"/>
            <w:vAlign w:val="center"/>
          </w:tcPr>
          <w:p>
            <w:pPr>
              <w:widowControl/>
              <w:spacing w:line="280" w:lineRule="exact"/>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合计</w:t>
            </w:r>
          </w:p>
        </w:tc>
        <w:tc>
          <w:tcPr>
            <w:tcW w:w="2720" w:type="dxa"/>
            <w:vAlign w:val="center"/>
          </w:tcPr>
          <w:p>
            <w:pPr>
              <w:widowControl/>
              <w:spacing w:line="280" w:lineRule="exact"/>
              <w:jc w:val="center"/>
              <w:rPr>
                <w:rFonts w:hint="eastAsia" w:ascii="仿宋_GB2312" w:hAnsi="仿宋_GB2312" w:eastAsia="仿宋_GB2312" w:cs="仿宋_GB2312"/>
                <w:b/>
                <w:bCs/>
                <w:kern w:val="0"/>
                <w:sz w:val="20"/>
                <w:szCs w:val="20"/>
              </w:rPr>
            </w:pPr>
          </w:p>
        </w:tc>
        <w:tc>
          <w:tcPr>
            <w:tcW w:w="1234" w:type="dxa"/>
            <w:vAlign w:val="center"/>
          </w:tcPr>
          <w:p>
            <w:pPr>
              <w:widowControl/>
              <w:spacing w:line="280" w:lineRule="exact"/>
              <w:jc w:val="center"/>
              <w:rPr>
                <w:rFonts w:hint="eastAsia" w:ascii="仿宋_GB2312" w:hAnsi="仿宋_GB2312" w:eastAsia="仿宋_GB2312" w:cs="仿宋_GB2312"/>
                <w:b/>
                <w:bCs/>
                <w:kern w:val="0"/>
                <w:sz w:val="20"/>
                <w:szCs w:val="20"/>
              </w:rPr>
            </w:pPr>
          </w:p>
        </w:tc>
        <w:tc>
          <w:tcPr>
            <w:tcW w:w="1094" w:type="dxa"/>
            <w:vAlign w:val="center"/>
          </w:tcPr>
          <w:p>
            <w:pPr>
              <w:widowControl/>
              <w:spacing w:line="280" w:lineRule="exact"/>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51.42</w:t>
            </w:r>
          </w:p>
        </w:tc>
        <w:tc>
          <w:tcPr>
            <w:tcW w:w="1365" w:type="dxa"/>
            <w:vAlign w:val="center"/>
          </w:tcPr>
          <w:p>
            <w:pPr>
              <w:widowControl/>
              <w:spacing w:line="280" w:lineRule="exact"/>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33.02</w:t>
            </w:r>
          </w:p>
        </w:tc>
        <w:tc>
          <w:tcPr>
            <w:tcW w:w="823" w:type="dxa"/>
            <w:vAlign w:val="center"/>
          </w:tcPr>
          <w:p>
            <w:pPr>
              <w:widowControl/>
              <w:spacing w:line="280" w:lineRule="exact"/>
              <w:jc w:val="center"/>
              <w:rPr>
                <w:rFonts w:hint="eastAsia" w:ascii="仿宋_GB2312" w:hAnsi="仿宋_GB2312" w:eastAsia="仿宋_GB2312" w:cs="仿宋_GB2312"/>
                <w:b/>
                <w:bCs/>
                <w:kern w:val="0"/>
                <w:sz w:val="20"/>
                <w:szCs w:val="20"/>
              </w:rPr>
            </w:pPr>
          </w:p>
        </w:tc>
        <w:tc>
          <w:tcPr>
            <w:tcW w:w="1097" w:type="dxa"/>
            <w:vAlign w:val="center"/>
          </w:tcPr>
          <w:p>
            <w:pPr>
              <w:widowControl/>
              <w:spacing w:line="280" w:lineRule="exact"/>
              <w:jc w:val="center"/>
              <w:rPr>
                <w:rFonts w:hint="eastAsia" w:ascii="仿宋_GB2312" w:hAnsi="仿宋_GB2312" w:eastAsia="仿宋_GB2312" w:cs="仿宋_GB2312"/>
                <w:b/>
                <w:bCs/>
                <w:kern w:val="0"/>
                <w:sz w:val="20"/>
                <w:szCs w:val="20"/>
              </w:rPr>
            </w:pPr>
          </w:p>
        </w:tc>
        <w:tc>
          <w:tcPr>
            <w:tcW w:w="681" w:type="dxa"/>
            <w:vAlign w:val="center"/>
          </w:tcPr>
          <w:p>
            <w:pPr>
              <w:widowControl/>
              <w:spacing w:line="280" w:lineRule="exact"/>
              <w:jc w:val="center"/>
              <w:rPr>
                <w:rFonts w:hint="eastAsia" w:ascii="仿宋_GB2312" w:hAnsi="仿宋_GB2312" w:eastAsia="仿宋_GB2312" w:cs="仿宋_GB2312"/>
                <w:b/>
                <w:bCs/>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7484" w:type="dxa"/>
            <w:gridSpan w:val="3"/>
            <w:vAlign w:val="center"/>
          </w:tcPr>
          <w:p>
            <w:pPr>
              <w:widowControl/>
              <w:spacing w:line="280" w:lineRule="exact"/>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一、综合客运枢纽站</w:t>
            </w:r>
          </w:p>
        </w:tc>
        <w:tc>
          <w:tcPr>
            <w:tcW w:w="1234" w:type="dxa"/>
            <w:vAlign w:val="center"/>
          </w:tcPr>
          <w:p>
            <w:pPr>
              <w:widowControl/>
              <w:spacing w:line="280" w:lineRule="exact"/>
              <w:jc w:val="center"/>
              <w:rPr>
                <w:rFonts w:hint="eastAsia" w:ascii="仿宋_GB2312" w:hAnsi="仿宋_GB2312" w:eastAsia="仿宋_GB2312" w:cs="仿宋_GB2312"/>
                <w:b/>
                <w:bCs/>
                <w:kern w:val="0"/>
                <w:sz w:val="20"/>
                <w:szCs w:val="20"/>
              </w:rPr>
            </w:pPr>
          </w:p>
        </w:tc>
        <w:tc>
          <w:tcPr>
            <w:tcW w:w="1094" w:type="dxa"/>
            <w:vAlign w:val="center"/>
          </w:tcPr>
          <w:p>
            <w:pPr>
              <w:widowControl/>
              <w:spacing w:line="280" w:lineRule="exact"/>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0.72</w:t>
            </w:r>
          </w:p>
        </w:tc>
        <w:tc>
          <w:tcPr>
            <w:tcW w:w="1365" w:type="dxa"/>
            <w:vAlign w:val="center"/>
          </w:tcPr>
          <w:p>
            <w:pPr>
              <w:widowControl/>
              <w:spacing w:line="280" w:lineRule="exact"/>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0.72</w:t>
            </w:r>
          </w:p>
        </w:tc>
        <w:tc>
          <w:tcPr>
            <w:tcW w:w="823" w:type="dxa"/>
            <w:vAlign w:val="center"/>
          </w:tcPr>
          <w:p>
            <w:pPr>
              <w:widowControl/>
              <w:spacing w:line="280" w:lineRule="exact"/>
              <w:jc w:val="center"/>
              <w:rPr>
                <w:rFonts w:hint="eastAsia" w:ascii="仿宋_GB2312" w:hAnsi="仿宋_GB2312" w:eastAsia="仿宋_GB2312" w:cs="仿宋_GB2312"/>
                <w:b/>
                <w:bCs/>
                <w:kern w:val="0"/>
                <w:sz w:val="20"/>
                <w:szCs w:val="20"/>
              </w:rPr>
            </w:pPr>
          </w:p>
        </w:tc>
        <w:tc>
          <w:tcPr>
            <w:tcW w:w="1097" w:type="dxa"/>
            <w:vAlign w:val="center"/>
          </w:tcPr>
          <w:p>
            <w:pPr>
              <w:widowControl/>
              <w:spacing w:line="280" w:lineRule="exact"/>
              <w:jc w:val="center"/>
              <w:rPr>
                <w:rFonts w:hint="eastAsia" w:ascii="仿宋_GB2312" w:hAnsi="仿宋_GB2312" w:eastAsia="仿宋_GB2312" w:cs="仿宋_GB2312"/>
                <w:b/>
                <w:bCs/>
                <w:kern w:val="0"/>
                <w:sz w:val="20"/>
                <w:szCs w:val="20"/>
              </w:rPr>
            </w:pPr>
          </w:p>
        </w:tc>
        <w:tc>
          <w:tcPr>
            <w:tcW w:w="681" w:type="dxa"/>
            <w:vAlign w:val="center"/>
          </w:tcPr>
          <w:p>
            <w:pPr>
              <w:widowControl/>
              <w:spacing w:line="280" w:lineRule="exact"/>
              <w:jc w:val="center"/>
              <w:rPr>
                <w:rFonts w:hint="eastAsia" w:ascii="仿宋_GB2312" w:hAnsi="仿宋_GB2312" w:eastAsia="仿宋_GB2312" w:cs="仿宋_GB2312"/>
                <w:b/>
                <w:bCs/>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10"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4354" w:type="dxa"/>
            <w:vAlign w:val="center"/>
          </w:tcPr>
          <w:p>
            <w:pPr>
              <w:widowControl/>
              <w:spacing w:line="28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广元机场综合枢纽站</w:t>
            </w:r>
          </w:p>
        </w:tc>
        <w:tc>
          <w:tcPr>
            <w:tcW w:w="2720"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新建二级站</w:t>
            </w:r>
          </w:p>
        </w:tc>
        <w:tc>
          <w:tcPr>
            <w:tcW w:w="1234"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盘龙机场</w:t>
            </w:r>
          </w:p>
        </w:tc>
        <w:tc>
          <w:tcPr>
            <w:tcW w:w="1094"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0.72</w:t>
            </w:r>
          </w:p>
        </w:tc>
        <w:tc>
          <w:tcPr>
            <w:tcW w:w="1365"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0.72</w:t>
            </w:r>
          </w:p>
        </w:tc>
        <w:tc>
          <w:tcPr>
            <w:tcW w:w="823"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2024</w:t>
            </w:r>
          </w:p>
        </w:tc>
        <w:tc>
          <w:tcPr>
            <w:tcW w:w="1097"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2025</w:t>
            </w:r>
          </w:p>
        </w:tc>
        <w:tc>
          <w:tcPr>
            <w:tcW w:w="681" w:type="dxa"/>
            <w:vAlign w:val="center"/>
          </w:tcPr>
          <w:p>
            <w:pPr>
              <w:widowControl/>
              <w:spacing w:line="280" w:lineRule="exact"/>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7484" w:type="dxa"/>
            <w:gridSpan w:val="3"/>
            <w:vAlign w:val="center"/>
          </w:tcPr>
          <w:p>
            <w:pPr>
              <w:widowControl/>
              <w:spacing w:line="280" w:lineRule="exact"/>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二、普通公路客运站</w:t>
            </w:r>
          </w:p>
        </w:tc>
        <w:tc>
          <w:tcPr>
            <w:tcW w:w="1234" w:type="dxa"/>
            <w:vAlign w:val="center"/>
          </w:tcPr>
          <w:p>
            <w:pPr>
              <w:widowControl/>
              <w:spacing w:line="280" w:lineRule="exact"/>
              <w:jc w:val="center"/>
              <w:rPr>
                <w:rFonts w:hint="eastAsia" w:ascii="仿宋_GB2312" w:hAnsi="仿宋_GB2312" w:eastAsia="仿宋_GB2312" w:cs="仿宋_GB2312"/>
                <w:b/>
                <w:bCs/>
                <w:kern w:val="0"/>
                <w:sz w:val="20"/>
                <w:szCs w:val="20"/>
              </w:rPr>
            </w:pPr>
          </w:p>
        </w:tc>
        <w:tc>
          <w:tcPr>
            <w:tcW w:w="1094" w:type="dxa"/>
            <w:vAlign w:val="center"/>
          </w:tcPr>
          <w:p>
            <w:pPr>
              <w:widowControl/>
              <w:spacing w:line="280" w:lineRule="exact"/>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0.16</w:t>
            </w:r>
          </w:p>
        </w:tc>
        <w:tc>
          <w:tcPr>
            <w:tcW w:w="1365" w:type="dxa"/>
            <w:vAlign w:val="center"/>
          </w:tcPr>
          <w:p>
            <w:pPr>
              <w:widowControl/>
              <w:spacing w:line="280" w:lineRule="exact"/>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0.16</w:t>
            </w:r>
          </w:p>
        </w:tc>
        <w:tc>
          <w:tcPr>
            <w:tcW w:w="823" w:type="dxa"/>
            <w:vAlign w:val="center"/>
          </w:tcPr>
          <w:p>
            <w:pPr>
              <w:widowControl/>
              <w:spacing w:line="280" w:lineRule="exact"/>
              <w:jc w:val="center"/>
              <w:rPr>
                <w:rFonts w:hint="eastAsia" w:ascii="仿宋_GB2312" w:hAnsi="仿宋_GB2312" w:eastAsia="仿宋_GB2312" w:cs="仿宋_GB2312"/>
                <w:b/>
                <w:bCs/>
                <w:kern w:val="0"/>
                <w:sz w:val="20"/>
                <w:szCs w:val="20"/>
              </w:rPr>
            </w:pPr>
          </w:p>
        </w:tc>
        <w:tc>
          <w:tcPr>
            <w:tcW w:w="1097" w:type="dxa"/>
            <w:vAlign w:val="center"/>
          </w:tcPr>
          <w:p>
            <w:pPr>
              <w:widowControl/>
              <w:spacing w:line="280" w:lineRule="exact"/>
              <w:jc w:val="center"/>
              <w:rPr>
                <w:rFonts w:hint="eastAsia" w:ascii="仿宋_GB2312" w:hAnsi="仿宋_GB2312" w:eastAsia="仿宋_GB2312" w:cs="仿宋_GB2312"/>
                <w:b/>
                <w:bCs/>
                <w:kern w:val="0"/>
                <w:sz w:val="20"/>
                <w:szCs w:val="20"/>
              </w:rPr>
            </w:pPr>
          </w:p>
        </w:tc>
        <w:tc>
          <w:tcPr>
            <w:tcW w:w="681" w:type="dxa"/>
            <w:vAlign w:val="center"/>
          </w:tcPr>
          <w:p>
            <w:pPr>
              <w:widowControl/>
              <w:spacing w:line="280" w:lineRule="exact"/>
              <w:jc w:val="center"/>
              <w:rPr>
                <w:rFonts w:hint="eastAsia" w:ascii="仿宋_GB2312" w:hAnsi="仿宋_GB2312" w:eastAsia="仿宋_GB2312" w:cs="仿宋_GB2312"/>
                <w:b/>
                <w:bCs/>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10"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4354" w:type="dxa"/>
            <w:vAlign w:val="center"/>
          </w:tcPr>
          <w:p>
            <w:pPr>
              <w:widowControl/>
              <w:spacing w:line="28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广元市长途汽车客运站（上西客运站）</w:t>
            </w:r>
          </w:p>
        </w:tc>
        <w:tc>
          <w:tcPr>
            <w:tcW w:w="2720"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改扩建一级站</w:t>
            </w:r>
          </w:p>
        </w:tc>
        <w:tc>
          <w:tcPr>
            <w:tcW w:w="1234" w:type="dxa"/>
            <w:vAlign w:val="center"/>
          </w:tcPr>
          <w:p>
            <w:pPr>
              <w:widowControl/>
              <w:spacing w:line="280" w:lineRule="exact"/>
              <w:jc w:val="center"/>
              <w:rPr>
                <w:rFonts w:hint="eastAsia" w:ascii="仿宋_GB2312" w:hAnsi="仿宋_GB2312" w:eastAsia="仿宋_GB2312" w:cs="仿宋_GB2312"/>
                <w:kern w:val="0"/>
                <w:sz w:val="20"/>
                <w:szCs w:val="20"/>
              </w:rPr>
            </w:pPr>
          </w:p>
        </w:tc>
        <w:tc>
          <w:tcPr>
            <w:tcW w:w="1094"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0.08</w:t>
            </w:r>
          </w:p>
        </w:tc>
        <w:tc>
          <w:tcPr>
            <w:tcW w:w="1365"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0.08</w:t>
            </w:r>
          </w:p>
        </w:tc>
        <w:tc>
          <w:tcPr>
            <w:tcW w:w="823"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2023</w:t>
            </w:r>
          </w:p>
        </w:tc>
        <w:tc>
          <w:tcPr>
            <w:tcW w:w="1097"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2024</w:t>
            </w:r>
          </w:p>
        </w:tc>
        <w:tc>
          <w:tcPr>
            <w:tcW w:w="681" w:type="dxa"/>
            <w:vAlign w:val="center"/>
          </w:tcPr>
          <w:p>
            <w:pPr>
              <w:widowControl/>
              <w:spacing w:line="280" w:lineRule="exact"/>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10"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w:t>
            </w:r>
          </w:p>
        </w:tc>
        <w:tc>
          <w:tcPr>
            <w:tcW w:w="4354" w:type="dxa"/>
            <w:vAlign w:val="center"/>
          </w:tcPr>
          <w:p>
            <w:pPr>
              <w:widowControl/>
              <w:spacing w:line="28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广元市汽车客运站（南河客运站）</w:t>
            </w:r>
          </w:p>
        </w:tc>
        <w:tc>
          <w:tcPr>
            <w:tcW w:w="2720"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改扩建一级站</w:t>
            </w:r>
          </w:p>
        </w:tc>
        <w:tc>
          <w:tcPr>
            <w:tcW w:w="1234" w:type="dxa"/>
            <w:vAlign w:val="center"/>
          </w:tcPr>
          <w:p>
            <w:pPr>
              <w:widowControl/>
              <w:spacing w:line="280" w:lineRule="exact"/>
              <w:jc w:val="center"/>
              <w:rPr>
                <w:rFonts w:hint="eastAsia" w:ascii="仿宋_GB2312" w:hAnsi="仿宋_GB2312" w:eastAsia="仿宋_GB2312" w:cs="仿宋_GB2312"/>
                <w:kern w:val="0"/>
                <w:sz w:val="20"/>
                <w:szCs w:val="20"/>
              </w:rPr>
            </w:pPr>
          </w:p>
        </w:tc>
        <w:tc>
          <w:tcPr>
            <w:tcW w:w="1094"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0.08</w:t>
            </w:r>
          </w:p>
        </w:tc>
        <w:tc>
          <w:tcPr>
            <w:tcW w:w="1365"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0.08</w:t>
            </w:r>
          </w:p>
        </w:tc>
        <w:tc>
          <w:tcPr>
            <w:tcW w:w="823"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2023</w:t>
            </w:r>
          </w:p>
        </w:tc>
        <w:tc>
          <w:tcPr>
            <w:tcW w:w="1097"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2023</w:t>
            </w:r>
          </w:p>
        </w:tc>
        <w:tc>
          <w:tcPr>
            <w:tcW w:w="681" w:type="dxa"/>
            <w:vAlign w:val="center"/>
          </w:tcPr>
          <w:p>
            <w:pPr>
              <w:widowControl/>
              <w:spacing w:line="280" w:lineRule="exact"/>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7484" w:type="dxa"/>
            <w:gridSpan w:val="3"/>
            <w:vAlign w:val="center"/>
          </w:tcPr>
          <w:p>
            <w:pPr>
              <w:widowControl/>
              <w:spacing w:line="280" w:lineRule="exact"/>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三、多式联运货运枢纽（物流园区）</w:t>
            </w:r>
          </w:p>
        </w:tc>
        <w:tc>
          <w:tcPr>
            <w:tcW w:w="1234" w:type="dxa"/>
            <w:vAlign w:val="center"/>
          </w:tcPr>
          <w:p>
            <w:pPr>
              <w:widowControl/>
              <w:spacing w:line="280" w:lineRule="exact"/>
              <w:jc w:val="center"/>
              <w:rPr>
                <w:rFonts w:hint="eastAsia" w:ascii="仿宋_GB2312" w:hAnsi="仿宋_GB2312" w:eastAsia="仿宋_GB2312" w:cs="仿宋_GB2312"/>
                <w:b/>
                <w:bCs/>
                <w:kern w:val="0"/>
                <w:sz w:val="20"/>
                <w:szCs w:val="20"/>
              </w:rPr>
            </w:pPr>
          </w:p>
        </w:tc>
        <w:tc>
          <w:tcPr>
            <w:tcW w:w="1094" w:type="dxa"/>
            <w:vAlign w:val="center"/>
          </w:tcPr>
          <w:p>
            <w:pPr>
              <w:widowControl/>
              <w:spacing w:line="280" w:lineRule="exact"/>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46.3</w:t>
            </w:r>
          </w:p>
        </w:tc>
        <w:tc>
          <w:tcPr>
            <w:tcW w:w="1365" w:type="dxa"/>
            <w:vAlign w:val="center"/>
          </w:tcPr>
          <w:p>
            <w:pPr>
              <w:widowControl/>
              <w:spacing w:line="280" w:lineRule="exact"/>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27.9</w:t>
            </w:r>
          </w:p>
        </w:tc>
        <w:tc>
          <w:tcPr>
            <w:tcW w:w="823" w:type="dxa"/>
            <w:vAlign w:val="center"/>
          </w:tcPr>
          <w:p>
            <w:pPr>
              <w:widowControl/>
              <w:spacing w:line="280" w:lineRule="exact"/>
              <w:jc w:val="center"/>
              <w:rPr>
                <w:rFonts w:hint="eastAsia" w:ascii="仿宋_GB2312" w:hAnsi="仿宋_GB2312" w:eastAsia="仿宋_GB2312" w:cs="仿宋_GB2312"/>
                <w:b/>
                <w:bCs/>
                <w:kern w:val="0"/>
                <w:sz w:val="20"/>
                <w:szCs w:val="20"/>
              </w:rPr>
            </w:pPr>
          </w:p>
        </w:tc>
        <w:tc>
          <w:tcPr>
            <w:tcW w:w="1097" w:type="dxa"/>
            <w:vAlign w:val="center"/>
          </w:tcPr>
          <w:p>
            <w:pPr>
              <w:widowControl/>
              <w:spacing w:line="280" w:lineRule="exact"/>
              <w:jc w:val="center"/>
              <w:rPr>
                <w:rFonts w:hint="eastAsia" w:ascii="仿宋_GB2312" w:hAnsi="仿宋_GB2312" w:eastAsia="仿宋_GB2312" w:cs="仿宋_GB2312"/>
                <w:b/>
                <w:bCs/>
                <w:kern w:val="0"/>
                <w:sz w:val="20"/>
                <w:szCs w:val="20"/>
              </w:rPr>
            </w:pPr>
          </w:p>
        </w:tc>
        <w:tc>
          <w:tcPr>
            <w:tcW w:w="681" w:type="dxa"/>
            <w:vAlign w:val="center"/>
          </w:tcPr>
          <w:p>
            <w:pPr>
              <w:widowControl/>
              <w:spacing w:line="280" w:lineRule="exact"/>
              <w:jc w:val="center"/>
              <w:rPr>
                <w:rFonts w:hint="eastAsia" w:ascii="仿宋_GB2312" w:hAnsi="仿宋_GB2312" w:eastAsia="仿宋_GB2312" w:cs="仿宋_GB2312"/>
                <w:b/>
                <w:bCs/>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10"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4354" w:type="dxa"/>
            <w:vAlign w:val="center"/>
          </w:tcPr>
          <w:p>
            <w:pPr>
              <w:widowControl/>
              <w:spacing w:line="28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广元·川陕甘高铁快运物流基地（一期）</w:t>
            </w:r>
          </w:p>
        </w:tc>
        <w:tc>
          <w:tcPr>
            <w:tcW w:w="2720" w:type="dxa"/>
            <w:vAlign w:val="center"/>
          </w:tcPr>
          <w:p>
            <w:pPr>
              <w:widowControl/>
              <w:spacing w:line="28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占地469亩，集高铁快运物资收发、集散、分拣、仓储、包装、配送等功能于一体</w:t>
            </w:r>
          </w:p>
        </w:tc>
        <w:tc>
          <w:tcPr>
            <w:tcW w:w="1234" w:type="dxa"/>
            <w:vAlign w:val="center"/>
          </w:tcPr>
          <w:p>
            <w:pPr>
              <w:widowControl/>
              <w:spacing w:line="28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西成客专、兰渝铁路</w:t>
            </w:r>
          </w:p>
        </w:tc>
        <w:tc>
          <w:tcPr>
            <w:tcW w:w="1094"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11.3</w:t>
            </w:r>
          </w:p>
        </w:tc>
        <w:tc>
          <w:tcPr>
            <w:tcW w:w="1365"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10.3</w:t>
            </w:r>
          </w:p>
        </w:tc>
        <w:tc>
          <w:tcPr>
            <w:tcW w:w="823"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2020</w:t>
            </w:r>
          </w:p>
        </w:tc>
        <w:tc>
          <w:tcPr>
            <w:tcW w:w="1097"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2022</w:t>
            </w:r>
          </w:p>
        </w:tc>
        <w:tc>
          <w:tcPr>
            <w:tcW w:w="681" w:type="dxa"/>
            <w:vAlign w:val="center"/>
          </w:tcPr>
          <w:p>
            <w:pPr>
              <w:widowControl/>
              <w:spacing w:line="280" w:lineRule="exact"/>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10"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w:t>
            </w:r>
          </w:p>
        </w:tc>
        <w:tc>
          <w:tcPr>
            <w:tcW w:w="4354" w:type="dxa"/>
            <w:vAlign w:val="center"/>
          </w:tcPr>
          <w:p>
            <w:pPr>
              <w:widowControl/>
              <w:spacing w:line="28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广元铁路枢纽综合物流基地</w:t>
            </w:r>
          </w:p>
        </w:tc>
        <w:tc>
          <w:tcPr>
            <w:tcW w:w="2720"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综合服务型</w:t>
            </w:r>
          </w:p>
        </w:tc>
        <w:tc>
          <w:tcPr>
            <w:tcW w:w="1234" w:type="dxa"/>
            <w:vAlign w:val="center"/>
          </w:tcPr>
          <w:p>
            <w:pPr>
              <w:widowControl/>
              <w:spacing w:line="280" w:lineRule="exact"/>
              <w:rPr>
                <w:rFonts w:hint="eastAsia" w:ascii="仿宋_GB2312" w:hAnsi="仿宋_GB2312" w:eastAsia="仿宋_GB2312" w:cs="仿宋_GB2312"/>
                <w:kern w:val="0"/>
                <w:sz w:val="20"/>
                <w:szCs w:val="20"/>
              </w:rPr>
            </w:pPr>
          </w:p>
        </w:tc>
        <w:tc>
          <w:tcPr>
            <w:tcW w:w="1094"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w:t>
            </w:r>
          </w:p>
        </w:tc>
        <w:tc>
          <w:tcPr>
            <w:tcW w:w="1365"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8.6</w:t>
            </w:r>
          </w:p>
        </w:tc>
        <w:tc>
          <w:tcPr>
            <w:tcW w:w="823"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2021</w:t>
            </w:r>
          </w:p>
        </w:tc>
        <w:tc>
          <w:tcPr>
            <w:tcW w:w="1097"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2027</w:t>
            </w:r>
          </w:p>
        </w:tc>
        <w:tc>
          <w:tcPr>
            <w:tcW w:w="681" w:type="dxa"/>
            <w:vAlign w:val="center"/>
          </w:tcPr>
          <w:p>
            <w:pPr>
              <w:widowControl/>
              <w:spacing w:line="280" w:lineRule="exact"/>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10"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w:t>
            </w:r>
          </w:p>
        </w:tc>
        <w:tc>
          <w:tcPr>
            <w:tcW w:w="4354" w:type="dxa"/>
            <w:vAlign w:val="center"/>
          </w:tcPr>
          <w:p>
            <w:pPr>
              <w:widowControl/>
              <w:spacing w:line="28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广元上西物流园区二期</w:t>
            </w:r>
          </w:p>
        </w:tc>
        <w:tc>
          <w:tcPr>
            <w:tcW w:w="2720" w:type="dxa"/>
            <w:vAlign w:val="center"/>
          </w:tcPr>
          <w:p>
            <w:pPr>
              <w:widowControl/>
              <w:spacing w:line="280" w:lineRule="exact"/>
              <w:jc w:val="center"/>
              <w:rPr>
                <w:rFonts w:hint="eastAsia" w:ascii="仿宋_GB2312" w:hAnsi="仿宋_GB2312" w:eastAsia="仿宋_GB2312" w:cs="仿宋_GB2312"/>
                <w:kern w:val="0"/>
                <w:sz w:val="20"/>
                <w:szCs w:val="20"/>
              </w:rPr>
            </w:pPr>
          </w:p>
        </w:tc>
        <w:tc>
          <w:tcPr>
            <w:tcW w:w="1234" w:type="dxa"/>
            <w:vAlign w:val="center"/>
          </w:tcPr>
          <w:p>
            <w:pPr>
              <w:widowControl/>
              <w:spacing w:line="280" w:lineRule="exact"/>
              <w:jc w:val="center"/>
              <w:rPr>
                <w:rFonts w:hint="eastAsia" w:ascii="仿宋_GB2312" w:hAnsi="仿宋_GB2312" w:eastAsia="仿宋_GB2312" w:cs="仿宋_GB2312"/>
                <w:kern w:val="0"/>
                <w:sz w:val="20"/>
                <w:szCs w:val="20"/>
              </w:rPr>
            </w:pPr>
          </w:p>
        </w:tc>
        <w:tc>
          <w:tcPr>
            <w:tcW w:w="1094"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9</w:t>
            </w:r>
          </w:p>
        </w:tc>
        <w:tc>
          <w:tcPr>
            <w:tcW w:w="1365"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w:t>
            </w:r>
          </w:p>
        </w:tc>
        <w:tc>
          <w:tcPr>
            <w:tcW w:w="823"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2022</w:t>
            </w:r>
          </w:p>
        </w:tc>
        <w:tc>
          <w:tcPr>
            <w:tcW w:w="1097" w:type="dxa"/>
            <w:vAlign w:val="center"/>
          </w:tcPr>
          <w:p>
            <w:pPr>
              <w:widowControl/>
              <w:spacing w:line="28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2026</w:t>
            </w:r>
          </w:p>
        </w:tc>
        <w:tc>
          <w:tcPr>
            <w:tcW w:w="681" w:type="dxa"/>
            <w:vAlign w:val="center"/>
          </w:tcPr>
          <w:p>
            <w:pPr>
              <w:widowControl/>
              <w:spacing w:line="280" w:lineRule="exact"/>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10"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w:t>
            </w:r>
          </w:p>
        </w:tc>
        <w:tc>
          <w:tcPr>
            <w:tcW w:w="4354" w:type="dxa"/>
            <w:vAlign w:val="center"/>
          </w:tcPr>
          <w:p>
            <w:pPr>
              <w:widowControl/>
              <w:spacing w:line="300" w:lineRule="exac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广元市利州区大稻坝冷链物流仓储配送中心</w:t>
            </w:r>
          </w:p>
        </w:tc>
        <w:tc>
          <w:tcPr>
            <w:tcW w:w="2720"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大石镇</w:t>
            </w:r>
          </w:p>
        </w:tc>
        <w:tc>
          <w:tcPr>
            <w:tcW w:w="1234" w:type="dxa"/>
            <w:vAlign w:val="center"/>
          </w:tcPr>
          <w:p>
            <w:pPr>
              <w:widowControl/>
              <w:spacing w:line="300" w:lineRule="exact"/>
              <w:jc w:val="center"/>
              <w:rPr>
                <w:rFonts w:hint="eastAsia" w:ascii="仿宋_GB2312" w:hAnsi="仿宋_GB2312" w:eastAsia="仿宋_GB2312" w:cs="仿宋_GB2312"/>
                <w:kern w:val="0"/>
                <w:sz w:val="20"/>
                <w:szCs w:val="20"/>
              </w:rPr>
            </w:pPr>
          </w:p>
        </w:tc>
        <w:tc>
          <w:tcPr>
            <w:tcW w:w="1094"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6</w:t>
            </w:r>
          </w:p>
        </w:tc>
        <w:tc>
          <w:tcPr>
            <w:tcW w:w="1365"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6</w:t>
            </w:r>
          </w:p>
        </w:tc>
        <w:tc>
          <w:tcPr>
            <w:tcW w:w="823"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2023</w:t>
            </w:r>
          </w:p>
        </w:tc>
        <w:tc>
          <w:tcPr>
            <w:tcW w:w="1097" w:type="dxa"/>
            <w:vAlign w:val="center"/>
          </w:tcPr>
          <w:p>
            <w:pPr>
              <w:widowControl/>
              <w:spacing w:line="300" w:lineRule="exact"/>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2025</w:t>
            </w:r>
          </w:p>
        </w:tc>
        <w:tc>
          <w:tcPr>
            <w:tcW w:w="681" w:type="dxa"/>
            <w:vAlign w:val="center"/>
          </w:tcPr>
          <w:p>
            <w:pPr>
              <w:widowControl/>
              <w:spacing w:line="300" w:lineRule="exact"/>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7484" w:type="dxa"/>
            <w:gridSpan w:val="3"/>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四、乡镇综合运输服务站</w:t>
            </w:r>
          </w:p>
        </w:tc>
        <w:tc>
          <w:tcPr>
            <w:tcW w:w="1234" w:type="dxa"/>
            <w:vAlign w:val="center"/>
          </w:tcPr>
          <w:p>
            <w:pPr>
              <w:widowControl/>
              <w:jc w:val="center"/>
              <w:rPr>
                <w:rFonts w:hint="eastAsia" w:ascii="仿宋_GB2312" w:hAnsi="仿宋_GB2312" w:eastAsia="仿宋_GB2312" w:cs="仿宋_GB2312"/>
                <w:b/>
                <w:bCs/>
                <w:kern w:val="0"/>
                <w:sz w:val="20"/>
                <w:szCs w:val="20"/>
              </w:rPr>
            </w:pPr>
          </w:p>
        </w:tc>
        <w:tc>
          <w:tcPr>
            <w:tcW w:w="1094"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0.04</w:t>
            </w:r>
          </w:p>
        </w:tc>
        <w:tc>
          <w:tcPr>
            <w:tcW w:w="1365"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0.04</w:t>
            </w:r>
          </w:p>
        </w:tc>
        <w:tc>
          <w:tcPr>
            <w:tcW w:w="823" w:type="dxa"/>
            <w:vAlign w:val="center"/>
          </w:tcPr>
          <w:p>
            <w:pPr>
              <w:widowControl/>
              <w:jc w:val="center"/>
              <w:rPr>
                <w:rFonts w:hint="eastAsia" w:ascii="仿宋_GB2312" w:hAnsi="仿宋_GB2312" w:eastAsia="仿宋_GB2312" w:cs="仿宋_GB2312"/>
                <w:b/>
                <w:bCs/>
                <w:kern w:val="0"/>
                <w:sz w:val="20"/>
                <w:szCs w:val="20"/>
              </w:rPr>
            </w:pPr>
          </w:p>
        </w:tc>
        <w:tc>
          <w:tcPr>
            <w:tcW w:w="1097" w:type="dxa"/>
            <w:vAlign w:val="center"/>
          </w:tcPr>
          <w:p>
            <w:pPr>
              <w:widowControl/>
              <w:jc w:val="center"/>
              <w:rPr>
                <w:rFonts w:hint="eastAsia" w:ascii="仿宋_GB2312" w:hAnsi="仿宋_GB2312" w:eastAsia="仿宋_GB2312" w:cs="仿宋_GB2312"/>
                <w:b/>
                <w:bCs/>
                <w:kern w:val="0"/>
                <w:sz w:val="20"/>
                <w:szCs w:val="20"/>
              </w:rPr>
            </w:pPr>
          </w:p>
        </w:tc>
        <w:tc>
          <w:tcPr>
            <w:tcW w:w="681" w:type="dxa"/>
            <w:vAlign w:val="center"/>
          </w:tcPr>
          <w:p>
            <w:pPr>
              <w:widowControl/>
              <w:jc w:val="center"/>
              <w:rPr>
                <w:rFonts w:hint="eastAsia" w:ascii="仿宋_GB2312" w:hAnsi="仿宋_GB2312" w:eastAsia="仿宋_GB2312" w:cs="仿宋_GB2312"/>
                <w:b/>
                <w:bCs/>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1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4354"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利州区嘉陵街道办事处港湾站</w:t>
            </w:r>
          </w:p>
        </w:tc>
        <w:tc>
          <w:tcPr>
            <w:tcW w:w="272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改建</w:t>
            </w:r>
          </w:p>
        </w:tc>
        <w:tc>
          <w:tcPr>
            <w:tcW w:w="1234" w:type="dxa"/>
            <w:vAlign w:val="center"/>
          </w:tcPr>
          <w:p>
            <w:pPr>
              <w:widowControl/>
              <w:jc w:val="center"/>
              <w:rPr>
                <w:rFonts w:hint="eastAsia" w:ascii="仿宋_GB2312" w:hAnsi="仿宋_GB2312" w:eastAsia="仿宋_GB2312" w:cs="仿宋_GB2312"/>
                <w:kern w:val="0"/>
                <w:sz w:val="20"/>
                <w:szCs w:val="20"/>
              </w:rPr>
            </w:pPr>
          </w:p>
        </w:tc>
        <w:tc>
          <w:tcPr>
            <w:tcW w:w="109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0.005</w:t>
            </w:r>
          </w:p>
        </w:tc>
        <w:tc>
          <w:tcPr>
            <w:tcW w:w="136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0.005</w:t>
            </w:r>
          </w:p>
        </w:tc>
        <w:tc>
          <w:tcPr>
            <w:tcW w:w="82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2023</w:t>
            </w:r>
          </w:p>
        </w:tc>
        <w:tc>
          <w:tcPr>
            <w:tcW w:w="109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2023</w:t>
            </w:r>
          </w:p>
        </w:tc>
        <w:tc>
          <w:tcPr>
            <w:tcW w:w="681" w:type="dxa"/>
            <w:vAlign w:val="center"/>
          </w:tcPr>
          <w:p>
            <w:pPr>
              <w:widowControl/>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1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w:t>
            </w:r>
          </w:p>
        </w:tc>
        <w:tc>
          <w:tcPr>
            <w:tcW w:w="4354"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利州区大石镇运输服务站</w:t>
            </w:r>
          </w:p>
        </w:tc>
        <w:tc>
          <w:tcPr>
            <w:tcW w:w="272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改建</w:t>
            </w:r>
          </w:p>
        </w:tc>
        <w:tc>
          <w:tcPr>
            <w:tcW w:w="1234" w:type="dxa"/>
            <w:vAlign w:val="center"/>
          </w:tcPr>
          <w:p>
            <w:pPr>
              <w:widowControl/>
              <w:jc w:val="center"/>
              <w:rPr>
                <w:rFonts w:hint="eastAsia" w:ascii="仿宋_GB2312" w:hAnsi="仿宋_GB2312" w:eastAsia="仿宋_GB2312" w:cs="仿宋_GB2312"/>
                <w:kern w:val="0"/>
                <w:sz w:val="20"/>
                <w:szCs w:val="20"/>
              </w:rPr>
            </w:pPr>
          </w:p>
        </w:tc>
        <w:tc>
          <w:tcPr>
            <w:tcW w:w="109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0.005</w:t>
            </w:r>
          </w:p>
        </w:tc>
        <w:tc>
          <w:tcPr>
            <w:tcW w:w="136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0.005</w:t>
            </w:r>
          </w:p>
        </w:tc>
        <w:tc>
          <w:tcPr>
            <w:tcW w:w="82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2022</w:t>
            </w:r>
          </w:p>
        </w:tc>
        <w:tc>
          <w:tcPr>
            <w:tcW w:w="109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2022</w:t>
            </w:r>
          </w:p>
        </w:tc>
        <w:tc>
          <w:tcPr>
            <w:tcW w:w="681" w:type="dxa"/>
            <w:vAlign w:val="center"/>
          </w:tcPr>
          <w:p>
            <w:pPr>
              <w:widowControl/>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1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w:t>
            </w:r>
          </w:p>
        </w:tc>
        <w:tc>
          <w:tcPr>
            <w:tcW w:w="4354"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利州区三堆镇运输服务站</w:t>
            </w:r>
          </w:p>
        </w:tc>
        <w:tc>
          <w:tcPr>
            <w:tcW w:w="272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改建</w:t>
            </w:r>
          </w:p>
        </w:tc>
        <w:tc>
          <w:tcPr>
            <w:tcW w:w="1234" w:type="dxa"/>
            <w:vAlign w:val="center"/>
          </w:tcPr>
          <w:p>
            <w:pPr>
              <w:widowControl/>
              <w:jc w:val="center"/>
              <w:rPr>
                <w:rFonts w:hint="eastAsia" w:ascii="仿宋_GB2312" w:hAnsi="仿宋_GB2312" w:eastAsia="仿宋_GB2312" w:cs="仿宋_GB2312"/>
                <w:kern w:val="0"/>
                <w:sz w:val="20"/>
                <w:szCs w:val="20"/>
              </w:rPr>
            </w:pPr>
          </w:p>
        </w:tc>
        <w:tc>
          <w:tcPr>
            <w:tcW w:w="109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0.005</w:t>
            </w:r>
          </w:p>
        </w:tc>
        <w:tc>
          <w:tcPr>
            <w:tcW w:w="136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0.005</w:t>
            </w:r>
          </w:p>
        </w:tc>
        <w:tc>
          <w:tcPr>
            <w:tcW w:w="82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2021</w:t>
            </w:r>
          </w:p>
        </w:tc>
        <w:tc>
          <w:tcPr>
            <w:tcW w:w="109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2021</w:t>
            </w:r>
          </w:p>
        </w:tc>
        <w:tc>
          <w:tcPr>
            <w:tcW w:w="681" w:type="dxa"/>
            <w:vAlign w:val="center"/>
          </w:tcPr>
          <w:p>
            <w:pPr>
              <w:widowControl/>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1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w:t>
            </w:r>
          </w:p>
        </w:tc>
        <w:tc>
          <w:tcPr>
            <w:tcW w:w="4354"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利州区盘龙镇港湾站</w:t>
            </w:r>
          </w:p>
        </w:tc>
        <w:tc>
          <w:tcPr>
            <w:tcW w:w="272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改扩建</w:t>
            </w:r>
          </w:p>
        </w:tc>
        <w:tc>
          <w:tcPr>
            <w:tcW w:w="1234" w:type="dxa"/>
            <w:vAlign w:val="center"/>
          </w:tcPr>
          <w:p>
            <w:pPr>
              <w:widowControl/>
              <w:jc w:val="center"/>
              <w:rPr>
                <w:rFonts w:hint="eastAsia" w:ascii="仿宋_GB2312" w:hAnsi="仿宋_GB2312" w:eastAsia="仿宋_GB2312" w:cs="仿宋_GB2312"/>
                <w:kern w:val="0"/>
                <w:sz w:val="20"/>
                <w:szCs w:val="20"/>
              </w:rPr>
            </w:pPr>
          </w:p>
        </w:tc>
        <w:tc>
          <w:tcPr>
            <w:tcW w:w="109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0.005</w:t>
            </w:r>
          </w:p>
        </w:tc>
        <w:tc>
          <w:tcPr>
            <w:tcW w:w="136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0.005</w:t>
            </w:r>
          </w:p>
        </w:tc>
        <w:tc>
          <w:tcPr>
            <w:tcW w:w="82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2023</w:t>
            </w:r>
          </w:p>
        </w:tc>
        <w:tc>
          <w:tcPr>
            <w:tcW w:w="109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2023</w:t>
            </w:r>
          </w:p>
        </w:tc>
        <w:tc>
          <w:tcPr>
            <w:tcW w:w="681" w:type="dxa"/>
            <w:vAlign w:val="center"/>
          </w:tcPr>
          <w:p>
            <w:pPr>
              <w:widowControl/>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1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5</w:t>
            </w:r>
          </w:p>
        </w:tc>
        <w:tc>
          <w:tcPr>
            <w:tcW w:w="4354"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利州区白朝乡运输服务站</w:t>
            </w:r>
          </w:p>
        </w:tc>
        <w:tc>
          <w:tcPr>
            <w:tcW w:w="272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改建</w:t>
            </w:r>
          </w:p>
        </w:tc>
        <w:tc>
          <w:tcPr>
            <w:tcW w:w="1234" w:type="dxa"/>
            <w:vAlign w:val="center"/>
          </w:tcPr>
          <w:p>
            <w:pPr>
              <w:widowControl/>
              <w:jc w:val="center"/>
              <w:rPr>
                <w:rFonts w:hint="eastAsia" w:ascii="仿宋_GB2312" w:hAnsi="仿宋_GB2312" w:eastAsia="仿宋_GB2312" w:cs="仿宋_GB2312"/>
                <w:kern w:val="0"/>
                <w:sz w:val="20"/>
                <w:szCs w:val="20"/>
              </w:rPr>
            </w:pPr>
          </w:p>
        </w:tc>
        <w:tc>
          <w:tcPr>
            <w:tcW w:w="109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0.005</w:t>
            </w:r>
          </w:p>
        </w:tc>
        <w:tc>
          <w:tcPr>
            <w:tcW w:w="136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0.005</w:t>
            </w:r>
          </w:p>
        </w:tc>
        <w:tc>
          <w:tcPr>
            <w:tcW w:w="82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2022</w:t>
            </w:r>
          </w:p>
        </w:tc>
        <w:tc>
          <w:tcPr>
            <w:tcW w:w="109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2022</w:t>
            </w:r>
          </w:p>
        </w:tc>
        <w:tc>
          <w:tcPr>
            <w:tcW w:w="681" w:type="dxa"/>
            <w:vAlign w:val="center"/>
          </w:tcPr>
          <w:p>
            <w:pPr>
              <w:widowControl/>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1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6</w:t>
            </w:r>
          </w:p>
        </w:tc>
        <w:tc>
          <w:tcPr>
            <w:tcW w:w="4354"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利州区金洞乡运输服务站</w:t>
            </w:r>
          </w:p>
        </w:tc>
        <w:tc>
          <w:tcPr>
            <w:tcW w:w="272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改建</w:t>
            </w:r>
          </w:p>
        </w:tc>
        <w:tc>
          <w:tcPr>
            <w:tcW w:w="1234" w:type="dxa"/>
            <w:vAlign w:val="center"/>
          </w:tcPr>
          <w:p>
            <w:pPr>
              <w:widowControl/>
              <w:jc w:val="center"/>
              <w:rPr>
                <w:rFonts w:hint="eastAsia" w:ascii="仿宋_GB2312" w:hAnsi="仿宋_GB2312" w:eastAsia="仿宋_GB2312" w:cs="仿宋_GB2312"/>
                <w:kern w:val="0"/>
                <w:sz w:val="20"/>
                <w:szCs w:val="20"/>
              </w:rPr>
            </w:pPr>
          </w:p>
        </w:tc>
        <w:tc>
          <w:tcPr>
            <w:tcW w:w="109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0.005</w:t>
            </w:r>
          </w:p>
        </w:tc>
        <w:tc>
          <w:tcPr>
            <w:tcW w:w="136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0.005</w:t>
            </w:r>
          </w:p>
        </w:tc>
        <w:tc>
          <w:tcPr>
            <w:tcW w:w="82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2021</w:t>
            </w:r>
          </w:p>
        </w:tc>
        <w:tc>
          <w:tcPr>
            <w:tcW w:w="109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2021</w:t>
            </w:r>
          </w:p>
        </w:tc>
        <w:tc>
          <w:tcPr>
            <w:tcW w:w="681" w:type="dxa"/>
            <w:vAlign w:val="center"/>
          </w:tcPr>
          <w:p>
            <w:pPr>
              <w:widowControl/>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1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7</w:t>
            </w:r>
          </w:p>
        </w:tc>
        <w:tc>
          <w:tcPr>
            <w:tcW w:w="4354"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利州区龙潭乡运输服务站</w:t>
            </w:r>
          </w:p>
        </w:tc>
        <w:tc>
          <w:tcPr>
            <w:tcW w:w="272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改建</w:t>
            </w:r>
          </w:p>
        </w:tc>
        <w:tc>
          <w:tcPr>
            <w:tcW w:w="1234" w:type="dxa"/>
            <w:vAlign w:val="center"/>
          </w:tcPr>
          <w:p>
            <w:pPr>
              <w:widowControl/>
              <w:jc w:val="center"/>
              <w:rPr>
                <w:rFonts w:hint="eastAsia" w:ascii="仿宋_GB2312" w:hAnsi="仿宋_GB2312" w:eastAsia="仿宋_GB2312" w:cs="仿宋_GB2312"/>
                <w:kern w:val="0"/>
                <w:sz w:val="20"/>
                <w:szCs w:val="20"/>
              </w:rPr>
            </w:pPr>
          </w:p>
        </w:tc>
        <w:tc>
          <w:tcPr>
            <w:tcW w:w="109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0.005</w:t>
            </w:r>
          </w:p>
        </w:tc>
        <w:tc>
          <w:tcPr>
            <w:tcW w:w="136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0.005</w:t>
            </w:r>
          </w:p>
        </w:tc>
        <w:tc>
          <w:tcPr>
            <w:tcW w:w="82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2021</w:t>
            </w:r>
          </w:p>
        </w:tc>
        <w:tc>
          <w:tcPr>
            <w:tcW w:w="109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2021</w:t>
            </w:r>
          </w:p>
        </w:tc>
        <w:tc>
          <w:tcPr>
            <w:tcW w:w="681" w:type="dxa"/>
            <w:vAlign w:val="center"/>
          </w:tcPr>
          <w:p>
            <w:pPr>
              <w:widowControl/>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1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8</w:t>
            </w:r>
          </w:p>
        </w:tc>
        <w:tc>
          <w:tcPr>
            <w:tcW w:w="4354"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利州区宝轮镇港湾站</w:t>
            </w:r>
          </w:p>
        </w:tc>
        <w:tc>
          <w:tcPr>
            <w:tcW w:w="272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改建</w:t>
            </w:r>
          </w:p>
        </w:tc>
        <w:tc>
          <w:tcPr>
            <w:tcW w:w="1234" w:type="dxa"/>
            <w:vAlign w:val="center"/>
          </w:tcPr>
          <w:p>
            <w:pPr>
              <w:widowControl/>
              <w:jc w:val="center"/>
              <w:rPr>
                <w:rFonts w:hint="eastAsia" w:ascii="仿宋_GB2312" w:hAnsi="仿宋_GB2312" w:eastAsia="仿宋_GB2312" w:cs="仿宋_GB2312"/>
                <w:kern w:val="0"/>
                <w:sz w:val="20"/>
                <w:szCs w:val="20"/>
              </w:rPr>
            </w:pPr>
          </w:p>
        </w:tc>
        <w:tc>
          <w:tcPr>
            <w:tcW w:w="109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0.005</w:t>
            </w:r>
          </w:p>
        </w:tc>
        <w:tc>
          <w:tcPr>
            <w:tcW w:w="136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0.005</w:t>
            </w:r>
          </w:p>
        </w:tc>
        <w:tc>
          <w:tcPr>
            <w:tcW w:w="82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2022</w:t>
            </w:r>
          </w:p>
        </w:tc>
        <w:tc>
          <w:tcPr>
            <w:tcW w:w="109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2022</w:t>
            </w:r>
          </w:p>
        </w:tc>
        <w:tc>
          <w:tcPr>
            <w:tcW w:w="681" w:type="dxa"/>
            <w:vAlign w:val="center"/>
          </w:tcPr>
          <w:p>
            <w:pPr>
              <w:widowControl/>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764" w:type="dxa"/>
            <w:gridSpan w:val="2"/>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五、集疏运体系</w:t>
            </w:r>
          </w:p>
        </w:tc>
        <w:tc>
          <w:tcPr>
            <w:tcW w:w="2720" w:type="dxa"/>
            <w:vAlign w:val="center"/>
          </w:tcPr>
          <w:p>
            <w:pPr>
              <w:widowControl/>
              <w:jc w:val="center"/>
              <w:rPr>
                <w:rFonts w:hint="eastAsia" w:ascii="仿宋_GB2312" w:hAnsi="仿宋_GB2312" w:eastAsia="仿宋_GB2312" w:cs="仿宋_GB2312"/>
                <w:b/>
                <w:bCs/>
                <w:kern w:val="0"/>
                <w:sz w:val="20"/>
                <w:szCs w:val="20"/>
              </w:rPr>
            </w:pPr>
          </w:p>
        </w:tc>
        <w:tc>
          <w:tcPr>
            <w:tcW w:w="1234" w:type="dxa"/>
            <w:vAlign w:val="center"/>
          </w:tcPr>
          <w:p>
            <w:pPr>
              <w:widowControl/>
              <w:jc w:val="center"/>
              <w:rPr>
                <w:rFonts w:hint="eastAsia" w:ascii="仿宋_GB2312" w:hAnsi="仿宋_GB2312" w:eastAsia="仿宋_GB2312" w:cs="仿宋_GB2312"/>
                <w:b/>
                <w:bCs/>
                <w:kern w:val="0"/>
                <w:sz w:val="20"/>
                <w:szCs w:val="20"/>
              </w:rPr>
            </w:pPr>
          </w:p>
        </w:tc>
        <w:tc>
          <w:tcPr>
            <w:tcW w:w="1094"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4.2</w:t>
            </w:r>
          </w:p>
        </w:tc>
        <w:tc>
          <w:tcPr>
            <w:tcW w:w="1365" w:type="dxa"/>
            <w:vAlign w:val="center"/>
          </w:tcPr>
          <w:p>
            <w:pPr>
              <w:widowControl/>
              <w:jc w:val="center"/>
              <w:rPr>
                <w:rFonts w:hint="eastAsia" w:ascii="仿宋_GB2312" w:hAnsi="仿宋_GB2312" w:eastAsia="仿宋_GB2312" w:cs="仿宋_GB2312"/>
                <w:b/>
                <w:bCs/>
                <w:kern w:val="0"/>
                <w:sz w:val="20"/>
                <w:szCs w:val="20"/>
              </w:rPr>
            </w:pPr>
            <w:r>
              <w:rPr>
                <w:rFonts w:hint="eastAsia" w:ascii="仿宋_GB2312" w:hAnsi="仿宋_GB2312" w:eastAsia="仿宋_GB2312" w:cs="仿宋_GB2312"/>
                <w:b/>
                <w:bCs/>
                <w:kern w:val="0"/>
                <w:sz w:val="20"/>
                <w:szCs w:val="20"/>
              </w:rPr>
              <w:t>4.2</w:t>
            </w:r>
          </w:p>
        </w:tc>
        <w:tc>
          <w:tcPr>
            <w:tcW w:w="823" w:type="dxa"/>
            <w:vAlign w:val="center"/>
          </w:tcPr>
          <w:p>
            <w:pPr>
              <w:widowControl/>
              <w:jc w:val="center"/>
              <w:rPr>
                <w:rFonts w:hint="eastAsia" w:ascii="仿宋_GB2312" w:hAnsi="仿宋_GB2312" w:eastAsia="仿宋_GB2312" w:cs="仿宋_GB2312"/>
                <w:b/>
                <w:bCs/>
                <w:kern w:val="0"/>
                <w:sz w:val="20"/>
                <w:szCs w:val="20"/>
              </w:rPr>
            </w:pPr>
          </w:p>
        </w:tc>
        <w:tc>
          <w:tcPr>
            <w:tcW w:w="1097" w:type="dxa"/>
            <w:vAlign w:val="center"/>
          </w:tcPr>
          <w:p>
            <w:pPr>
              <w:widowControl/>
              <w:jc w:val="center"/>
              <w:rPr>
                <w:rFonts w:hint="eastAsia" w:ascii="仿宋_GB2312" w:hAnsi="仿宋_GB2312" w:eastAsia="仿宋_GB2312" w:cs="仿宋_GB2312"/>
                <w:b/>
                <w:bCs/>
                <w:kern w:val="0"/>
                <w:sz w:val="20"/>
                <w:szCs w:val="20"/>
              </w:rPr>
            </w:pPr>
          </w:p>
        </w:tc>
        <w:tc>
          <w:tcPr>
            <w:tcW w:w="681" w:type="dxa"/>
            <w:vAlign w:val="center"/>
          </w:tcPr>
          <w:p>
            <w:pPr>
              <w:widowControl/>
              <w:jc w:val="center"/>
              <w:rPr>
                <w:rFonts w:hint="eastAsia" w:ascii="仿宋_GB2312" w:hAnsi="仿宋_GB2312" w:eastAsia="仿宋_GB2312" w:cs="仿宋_GB2312"/>
                <w:b/>
                <w:bCs/>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1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4354"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回龙河工业园区至广元高铁快运物流基地连接线</w:t>
            </w:r>
          </w:p>
        </w:tc>
        <w:tc>
          <w:tcPr>
            <w:tcW w:w="272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新建一级公路3公里</w:t>
            </w:r>
          </w:p>
        </w:tc>
        <w:tc>
          <w:tcPr>
            <w:tcW w:w="123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G212</w:t>
            </w:r>
          </w:p>
        </w:tc>
        <w:tc>
          <w:tcPr>
            <w:tcW w:w="109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w:t>
            </w:r>
          </w:p>
        </w:tc>
        <w:tc>
          <w:tcPr>
            <w:tcW w:w="136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4</w:t>
            </w:r>
          </w:p>
        </w:tc>
        <w:tc>
          <w:tcPr>
            <w:tcW w:w="82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2022</w:t>
            </w:r>
          </w:p>
        </w:tc>
        <w:tc>
          <w:tcPr>
            <w:tcW w:w="109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2025</w:t>
            </w:r>
          </w:p>
        </w:tc>
        <w:tc>
          <w:tcPr>
            <w:tcW w:w="681" w:type="dxa"/>
            <w:vAlign w:val="center"/>
          </w:tcPr>
          <w:p>
            <w:pPr>
              <w:widowControl/>
              <w:jc w:val="center"/>
              <w:rPr>
                <w:rFonts w:hint="eastAsia" w:ascii="仿宋_GB2312" w:hAnsi="仿宋_GB2312" w:eastAsia="仿宋_GB2312" w:cs="仿宋_GB2312"/>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10" w:hRule="atLeast"/>
          <w:jc w:val="center"/>
        </w:trPr>
        <w:tc>
          <w:tcPr>
            <w:tcW w:w="41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w:t>
            </w:r>
          </w:p>
        </w:tc>
        <w:tc>
          <w:tcPr>
            <w:tcW w:w="4354" w:type="dxa"/>
            <w:vAlign w:val="center"/>
          </w:tcPr>
          <w:p>
            <w:pPr>
              <w:widowControl/>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广元高铁快运物流基地进场道路工程</w:t>
            </w:r>
          </w:p>
        </w:tc>
        <w:tc>
          <w:tcPr>
            <w:tcW w:w="2720"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新建二级公路1公里</w:t>
            </w:r>
          </w:p>
        </w:tc>
        <w:tc>
          <w:tcPr>
            <w:tcW w:w="123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市政道路</w:t>
            </w:r>
          </w:p>
        </w:tc>
        <w:tc>
          <w:tcPr>
            <w:tcW w:w="1094"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0.2</w:t>
            </w:r>
          </w:p>
        </w:tc>
        <w:tc>
          <w:tcPr>
            <w:tcW w:w="1365"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0.2</w:t>
            </w:r>
          </w:p>
        </w:tc>
        <w:tc>
          <w:tcPr>
            <w:tcW w:w="823"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2023</w:t>
            </w:r>
          </w:p>
        </w:tc>
        <w:tc>
          <w:tcPr>
            <w:tcW w:w="1097" w:type="dxa"/>
            <w:vAlign w:val="center"/>
          </w:tcPr>
          <w:p>
            <w:pPr>
              <w:widowControl/>
              <w:jc w:val="center"/>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2023</w:t>
            </w:r>
          </w:p>
        </w:tc>
        <w:tc>
          <w:tcPr>
            <w:tcW w:w="681" w:type="dxa"/>
            <w:vAlign w:val="center"/>
          </w:tcPr>
          <w:p>
            <w:pPr>
              <w:widowControl/>
              <w:jc w:val="center"/>
              <w:rPr>
                <w:rFonts w:hint="eastAsia" w:ascii="仿宋_GB2312" w:hAnsi="仿宋_GB2312" w:eastAsia="仿宋_GB2312" w:cs="仿宋_GB2312"/>
                <w:kern w:val="0"/>
                <w:sz w:val="20"/>
                <w:szCs w:val="20"/>
              </w:rPr>
            </w:pPr>
          </w:p>
        </w:tc>
      </w:tr>
    </w:tbl>
    <w:p>
      <w:pPr>
        <w:pStyle w:val="2"/>
        <w:rPr>
          <w:rFonts w:hint="eastAsia" w:ascii="仿宋_GB2312" w:hAnsi="仿宋_GB2312" w:eastAsia="仿宋_GB2312" w:cs="仿宋_GB2312"/>
        </w:rPr>
        <w:sectPr>
          <w:footerReference r:id="rId10" w:type="default"/>
          <w:pgSz w:w="16838" w:h="11906" w:orient="landscape"/>
          <w:pgMar w:top="1701" w:right="1531" w:bottom="1701" w:left="1531" w:header="851" w:footer="1418" w:gutter="0"/>
          <w:cols w:space="720" w:num="1"/>
          <w:docGrid w:type="lines" w:linePitch="312" w:charSpace="0"/>
        </w:sectPr>
      </w:pPr>
    </w:p>
    <w:p>
      <w:pPr>
        <w:jc w:val="center"/>
        <w:outlineLvl w:val="1"/>
        <w:rPr>
          <w:rFonts w:hint="eastAsia" w:ascii="仿宋_GB2312" w:hAnsi="仿宋_GB2312" w:eastAsia="仿宋_GB2312" w:cs="仿宋_GB2312"/>
          <w:color w:val="000000"/>
          <w:sz w:val="32"/>
          <w:szCs w:val="32"/>
        </w:rPr>
      </w:pPr>
      <w:bookmarkStart w:id="164" w:name="_Toc114070063"/>
      <w:r>
        <w:rPr>
          <w:rFonts w:hint="eastAsia" w:ascii="仿宋_GB2312" w:hAnsi="仿宋_GB2312" w:eastAsia="仿宋_GB2312" w:cs="仿宋_GB2312"/>
          <w:sz w:val="32"/>
          <w:szCs w:val="32"/>
        </w:rPr>
        <w:t>附图1：广元市利州区“四向五通道”综合运输大通道布局示意图</w:t>
      </w:r>
      <w:bookmarkEnd w:id="164"/>
    </w:p>
    <w:p>
      <w:pPr>
        <w:jc w:val="center"/>
        <w:rPr>
          <w:rFonts w:hint="eastAsia" w:ascii="仿宋_GB2312" w:hAnsi="仿宋_GB2312" w:eastAsia="仿宋_GB2312" w:cs="仿宋_GB2312"/>
          <w:color w:val="000000"/>
        </w:rPr>
      </w:pPr>
      <w:r>
        <w:rPr>
          <w:rFonts w:hint="eastAsia" w:ascii="仿宋_GB2312" w:hAnsi="仿宋_GB2312" w:eastAsia="仿宋_GB2312" w:cs="仿宋_GB2312"/>
          <w:color w:val="000000"/>
        </w:rPr>
        <w:drawing>
          <wp:inline distT="0" distB="0" distL="0" distR="0">
            <wp:extent cx="7865745" cy="4928235"/>
            <wp:effectExtent l="0" t="0" r="13335" b="9525"/>
            <wp:docPr id="2" name="图片 2" descr="附图1 广元市利州区“四向五廊”综合运输通道布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图1 广元市利州区“四向五廊”综合运输通道布局示意图"/>
                    <pic:cNvPicPr>
                      <a:picLocks noChangeAspect="1" noChangeArrowheads="1"/>
                    </pic:cNvPicPr>
                  </pic:nvPicPr>
                  <pic:blipFill>
                    <a:blip r:embed="rId14" cstate="print"/>
                    <a:srcRect/>
                    <a:stretch>
                      <a:fillRect/>
                    </a:stretch>
                  </pic:blipFill>
                  <pic:spPr>
                    <a:xfrm>
                      <a:off x="0" y="0"/>
                      <a:ext cx="7865745" cy="4928235"/>
                    </a:xfrm>
                    <a:prstGeom prst="rect">
                      <a:avLst/>
                    </a:prstGeom>
                    <a:noFill/>
                    <a:ln w="9525">
                      <a:noFill/>
                      <a:miter lim="800000"/>
                      <a:headEnd/>
                      <a:tailEnd/>
                    </a:ln>
                  </pic:spPr>
                </pic:pic>
              </a:graphicData>
            </a:graphic>
          </wp:inline>
        </w:drawing>
      </w:r>
    </w:p>
    <w:p>
      <w:pPr>
        <w:jc w:val="center"/>
        <w:outlineLvl w:val="1"/>
        <w:rPr>
          <w:rFonts w:hint="eastAsia" w:ascii="仿宋_GB2312" w:hAnsi="仿宋_GB2312" w:eastAsia="仿宋_GB2312" w:cs="仿宋_GB2312"/>
          <w:spacing w:val="-12"/>
          <w:sz w:val="32"/>
          <w:szCs w:val="32"/>
        </w:rPr>
      </w:pPr>
      <w:bookmarkStart w:id="165" w:name="_Toc114070064"/>
      <w:r>
        <w:rPr>
          <w:rFonts w:hint="eastAsia" w:ascii="仿宋_GB2312" w:hAnsi="仿宋_GB2312" w:eastAsia="仿宋_GB2312" w:cs="仿宋_GB2312"/>
          <w:spacing w:val="-8"/>
          <w:sz w:val="32"/>
          <w:szCs w:val="32"/>
        </w:rPr>
        <w:t>附图2：广</w:t>
      </w:r>
      <w:r>
        <w:rPr>
          <w:rFonts w:hint="eastAsia" w:ascii="仿宋_GB2312" w:hAnsi="仿宋_GB2312" w:eastAsia="仿宋_GB2312" w:cs="仿宋_GB2312"/>
          <w:spacing w:val="-12"/>
          <w:sz w:val="32"/>
          <w:szCs w:val="32"/>
        </w:rPr>
        <w:t>元市利州区综合立体交通网规划布局示意图（2021—2035年）</w:t>
      </w:r>
      <w:bookmarkEnd w:id="165"/>
    </w:p>
    <w:p>
      <w:pPr>
        <w:pStyle w:val="2"/>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8792845" cy="4762500"/>
            <wp:effectExtent l="19050" t="0" r="8255" b="0"/>
            <wp:docPr id="3" name="图片 3" descr="E217A8F3BB713DF709463948B2A32688_750_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217A8F3BB713DF709463948B2A32688_750_750"/>
                    <pic:cNvPicPr>
                      <a:picLocks noChangeAspect="1" noChangeArrowheads="1"/>
                    </pic:cNvPicPr>
                  </pic:nvPicPr>
                  <pic:blipFill>
                    <a:blip r:embed="rId15" cstate="print"/>
                    <a:srcRect/>
                    <a:stretch>
                      <a:fillRect/>
                    </a:stretch>
                  </pic:blipFill>
                  <pic:spPr>
                    <a:xfrm>
                      <a:off x="0" y="0"/>
                      <a:ext cx="8792845" cy="4762500"/>
                    </a:xfrm>
                    <a:prstGeom prst="rect">
                      <a:avLst/>
                    </a:prstGeom>
                    <a:noFill/>
                    <a:ln w="9525">
                      <a:noFill/>
                      <a:miter lim="800000"/>
                      <a:headEnd/>
                      <a:tailEnd/>
                    </a:ln>
                  </pic:spPr>
                </pic:pic>
              </a:graphicData>
            </a:graphic>
          </wp:inline>
        </w:drawing>
      </w:r>
    </w:p>
    <w:p>
      <w:pPr>
        <w:jc w:val="center"/>
        <w:outlineLvl w:val="1"/>
        <w:rPr>
          <w:rFonts w:hint="eastAsia" w:ascii="仿宋_GB2312" w:hAnsi="仿宋_GB2312" w:eastAsia="仿宋_GB2312" w:cs="仿宋_GB2312"/>
          <w:sz w:val="32"/>
          <w:szCs w:val="32"/>
        </w:rPr>
      </w:pPr>
      <w:bookmarkStart w:id="166" w:name="_Toc114070065"/>
      <w:r>
        <w:rPr>
          <w:rFonts w:hint="eastAsia" w:ascii="仿宋_GB2312" w:hAnsi="仿宋_GB2312" w:eastAsia="仿宋_GB2312" w:cs="仿宋_GB2312"/>
          <w:sz w:val="32"/>
          <w:szCs w:val="32"/>
        </w:rPr>
        <w:t>附图3：广元市利州区“十四五”铁路水运航空建设项目示意图</w:t>
      </w:r>
      <w:bookmarkEnd w:id="166"/>
    </w:p>
    <w:p>
      <w:pPr>
        <w:pStyle w:val="2"/>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7944485" cy="4871720"/>
            <wp:effectExtent l="19050" t="0" r="0" b="0"/>
            <wp:docPr id="4" name="图片 4" descr="0DA915465AA74C945F42C776D0657225_750_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DA915465AA74C945F42C776D0657225_750_750"/>
                    <pic:cNvPicPr>
                      <a:picLocks noChangeAspect="1" noChangeArrowheads="1"/>
                    </pic:cNvPicPr>
                  </pic:nvPicPr>
                  <pic:blipFill>
                    <a:blip r:embed="rId16" cstate="print"/>
                    <a:srcRect/>
                    <a:stretch>
                      <a:fillRect/>
                    </a:stretch>
                  </pic:blipFill>
                  <pic:spPr>
                    <a:xfrm>
                      <a:off x="0" y="0"/>
                      <a:ext cx="7944485" cy="4871720"/>
                    </a:xfrm>
                    <a:prstGeom prst="rect">
                      <a:avLst/>
                    </a:prstGeom>
                    <a:noFill/>
                    <a:ln w="9525">
                      <a:noFill/>
                      <a:miter lim="800000"/>
                      <a:headEnd/>
                      <a:tailEnd/>
                    </a:ln>
                  </pic:spPr>
                </pic:pic>
              </a:graphicData>
            </a:graphic>
          </wp:inline>
        </w:drawing>
      </w:r>
    </w:p>
    <w:p>
      <w:pPr>
        <w:jc w:val="center"/>
        <w:outlineLvl w:val="1"/>
        <w:rPr>
          <w:rFonts w:hint="eastAsia" w:ascii="仿宋_GB2312" w:hAnsi="仿宋_GB2312" w:eastAsia="仿宋_GB2312" w:cs="仿宋_GB2312"/>
          <w:sz w:val="32"/>
          <w:szCs w:val="32"/>
        </w:rPr>
      </w:pPr>
      <w:bookmarkStart w:id="167" w:name="_Toc114070066"/>
      <w:r>
        <w:rPr>
          <w:rFonts w:hint="eastAsia" w:ascii="仿宋_GB2312" w:hAnsi="仿宋_GB2312" w:eastAsia="仿宋_GB2312" w:cs="仿宋_GB2312"/>
          <w:sz w:val="32"/>
          <w:szCs w:val="32"/>
        </w:rPr>
        <w:t>附图4：广元市利州区“十四五”重要干线公路建设项目示意图</w:t>
      </w:r>
      <w:bookmarkEnd w:id="167"/>
    </w:p>
    <w:p>
      <w:pPr>
        <w:pStyle w:val="2"/>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7887335" cy="4733925"/>
            <wp:effectExtent l="0" t="0" r="6985" b="5715"/>
            <wp:docPr id="5" name="图片 5" descr="BAB5B741FF96E92EF4665551E7494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AB5B741FF96E92EF4665551E74940C3"/>
                    <pic:cNvPicPr>
                      <a:picLocks noChangeAspect="1"/>
                    </pic:cNvPicPr>
                  </pic:nvPicPr>
                  <pic:blipFill>
                    <a:blip r:embed="rId17"/>
                    <a:stretch>
                      <a:fillRect/>
                    </a:stretch>
                  </pic:blipFill>
                  <pic:spPr>
                    <a:xfrm>
                      <a:off x="0" y="0"/>
                      <a:ext cx="7887335" cy="4733925"/>
                    </a:xfrm>
                    <a:prstGeom prst="rect">
                      <a:avLst/>
                    </a:prstGeom>
                  </pic:spPr>
                </pic:pic>
              </a:graphicData>
            </a:graphic>
          </wp:inline>
        </w:drawing>
      </w:r>
    </w:p>
    <w:p>
      <w:pPr>
        <w:jc w:val="center"/>
        <w:outlineLvl w:val="1"/>
        <w:rPr>
          <w:rFonts w:hint="eastAsia" w:ascii="仿宋_GB2312" w:hAnsi="仿宋_GB2312" w:eastAsia="仿宋_GB2312" w:cs="仿宋_GB2312"/>
          <w:sz w:val="32"/>
          <w:szCs w:val="32"/>
        </w:rPr>
      </w:pPr>
      <w:bookmarkStart w:id="168" w:name="_Toc114070067"/>
      <w:r>
        <w:rPr>
          <w:rFonts w:hint="eastAsia" w:ascii="仿宋_GB2312" w:hAnsi="仿宋_GB2312" w:eastAsia="仿宋_GB2312" w:cs="仿宋_GB2312"/>
          <w:sz w:val="32"/>
          <w:szCs w:val="32"/>
        </w:rPr>
        <w:t>附图5：广元市利州区“十四五”枢纽集疏运建设项目示意图</w:t>
      </w:r>
      <w:bookmarkEnd w:id="168"/>
    </w:p>
    <w:p>
      <w:pPr>
        <w:pStyle w:val="2"/>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7886065" cy="4930140"/>
            <wp:effectExtent l="19050" t="0" r="635" b="0"/>
            <wp:docPr id="6" name="图片 6" descr="3B8A8BA45DC44D0AC96E6A8024E1675F_750_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B8A8BA45DC44D0AC96E6A8024E1675F_750_750"/>
                    <pic:cNvPicPr>
                      <a:picLocks noChangeAspect="1" noChangeArrowheads="1"/>
                    </pic:cNvPicPr>
                  </pic:nvPicPr>
                  <pic:blipFill>
                    <a:blip r:embed="rId18" cstate="print"/>
                    <a:srcRect/>
                    <a:stretch>
                      <a:fillRect/>
                    </a:stretch>
                  </pic:blipFill>
                  <pic:spPr>
                    <a:xfrm>
                      <a:off x="0" y="0"/>
                      <a:ext cx="7886065" cy="4930140"/>
                    </a:xfrm>
                    <a:prstGeom prst="rect">
                      <a:avLst/>
                    </a:prstGeom>
                    <a:noFill/>
                    <a:ln w="9525">
                      <a:noFill/>
                      <a:miter lim="800000"/>
                      <a:headEnd/>
                      <a:tailEnd/>
                    </a:ln>
                  </pic:spPr>
                </pic:pic>
              </a:graphicData>
            </a:graphic>
          </wp:inline>
        </w:drawing>
      </w:r>
    </w:p>
    <w:sectPr>
      <w:footerReference r:id="rId11" w:type="default"/>
      <w:pgSz w:w="16840" w:h="11907" w:orient="landscape"/>
      <w:pgMar w:top="1701" w:right="1531" w:bottom="1701" w:left="1531" w:header="851" w:footer="1418"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embedRegular r:id="rId1" w:fontKey="{AD4B46A7-B5BC-47D2-85A1-CA34AD37E9A7}"/>
  </w:font>
  <w:font w:name="等线 Light">
    <w:altName w:val="宋体"/>
    <w:panose1 w:val="02010600030101010101"/>
    <w:charset w:val="86"/>
    <w:family w:val="auto"/>
    <w:pitch w:val="default"/>
    <w:sig w:usb0="00000000" w:usb1="00000000" w:usb2="00000016" w:usb3="00000000" w:csb0="0004000F" w:csb1="00000000"/>
  </w:font>
  <w:font w:name="等线">
    <w:altName w:val="宋体"/>
    <w:panose1 w:val="02010600030101010101"/>
    <w:charset w:val="86"/>
    <w:family w:val="auto"/>
    <w:pitch w:val="default"/>
    <w:sig w:usb0="00000000" w:usb1="00000000"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39A49EA1-4B20-417B-BECF-73E1A38405EC}"/>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方正仿宋简体">
    <w:altName w:val="微软雅黑"/>
    <w:panose1 w:val="02000000000000000000"/>
    <w:charset w:val="86"/>
    <w:family w:val="auto"/>
    <w:pitch w:val="default"/>
    <w:sig w:usb0="00000000" w:usb1="00000000" w:usb2="00000000" w:usb3="00000000" w:csb0="00000000" w:csb1="00000000"/>
  </w:font>
  <w:font w:name="方正小标宋简体">
    <w:panose1 w:val="02010601030101010101"/>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黑体简体">
    <w:altName w:val="微软雅黑"/>
    <w:panose1 w:val="02000000000000000000"/>
    <w:charset w:val="86"/>
    <w:family w:val="auto"/>
    <w:pitch w:val="default"/>
    <w:sig w:usb0="00000000" w:usb1="00000000" w:usb2="00000000" w:usb3="00000000" w:csb0="00000000" w:csb1="00000000"/>
  </w:font>
  <w:font w:name="方正楷体简体">
    <w:altName w:val="楷体_GB2312"/>
    <w:panose1 w:val="02010601030101010101"/>
    <w:charset w:val="86"/>
    <w:family w:val="auto"/>
    <w:pitch w:val="default"/>
    <w:sig w:usb0="00000000" w:usb1="00000000" w:usb2="00000000" w:usb3="00000000" w:csb0="00000000" w:csb1="00000000"/>
  </w:font>
  <w:font w:name="方正行楷_GBK">
    <w:panose1 w:val="03000509000000000000"/>
    <w:charset w:val="86"/>
    <w:family w:val="auto"/>
    <w:pitch w:val="default"/>
    <w:sig w:usb0="00000001" w:usb1="080E0000" w:usb2="00000000" w:usb3="00000000" w:csb0="00040000" w:csb1="00000000"/>
  </w:font>
  <w:font w:name="方正仿宋简体">
    <w:altName w:val="微软雅黑"/>
    <w:panose1 w:val="02000000000000000000"/>
    <w:charset w:val="00"/>
    <w:family w:val="auto"/>
    <w:pitch w:val="default"/>
    <w:sig w:usb0="00000000" w:usb1="00000000" w:usb2="00000000" w:usb3="00000000" w:csb0="00000000" w:csb1="00000000"/>
  </w:font>
  <w:font w:name="微软雅黑 Light">
    <w:panose1 w:val="020B0502040204020203"/>
    <w:charset w:val="86"/>
    <w:family w:val="auto"/>
    <w:pitch w:val="default"/>
    <w:sig w:usb0="80000287" w:usb1="2ACF0010" w:usb2="00000016" w:usb3="00000000" w:csb0="0004001F" w:csb1="00000000"/>
  </w:font>
  <w:font w:name="文鼎古印体繁">
    <w:panose1 w:val="02010609010101010101"/>
    <w:charset w:val="00"/>
    <w:family w:val="auto"/>
    <w:pitch w:val="default"/>
    <w:sig w:usb0="00000000" w:usb1="00000000" w:usb2="00000000" w:usb3="00000000" w:csb0="00000000" w:csb1="00000000"/>
  </w:font>
  <w:font w:name="新宋体">
    <w:panose1 w:val="02010609030101010101"/>
    <w:charset w:val="86"/>
    <w:family w:val="auto"/>
    <w:pitch w:val="default"/>
    <w:sig w:usb0="00000003" w:usb1="288F0000" w:usb2="00000006" w:usb3="00000000" w:csb0="00040001" w:csb1="00000000"/>
  </w:font>
  <w:font w:name="方正剪纸繁体">
    <w:panose1 w:val="03000509000000000000"/>
    <w:charset w:val="86"/>
    <w:family w:val="auto"/>
    <w:pitch w:val="default"/>
    <w:sig w:usb0="00000001" w:usb1="080E0000" w:usb2="00000000" w:usb3="00000000" w:csb0="00040000" w:csb1="00000000"/>
  </w:font>
  <w:font w:name="方正北魏楷书简体">
    <w:panose1 w:val="03000509000000000000"/>
    <w:charset w:val="86"/>
    <w:family w:val="auto"/>
    <w:pitch w:val="default"/>
    <w:sig w:usb0="00000001" w:usb1="080E0000" w:usb2="00000000" w:usb3="00000000" w:csb0="00040000" w:csb1="00000000"/>
  </w:font>
  <w:font w:name="方正古隶简体">
    <w:panose1 w:val="03000509000000000000"/>
    <w:charset w:val="86"/>
    <w:family w:val="auto"/>
    <w:pitch w:val="default"/>
    <w:sig w:usb0="00000001" w:usb1="080E0000" w:usb2="00000000" w:usb3="00000000" w:csb0="00040000" w:csb1="00000000"/>
  </w:font>
  <w:font w:name="方正细珊瑚简体">
    <w:panose1 w:val="03000509000000000000"/>
    <w:charset w:val="86"/>
    <w:family w:val="auto"/>
    <w:pitch w:val="default"/>
    <w:sig w:usb0="00000001" w:usb1="080E0000" w:usb2="00000000" w:usb3="00000000" w:csb0="00040000" w:csb1="00000000"/>
  </w:font>
  <w:font w:name="方正细珊瑚繁体">
    <w:panose1 w:val="03000509000000000000"/>
    <w:charset w:val="86"/>
    <w:family w:val="auto"/>
    <w:pitch w:val="default"/>
    <w:sig w:usb0="00000001" w:usb1="080E0000" w:usb2="00000000" w:usb3="00000000" w:csb0="00040000" w:csb1="00000000"/>
  </w:font>
  <w:font w:name="方正综艺简体">
    <w:panose1 w:val="02010601030101010101"/>
    <w:charset w:val="86"/>
    <w:family w:val="auto"/>
    <w:pitch w:val="default"/>
    <w:sig w:usb0="00000001" w:usb1="080E0000" w:usb2="00000000" w:usb3="00000000" w:csb0="00040000" w:csb1="00000000"/>
  </w:font>
  <w:font w:name="方正综艺繁体">
    <w:panose1 w:val="02010601030101010101"/>
    <w:charset w:val="86"/>
    <w:family w:val="auto"/>
    <w:pitch w:val="default"/>
    <w:sig w:usb0="00000001" w:usb1="080E0000" w:usb2="00000000" w:usb3="00000000" w:csb0="00040000" w:csb1="00000000"/>
  </w:font>
  <w:font w:name="方正隶二繁体">
    <w:panose1 w:val="02010601030101010101"/>
    <w:charset w:val="86"/>
    <w:family w:val="auto"/>
    <w:pitch w:val="default"/>
    <w:sig w:usb0="00000001" w:usb1="080E0000" w:usb2="00000000" w:usb3="00000000" w:csb0="00040000" w:csb1="00000000"/>
  </w:font>
  <w:font w:name="方正隶二简体">
    <w:panose1 w:val="02010601030101010101"/>
    <w:charset w:val="86"/>
    <w:family w:val="auto"/>
    <w:pitch w:val="default"/>
    <w:sig w:usb0="00000001" w:usb1="080E0000" w:usb2="00000000" w:usb3="00000000" w:csb0="00040000" w:csb1="00000000"/>
  </w:font>
  <w:font w:name="方正隶二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1837" w:h="437" w:hRule="exact" w:hSpace="181" w:wrap="around" w:vAnchor="text" w:hAnchor="margin" w:xAlign="outside" w:y="1"/>
      <w:rPr>
        <w:rFonts w:ascii="宋体" w:hAnsi="宋体"/>
        <w:sz w:val="28"/>
        <w:szCs w:val="28"/>
      </w:rPr>
    </w:pPr>
    <w:r>
      <w:rPr>
        <w:rFonts w:hint="eastAsia" w:ascii="宋体" w:hAnsi="宋体"/>
        <w:sz w:val="28"/>
        <w:szCs w:val="28"/>
      </w:rPr>
      <w:t>　—　</w:t>
    </w:r>
    <w:r>
      <w:rPr>
        <w:rStyle w:val="18"/>
        <w:rFonts w:ascii="宋体" w:hAnsi="宋体"/>
        <w:sz w:val="28"/>
        <w:szCs w:val="28"/>
      </w:rPr>
      <w:fldChar w:fldCharType="begin"/>
    </w:r>
    <w:r>
      <w:rPr>
        <w:rStyle w:val="18"/>
        <w:rFonts w:ascii="宋体" w:hAnsi="宋体"/>
        <w:sz w:val="28"/>
        <w:szCs w:val="28"/>
      </w:rPr>
      <w:instrText xml:space="preserve">PAGE  </w:instrText>
    </w:r>
    <w:r>
      <w:rPr>
        <w:rStyle w:val="18"/>
        <w:rFonts w:ascii="宋体" w:hAnsi="宋体"/>
        <w:sz w:val="28"/>
        <w:szCs w:val="28"/>
      </w:rPr>
      <w:fldChar w:fldCharType="separate"/>
    </w:r>
    <w:r>
      <w:rPr>
        <w:rStyle w:val="18"/>
        <w:rFonts w:ascii="宋体" w:hAnsi="宋体"/>
        <w:sz w:val="28"/>
        <w:szCs w:val="28"/>
      </w:rPr>
      <w:t>2</w:t>
    </w:r>
    <w:r>
      <w:rPr>
        <w:rStyle w:val="18"/>
        <w:rFonts w:ascii="宋体" w:hAnsi="宋体"/>
        <w:sz w:val="28"/>
        <w:szCs w:val="28"/>
      </w:rPr>
      <w:fldChar w:fldCharType="end"/>
    </w:r>
    <w:r>
      <w:rPr>
        <w:rStyle w:val="18"/>
        <w:rFonts w:hint="eastAsia" w:ascii="宋体" w:hAnsi="宋体"/>
        <w:sz w:val="28"/>
        <w:szCs w:val="28"/>
      </w:rPr>
      <w:t>　—　</w:t>
    </w: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1837" w:h="437" w:hRule="exact" w:hSpace="181" w:wrap="around" w:vAnchor="text" w:hAnchor="margin" w:xAlign="outside" w:y="1"/>
      <w:rPr>
        <w:rFonts w:ascii="宋体" w:hAnsi="宋体"/>
        <w:sz w:val="28"/>
        <w:szCs w:val="28"/>
      </w:rPr>
    </w:pPr>
    <w:r>
      <w:rPr>
        <w:rFonts w:hint="eastAsia" w:ascii="宋体" w:hAnsi="宋体"/>
        <w:sz w:val="28"/>
        <w:szCs w:val="28"/>
      </w:rPr>
      <w:t>　—　</w:t>
    </w:r>
    <w:r>
      <w:rPr>
        <w:rStyle w:val="18"/>
        <w:rFonts w:ascii="宋体" w:hAnsi="宋体"/>
        <w:sz w:val="28"/>
        <w:szCs w:val="28"/>
      </w:rPr>
      <w:fldChar w:fldCharType="begin"/>
    </w:r>
    <w:r>
      <w:rPr>
        <w:rStyle w:val="18"/>
        <w:rFonts w:ascii="宋体" w:hAnsi="宋体"/>
        <w:sz w:val="28"/>
        <w:szCs w:val="28"/>
      </w:rPr>
      <w:instrText xml:space="preserve">PAGE  </w:instrText>
    </w:r>
    <w:r>
      <w:rPr>
        <w:rStyle w:val="18"/>
        <w:rFonts w:ascii="宋体" w:hAnsi="宋体"/>
        <w:sz w:val="28"/>
        <w:szCs w:val="28"/>
      </w:rPr>
      <w:fldChar w:fldCharType="separate"/>
    </w:r>
    <w:r>
      <w:rPr>
        <w:rStyle w:val="18"/>
        <w:rFonts w:ascii="宋体" w:hAnsi="宋体"/>
        <w:sz w:val="28"/>
        <w:szCs w:val="28"/>
      </w:rPr>
      <w:t>4</w:t>
    </w:r>
    <w:r>
      <w:rPr>
        <w:rStyle w:val="18"/>
        <w:rFonts w:ascii="宋体" w:hAnsi="宋体"/>
        <w:sz w:val="28"/>
        <w:szCs w:val="28"/>
      </w:rPr>
      <w:fldChar w:fldCharType="end"/>
    </w:r>
    <w:r>
      <w:rPr>
        <w:rStyle w:val="18"/>
        <w:rFonts w:hint="eastAsia" w:ascii="宋体" w:hAnsi="宋体"/>
        <w:sz w:val="28"/>
        <w:szCs w:val="28"/>
      </w:rPr>
      <w:t>　—　</w:t>
    </w:r>
  </w:p>
  <w:p>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1837" w:h="437" w:hRule="exact" w:hSpace="181" w:wrap="around" w:vAnchor="text" w:hAnchor="margin" w:xAlign="outside" w:y="1"/>
      <w:rPr>
        <w:rFonts w:ascii="宋体" w:hAnsi="宋体"/>
        <w:sz w:val="28"/>
        <w:szCs w:val="28"/>
      </w:rPr>
    </w:pPr>
    <w:r>
      <w:rPr>
        <w:rFonts w:hint="eastAsia" w:ascii="宋体" w:hAnsi="宋体"/>
        <w:sz w:val="28"/>
        <w:szCs w:val="28"/>
      </w:rPr>
      <w:t>　—　</w:t>
    </w:r>
    <w:r>
      <w:rPr>
        <w:rStyle w:val="18"/>
        <w:rFonts w:ascii="宋体" w:hAnsi="宋体"/>
        <w:sz w:val="28"/>
        <w:szCs w:val="28"/>
      </w:rPr>
      <w:fldChar w:fldCharType="begin"/>
    </w:r>
    <w:r>
      <w:rPr>
        <w:rStyle w:val="18"/>
        <w:rFonts w:ascii="宋体" w:hAnsi="宋体"/>
        <w:sz w:val="28"/>
        <w:szCs w:val="28"/>
      </w:rPr>
      <w:instrText xml:space="preserve">PAGE  </w:instrText>
    </w:r>
    <w:r>
      <w:rPr>
        <w:rStyle w:val="18"/>
        <w:rFonts w:ascii="宋体" w:hAnsi="宋体"/>
        <w:sz w:val="28"/>
        <w:szCs w:val="28"/>
      </w:rPr>
      <w:fldChar w:fldCharType="separate"/>
    </w:r>
    <w:r>
      <w:rPr>
        <w:rStyle w:val="18"/>
        <w:rFonts w:ascii="宋体" w:hAnsi="宋体"/>
        <w:sz w:val="28"/>
        <w:szCs w:val="28"/>
      </w:rPr>
      <w:t>62</w:t>
    </w:r>
    <w:r>
      <w:rPr>
        <w:rStyle w:val="18"/>
        <w:rFonts w:ascii="宋体" w:hAnsi="宋体"/>
        <w:sz w:val="28"/>
        <w:szCs w:val="28"/>
      </w:rPr>
      <w:fldChar w:fldCharType="end"/>
    </w:r>
    <w:r>
      <w:rPr>
        <w:rStyle w:val="18"/>
        <w:rFonts w:hint="eastAsia" w:ascii="宋体" w:hAnsi="宋体"/>
        <w:sz w:val="28"/>
        <w:szCs w:val="28"/>
      </w:rPr>
      <w:t>　—　</w:t>
    </w:r>
  </w:p>
  <w:p>
    <w:pPr>
      <w:pStyle w:val="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1837" w:h="437" w:hRule="exact" w:hSpace="181" w:wrap="around" w:vAnchor="text" w:hAnchor="margin" w:xAlign="outside" w:y="1"/>
      <w:rPr>
        <w:rFonts w:ascii="宋体" w:hAnsi="宋体"/>
        <w:sz w:val="28"/>
        <w:szCs w:val="28"/>
      </w:rPr>
    </w:pPr>
    <w:r>
      <w:rPr>
        <w:rFonts w:hint="eastAsia" w:ascii="宋体" w:hAnsi="宋体"/>
        <w:sz w:val="28"/>
        <w:szCs w:val="28"/>
      </w:rPr>
      <w:t>　—　</w:t>
    </w:r>
    <w:r>
      <w:rPr>
        <w:rStyle w:val="18"/>
        <w:rFonts w:ascii="宋体" w:hAnsi="宋体"/>
        <w:sz w:val="28"/>
        <w:szCs w:val="28"/>
      </w:rPr>
      <w:fldChar w:fldCharType="begin"/>
    </w:r>
    <w:r>
      <w:rPr>
        <w:rStyle w:val="18"/>
        <w:rFonts w:ascii="宋体" w:hAnsi="宋体"/>
        <w:sz w:val="28"/>
        <w:szCs w:val="28"/>
      </w:rPr>
      <w:instrText xml:space="preserve">PAGE  </w:instrText>
    </w:r>
    <w:r>
      <w:rPr>
        <w:rStyle w:val="18"/>
        <w:rFonts w:ascii="宋体" w:hAnsi="宋体"/>
        <w:sz w:val="28"/>
        <w:szCs w:val="28"/>
      </w:rPr>
      <w:fldChar w:fldCharType="separate"/>
    </w:r>
    <w:r>
      <w:rPr>
        <w:rStyle w:val="18"/>
        <w:rFonts w:ascii="宋体" w:hAnsi="宋体"/>
        <w:sz w:val="28"/>
        <w:szCs w:val="28"/>
      </w:rPr>
      <w:t>64</w:t>
    </w:r>
    <w:r>
      <w:rPr>
        <w:rStyle w:val="18"/>
        <w:rFonts w:ascii="宋体" w:hAnsi="宋体"/>
        <w:sz w:val="28"/>
        <w:szCs w:val="28"/>
      </w:rPr>
      <w:fldChar w:fldCharType="end"/>
    </w:r>
    <w:r>
      <w:rPr>
        <w:rStyle w:val="18"/>
        <w:rFonts w:hint="eastAsia" w:ascii="宋体" w:hAnsi="宋体"/>
        <w:sz w:val="28"/>
        <w:szCs w:val="28"/>
      </w:rPr>
      <w:t>　—　</w:t>
    </w:r>
  </w:p>
  <w:p>
    <w:pPr>
      <w:pStyle w:val="1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1837" w:h="437" w:hRule="exact" w:hSpace="181" w:wrap="around" w:vAnchor="text" w:hAnchor="margin" w:xAlign="outside" w:y="1"/>
      <w:shd w:val="solid" w:color="FFFFFF" w:fill="FFFFFF"/>
      <w:rPr>
        <w:rFonts w:asciiTheme="minorEastAsia" w:hAnsiTheme="minorEastAsia"/>
        <w:sz w:val="28"/>
        <w:szCs w:val="28"/>
      </w:rPr>
    </w:pPr>
    <w:r>
      <w:rPr>
        <w:rFonts w:hint="eastAsia" w:asciiTheme="minorEastAsia" w:hAnsiTheme="minorEastAsia"/>
        <w:sz w:val="28"/>
        <w:szCs w:val="28"/>
      </w:rPr>
      <w:t>　—　</w:t>
    </w:r>
    <w:r>
      <w:rPr>
        <w:rStyle w:val="18"/>
        <w:rFonts w:asciiTheme="minorEastAsia" w:hAnsiTheme="minorEastAsia"/>
        <w:sz w:val="28"/>
        <w:szCs w:val="28"/>
      </w:rPr>
      <w:fldChar w:fldCharType="begin"/>
    </w:r>
    <w:r>
      <w:rPr>
        <w:rStyle w:val="18"/>
        <w:rFonts w:asciiTheme="minorEastAsia" w:hAnsiTheme="minorEastAsia"/>
        <w:sz w:val="28"/>
        <w:szCs w:val="28"/>
      </w:rPr>
      <w:instrText xml:space="preserve">PAGE  </w:instrText>
    </w:r>
    <w:r>
      <w:rPr>
        <w:rStyle w:val="18"/>
        <w:rFonts w:asciiTheme="minorEastAsia" w:hAnsiTheme="minorEastAsia"/>
        <w:sz w:val="28"/>
        <w:szCs w:val="28"/>
      </w:rPr>
      <w:fldChar w:fldCharType="separate"/>
    </w:r>
    <w:r>
      <w:rPr>
        <w:rStyle w:val="18"/>
        <w:rFonts w:asciiTheme="minorEastAsia" w:hAnsiTheme="minorEastAsia"/>
        <w:sz w:val="28"/>
        <w:szCs w:val="28"/>
      </w:rPr>
      <w:t>69</w:t>
    </w:r>
    <w:r>
      <w:rPr>
        <w:rStyle w:val="18"/>
        <w:rFonts w:asciiTheme="minorEastAsia" w:hAnsiTheme="minorEastAsia"/>
        <w:sz w:val="28"/>
        <w:szCs w:val="28"/>
      </w:rPr>
      <w:fldChar w:fldCharType="end"/>
    </w:r>
    <w:r>
      <w:rPr>
        <w:rStyle w:val="18"/>
        <w:rFonts w:hint="eastAsia" w:asciiTheme="minorEastAsia" w:hAnsiTheme="minorEastAsia"/>
        <w:sz w:val="28"/>
        <w:szCs w:val="28"/>
      </w:rPr>
      <w:t>　—　</w:t>
    </w:r>
  </w:p>
  <w:p>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3"/>
        <w:rPr>
          <w:rFonts w:ascii="Times New Roman" w:hAnsi="Times New Roman"/>
        </w:rPr>
      </w:pPr>
      <w:r>
        <w:rPr>
          <w:rStyle w:val="22"/>
          <w:rFonts w:ascii="Times New Roman" w:hAnsi="Times New Roman"/>
        </w:rPr>
        <w:footnoteRef/>
      </w:r>
      <w:r>
        <w:rPr>
          <w:rFonts w:ascii="Times New Roman" w:hAnsi="Times New Roman"/>
        </w:rPr>
        <w:t xml:space="preserve"> “2+N”新型工业体系：“2”指两大主导产业，即食品饮料、机械电子；“N”指特色优势产业，即新能源、新型建材、战略性新兴产业等。</w:t>
      </w:r>
    </w:p>
  </w:footnote>
  <w:footnote w:id="1">
    <w:p>
      <w:pPr>
        <w:pStyle w:val="13"/>
        <w:rPr>
          <w:rFonts w:ascii="Times New Roman" w:hAnsi="Times New Roman"/>
        </w:rPr>
      </w:pPr>
      <w:r>
        <w:rPr>
          <w:rStyle w:val="22"/>
          <w:rFonts w:ascii="Times New Roman" w:hAnsi="Times New Roman"/>
        </w:rPr>
        <w:footnoteRef/>
      </w:r>
      <w:r>
        <w:rPr>
          <w:rFonts w:ascii="Times New Roman" w:hAnsi="Times New Roman"/>
        </w:rPr>
        <w:t xml:space="preserve"> “5+3”特色农业体系：“5”指五大特色优势产业，即绿色果蔬、生态养殖、道地中药材、木本油料、</w:t>
      </w:r>
      <w:bookmarkStart w:id="169" w:name="_Hlk68195479"/>
      <w:r>
        <w:rPr>
          <w:rFonts w:ascii="Times New Roman" w:hAnsi="Times New Roman"/>
        </w:rPr>
        <w:t>四季花卉</w:t>
      </w:r>
      <w:bookmarkEnd w:id="169"/>
      <w:r>
        <w:rPr>
          <w:rFonts w:ascii="Times New Roman" w:hAnsi="Times New Roman"/>
        </w:rPr>
        <w:t>；“3”指三大先导性支撑产业，即现代种业、现代农业装备、烘干冷链物流。</w:t>
      </w:r>
    </w:p>
  </w:footnote>
  <w:footnote w:id="2">
    <w:p>
      <w:pPr>
        <w:pStyle w:val="13"/>
      </w:pPr>
      <w:r>
        <w:rPr>
          <w:rStyle w:val="22"/>
          <w:rFonts w:ascii="Times New Roman" w:hAnsi="Times New Roman"/>
        </w:rPr>
        <w:footnoteRef/>
      </w:r>
      <w:r>
        <w:rPr>
          <w:rFonts w:ascii="Times New Roman" w:hAnsi="Times New Roman"/>
        </w:rPr>
        <w:t xml:space="preserve"> “4+5”现代服务业体系：“4”指四大支柱型服务业，即康养旅游、商业贸易、现代物流、金融服务；“5”指五大成长型服务业，即科技信息、商务会展、人力资源、特色餐饮、家庭社区。</w:t>
      </w:r>
    </w:p>
  </w:footnote>
  <w:footnote w:id="3">
    <w:p>
      <w:pPr>
        <w:pStyle w:val="13"/>
      </w:pPr>
      <w:r>
        <w:rPr>
          <w:rStyle w:val="22"/>
        </w:rPr>
        <w:footnoteRef/>
      </w:r>
      <w:r>
        <w:rPr>
          <w:rFonts w:hint="eastAsia"/>
        </w:rPr>
        <w:t>“三基地一枢纽”：西部地区生态康养旅游基地、川陕甘结合部商贸物流基地、成渝地区产业协作配套基地、四川北向东出综合交通枢纽。</w:t>
      </w:r>
    </w:p>
  </w:footnote>
  <w:footnote w:id="4">
    <w:p>
      <w:pPr>
        <w:pStyle w:val="13"/>
        <w:jc w:val="both"/>
      </w:pPr>
      <w:r>
        <w:rPr>
          <w:rStyle w:val="22"/>
        </w:rPr>
        <w:footnoteRef/>
      </w:r>
      <w:r>
        <w:rPr>
          <w:rFonts w:hint="eastAsia"/>
        </w:rPr>
        <w:t>快递七进：支持快递服务进政区、进园区、进商区、进校区、进小区、进景区、进郊区。</w:t>
      </w:r>
    </w:p>
  </w:footnote>
  <w:footnote w:id="5">
    <w:p>
      <w:pPr>
        <w:pStyle w:val="13"/>
        <w:jc w:val="both"/>
      </w:pPr>
      <w:r>
        <w:rPr>
          <w:rStyle w:val="22"/>
        </w:rPr>
        <w:footnoteRef/>
      </w:r>
      <w:r>
        <w:rPr>
          <w:rFonts w:hint="eastAsia"/>
        </w:rPr>
        <w:t>快递下乡：完善县、乡、村快递物流体系，打造“工业品下乡”和“农产品进城”双向流通渠道。有效对接农产品市场（基地），拓展农产品、农资、农村消费品流通加工、仓储配送等功能，服务产地直销、订单生产等农业生产新模式。</w:t>
      </w:r>
    </w:p>
  </w:footnote>
  <w:footnote w:id="6">
    <w:p>
      <w:pPr>
        <w:pStyle w:val="13"/>
      </w:pPr>
      <w:r>
        <w:rPr>
          <w:rStyle w:val="22"/>
        </w:rPr>
        <w:footnoteRef/>
      </w:r>
      <w:r>
        <w:rPr>
          <w:rFonts w:hint="eastAsia"/>
        </w:rPr>
        <w:t>123出行圈：“1”是指利州全面实现1小时畅达全域和毗邻区县；“2”是指利州全面实现2小时直达成都、西安、重庆、兰州等周边重点城市；“3”是指利州基本实现3小时通达全国主要城市。</w:t>
      </w:r>
    </w:p>
  </w:footnote>
  <w:footnote w:id="7">
    <w:p>
      <w:pPr>
        <w:pStyle w:val="13"/>
      </w:pPr>
      <w:r>
        <w:rPr>
          <w:rStyle w:val="22"/>
        </w:rPr>
        <w:footnoteRef/>
      </w:r>
      <w:r>
        <w:rPr>
          <w:rFonts w:hint="eastAsia"/>
        </w:rPr>
        <w:t>123物流圈：“1”是指利州基本实现国内1天、周边国家2天、全球主要城市3天送达货物。</w:t>
      </w:r>
    </w:p>
  </w:footnote>
  <w:footnote w:id="8">
    <w:p>
      <w:pPr>
        <w:pStyle w:val="13"/>
      </w:pPr>
      <w:r>
        <w:rPr>
          <w:rStyle w:val="22"/>
        </w:rPr>
        <w:footnoteRef/>
      </w:r>
      <w:r>
        <w:rPr>
          <w:rFonts w:hint="eastAsia"/>
        </w:rPr>
        <w:t>一体两翼：“一体”是指北部片区；“两翼”分别是三江新区、东部片区。</w:t>
      </w:r>
    </w:p>
  </w:footnote>
  <w:footnote w:id="9">
    <w:p>
      <w:pPr>
        <w:pStyle w:val="13"/>
      </w:pPr>
      <w:r>
        <w:rPr>
          <w:rStyle w:val="22"/>
        </w:rPr>
        <w:footnoteRef/>
      </w:r>
      <w:r>
        <w:rPr>
          <w:rFonts w:hint="eastAsia"/>
        </w:rPr>
        <w:t>一区五园：“一区”是指利州工业集中发展区；“五园”是指大石工业园（含泉坝拓展园）、回龙河工业园、清江石羊工业园、广元机电产业园、宝轮工业园。</w:t>
      </w:r>
    </w:p>
  </w:footnote>
  <w:footnote w:id="10">
    <w:p>
      <w:pPr>
        <w:pStyle w:val="13"/>
      </w:pPr>
      <w:r>
        <w:rPr>
          <w:rStyle w:val="22"/>
        </w:rPr>
        <w:footnoteRef/>
      </w:r>
      <w:r>
        <w:rPr>
          <w:rFonts w:hint="eastAsia"/>
        </w:rPr>
        <w:t>一心一带四区：“一心”是指全市文化旅游综合服务中心；“一带”是指环中心城区文旅经济带；“四区”是指西南部生态康养度假区、西北部山水生态休闲区、南部康养度假旅游区、东部工业遗址文旅休闲区。</w:t>
      </w:r>
    </w:p>
  </w:footnote>
  <w:footnote w:id="11">
    <w:p>
      <w:pPr>
        <w:pStyle w:val="13"/>
      </w:pPr>
      <w:r>
        <w:rPr>
          <w:rStyle w:val="22"/>
        </w:rPr>
        <w:footnoteRef/>
      </w:r>
      <w:r>
        <w:rPr>
          <w:rFonts w:hint="eastAsia"/>
        </w:rPr>
        <w:t>一核二通道三区四中心：“一核”是指建设川陕甘结合部商贸物流基地为核心；“二通道”是指融入“一带一路”和西部陆海新通道；“三区”是指打造集城市配送、大宗物资、特色农产品冷链三大功能区；“四中心”是指建设危化物品中转站、再生资源回收利用中心和大型建材物流交易中心，西部农产品物流中心，中小型专业物流园区、配送中心，中心集镇物流节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multilevel"/>
    <w:tmpl w:val="00000011"/>
    <w:lvl w:ilvl="0" w:tentative="0">
      <w:start w:val="1"/>
      <w:numFmt w:val="decimal"/>
      <w:suff w:val="space"/>
      <w:lvlText w:val="第%1章 "/>
      <w:lvlJc w:val="left"/>
      <w:pPr>
        <w:ind w:left="0" w:firstLine="0"/>
      </w:pPr>
      <w:rPr>
        <w:rFonts w:hint="eastAsia" w:ascii="黑体" w:eastAsia="黑体"/>
        <w:sz w:val="32"/>
        <w:szCs w:val="32"/>
        <w:lang w:val="en-US"/>
      </w:rPr>
    </w:lvl>
    <w:lvl w:ilvl="1" w:tentative="0">
      <w:start w:val="1"/>
      <w:numFmt w:val="decimal"/>
      <w:pStyle w:val="54"/>
      <w:suff w:val="space"/>
      <w:lvlText w:val="%1.%2 "/>
      <w:lvlJc w:val="left"/>
      <w:pPr>
        <w:ind w:left="426" w:firstLine="0"/>
      </w:pPr>
      <w:rPr>
        <w:rFonts w:hint="eastAsia" w:ascii="黑体" w:eastAsia="黑体"/>
        <w:sz w:val="28"/>
        <w:szCs w:val="28"/>
      </w:rPr>
    </w:lvl>
    <w:lvl w:ilvl="2" w:tentative="0">
      <w:start w:val="1"/>
      <w:numFmt w:val="decimal"/>
      <w:pStyle w:val="42"/>
      <w:suff w:val="space"/>
      <w:lvlText w:val="%1.%2.%3 "/>
      <w:lvlJc w:val="left"/>
      <w:pPr>
        <w:ind w:left="568" w:firstLine="0"/>
      </w:pPr>
      <w:rPr>
        <w:rFonts w:hint="eastAsia" w:ascii="黑体" w:eastAsia="黑体"/>
        <w:sz w:val="24"/>
        <w:szCs w:val="24"/>
      </w:rPr>
    </w:lvl>
    <w:lvl w:ilvl="3" w:tentative="0">
      <w:start w:val="1"/>
      <w:numFmt w:val="decimal"/>
      <w:suff w:val="space"/>
      <w:lvlText w:val="%1.%2.%3.%4 "/>
      <w:lvlJc w:val="left"/>
      <w:pPr>
        <w:ind w:left="1620" w:firstLine="0"/>
      </w:pPr>
      <w:rPr>
        <w:rFonts w:hint="eastAsia" w:ascii="宋体" w:eastAsia="宋体"/>
        <w:b/>
        <w:i w:val="0"/>
        <w:sz w:val="21"/>
        <w:szCs w:val="21"/>
      </w:rPr>
    </w:lvl>
    <w:lvl w:ilvl="4" w:tentative="0">
      <w:start w:val="1"/>
      <w:numFmt w:val="decimal"/>
      <w:lvlText w:val="%1.%2.%3.%4.%5."/>
      <w:lvlJc w:val="left"/>
      <w:pPr>
        <w:tabs>
          <w:tab w:val="left" w:pos="1192"/>
        </w:tabs>
        <w:ind w:left="1192" w:hanging="992"/>
      </w:pPr>
      <w:rPr>
        <w:rFonts w:hint="eastAsia"/>
      </w:rPr>
    </w:lvl>
    <w:lvl w:ilvl="5" w:tentative="0">
      <w:start w:val="1"/>
      <w:numFmt w:val="decimal"/>
      <w:lvlText w:val="%1.%2.%3.%4.%5.%6."/>
      <w:lvlJc w:val="left"/>
      <w:pPr>
        <w:tabs>
          <w:tab w:val="left" w:pos="1334"/>
        </w:tabs>
        <w:ind w:left="1334" w:hanging="1134"/>
      </w:pPr>
      <w:rPr>
        <w:rFonts w:hint="eastAsia"/>
      </w:rPr>
    </w:lvl>
    <w:lvl w:ilvl="6" w:tentative="0">
      <w:start w:val="1"/>
      <w:numFmt w:val="decimal"/>
      <w:lvlText w:val="%1.%2.%3.%4.%5.%6.%7."/>
      <w:lvlJc w:val="left"/>
      <w:pPr>
        <w:tabs>
          <w:tab w:val="left" w:pos="1476"/>
        </w:tabs>
        <w:ind w:left="1476" w:hanging="1276"/>
      </w:pPr>
      <w:rPr>
        <w:rFonts w:hint="eastAsia"/>
      </w:rPr>
    </w:lvl>
    <w:lvl w:ilvl="7" w:tentative="0">
      <w:start w:val="1"/>
      <w:numFmt w:val="decimal"/>
      <w:lvlText w:val="%1.%2.%3.%4.%5.%6.%7.%8."/>
      <w:lvlJc w:val="left"/>
      <w:pPr>
        <w:tabs>
          <w:tab w:val="left" w:pos="1618"/>
        </w:tabs>
        <w:ind w:left="1618" w:hanging="1418"/>
      </w:pPr>
      <w:rPr>
        <w:rFonts w:hint="eastAsia"/>
      </w:rPr>
    </w:lvl>
    <w:lvl w:ilvl="8" w:tentative="0">
      <w:start w:val="1"/>
      <w:numFmt w:val="decimal"/>
      <w:lvlText w:val="%1.%2.%3.%4.%5.%6.%7.%8.%9."/>
      <w:lvlJc w:val="left"/>
      <w:pPr>
        <w:tabs>
          <w:tab w:val="left" w:pos="1759"/>
        </w:tabs>
        <w:ind w:left="17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0ZWY0NWZiYzM0NzBkNTY5MWI2NzQxMDFlODM0Y2QifQ=="/>
  </w:docVars>
  <w:rsids>
    <w:rsidRoot w:val="002E449B"/>
    <w:rsid w:val="000D4262"/>
    <w:rsid w:val="00147F32"/>
    <w:rsid w:val="001E4939"/>
    <w:rsid w:val="002E449B"/>
    <w:rsid w:val="00367038"/>
    <w:rsid w:val="004077E7"/>
    <w:rsid w:val="005F1E0D"/>
    <w:rsid w:val="0064466A"/>
    <w:rsid w:val="006A3324"/>
    <w:rsid w:val="006F62BE"/>
    <w:rsid w:val="00706BDB"/>
    <w:rsid w:val="00787B70"/>
    <w:rsid w:val="009449B4"/>
    <w:rsid w:val="00A71CD8"/>
    <w:rsid w:val="00B235E6"/>
    <w:rsid w:val="00CB5333"/>
    <w:rsid w:val="00D07825"/>
    <w:rsid w:val="00D66B17"/>
    <w:rsid w:val="00DE67E6"/>
    <w:rsid w:val="00E12ACD"/>
    <w:rsid w:val="00E3365B"/>
    <w:rsid w:val="00E45F01"/>
    <w:rsid w:val="00E81F27"/>
    <w:rsid w:val="00F71951"/>
    <w:rsid w:val="00FE1609"/>
    <w:rsid w:val="03AB4540"/>
    <w:rsid w:val="0F0D6FC8"/>
    <w:rsid w:val="0F3F1390"/>
    <w:rsid w:val="109319E3"/>
    <w:rsid w:val="17832FC1"/>
    <w:rsid w:val="192B2810"/>
    <w:rsid w:val="1D13246B"/>
    <w:rsid w:val="21100A75"/>
    <w:rsid w:val="24127329"/>
    <w:rsid w:val="24585309"/>
    <w:rsid w:val="24BE0917"/>
    <w:rsid w:val="2E4C1E6F"/>
    <w:rsid w:val="347823F8"/>
    <w:rsid w:val="488B5FF6"/>
    <w:rsid w:val="4EB8576A"/>
    <w:rsid w:val="50E40871"/>
    <w:rsid w:val="57F46A18"/>
    <w:rsid w:val="5AB64FA9"/>
    <w:rsid w:val="5AFC5288"/>
    <w:rsid w:val="5D265F0E"/>
    <w:rsid w:val="64DC6BDD"/>
    <w:rsid w:val="64E82732"/>
    <w:rsid w:val="687341A9"/>
    <w:rsid w:val="693D58E4"/>
    <w:rsid w:val="6A473245"/>
    <w:rsid w:val="6AB22B10"/>
    <w:rsid w:val="713E6484"/>
    <w:rsid w:val="721C2CFD"/>
    <w:rsid w:val="78052793"/>
    <w:rsid w:val="7A2F421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qFormat="1" w:unhideWhenUsed="0"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24"/>
    <w:qFormat/>
    <w:uiPriority w:val="9"/>
    <w:pPr>
      <w:keepNext/>
      <w:keepLines/>
      <w:spacing w:before="340" w:after="330" w:line="576" w:lineRule="auto"/>
      <w:outlineLvl w:val="0"/>
    </w:pPr>
    <w:rPr>
      <w:b/>
      <w:kern w:val="44"/>
      <w:sz w:val="44"/>
      <w:szCs w:val="44"/>
    </w:rPr>
  </w:style>
  <w:style w:type="paragraph" w:styleId="4">
    <w:name w:val="heading 2"/>
    <w:basedOn w:val="1"/>
    <w:next w:val="1"/>
    <w:link w:val="25"/>
    <w:qFormat/>
    <w:uiPriority w:val="9"/>
    <w:pPr>
      <w:keepNext/>
      <w:keepLines/>
      <w:spacing w:before="260" w:after="260" w:line="415" w:lineRule="auto"/>
      <w:outlineLvl w:val="1"/>
    </w:pPr>
    <w:rPr>
      <w:rFonts w:ascii="等线 Light" w:hAnsi="等线 Light" w:eastAsia="等线 Light"/>
      <w:b/>
      <w:sz w:val="32"/>
      <w:szCs w:val="32"/>
    </w:rPr>
  </w:style>
  <w:style w:type="paragraph" w:styleId="5">
    <w:name w:val="heading 3"/>
    <w:basedOn w:val="1"/>
    <w:next w:val="1"/>
    <w:link w:val="26"/>
    <w:qFormat/>
    <w:uiPriority w:val="9"/>
    <w:pPr>
      <w:keepNext/>
      <w:keepLines/>
      <w:spacing w:before="260" w:after="260" w:line="415" w:lineRule="auto"/>
      <w:outlineLvl w:val="2"/>
    </w:pPr>
    <w:rPr>
      <w:rFonts w:ascii="等线" w:hAnsi="等线" w:eastAsia="等线"/>
      <w:b/>
      <w:sz w:val="32"/>
      <w:szCs w:val="32"/>
    </w:rPr>
  </w:style>
  <w:style w:type="character" w:default="1" w:styleId="16">
    <w:name w:val="Default Paragraph Font"/>
    <w:unhideWhenUsed/>
    <w:qFormat/>
    <w:uiPriority w:val="1"/>
  </w:style>
  <w:style w:type="table" w:default="1" w:styleId="23">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link w:val="53"/>
    <w:qFormat/>
    <w:uiPriority w:val="99"/>
    <w:pPr>
      <w:spacing w:after="120"/>
    </w:pPr>
    <w:rPr>
      <w:rFonts w:eastAsiaTheme="minorEastAsia" w:cstheme="minorBidi"/>
      <w:szCs w:val="21"/>
    </w:rPr>
  </w:style>
  <w:style w:type="paragraph" w:styleId="6">
    <w:name w:val="annotation subject"/>
    <w:basedOn w:val="7"/>
    <w:next w:val="7"/>
    <w:link w:val="51"/>
    <w:unhideWhenUsed/>
    <w:qFormat/>
    <w:uiPriority w:val="99"/>
    <w:rPr>
      <w:rFonts w:eastAsiaTheme="minorEastAsia" w:cstheme="minorBidi"/>
      <w:b/>
      <w:bCs/>
    </w:rPr>
  </w:style>
  <w:style w:type="paragraph" w:styleId="7">
    <w:name w:val="annotation text"/>
    <w:basedOn w:val="1"/>
    <w:link w:val="50"/>
    <w:unhideWhenUsed/>
    <w:qFormat/>
    <w:uiPriority w:val="99"/>
    <w:pPr>
      <w:jc w:val="left"/>
    </w:pPr>
  </w:style>
  <w:style w:type="paragraph" w:styleId="8">
    <w:name w:val="toc 3"/>
    <w:basedOn w:val="1"/>
    <w:next w:val="1"/>
    <w:qFormat/>
    <w:uiPriority w:val="39"/>
    <w:pPr>
      <w:ind w:left="840" w:leftChars="400"/>
    </w:pPr>
    <w:rPr>
      <w:szCs w:val="21"/>
    </w:rPr>
  </w:style>
  <w:style w:type="paragraph" w:styleId="9">
    <w:name w:val="Balloon Text"/>
    <w:basedOn w:val="1"/>
    <w:link w:val="47"/>
    <w:unhideWhenUsed/>
    <w:qFormat/>
    <w:uiPriority w:val="99"/>
    <w:rPr>
      <w:rFonts w:eastAsiaTheme="minorEastAsia" w:cstheme="minorBidi"/>
      <w:sz w:val="18"/>
      <w:szCs w:val="18"/>
    </w:rPr>
  </w:style>
  <w:style w:type="paragraph" w:styleId="10">
    <w:name w:val="footer"/>
    <w:basedOn w:val="1"/>
    <w:link w:val="49"/>
    <w:unhideWhenUsed/>
    <w:qFormat/>
    <w:uiPriority w:val="0"/>
    <w:pPr>
      <w:tabs>
        <w:tab w:val="center" w:pos="4153"/>
        <w:tab w:val="right" w:pos="8306"/>
      </w:tabs>
      <w:snapToGrid w:val="0"/>
      <w:jc w:val="left"/>
    </w:pPr>
    <w:rPr>
      <w:rFonts w:eastAsiaTheme="minorEastAsia" w:cstheme="minorBidi"/>
      <w:sz w:val="18"/>
    </w:rPr>
  </w:style>
  <w:style w:type="paragraph" w:styleId="11">
    <w:name w:val="header"/>
    <w:basedOn w:val="1"/>
    <w:link w:val="46"/>
    <w:qFormat/>
    <w:uiPriority w:val="99"/>
    <w:pPr>
      <w:pBdr>
        <w:bottom w:val="single" w:color="auto" w:sz="6" w:space="1"/>
      </w:pBdr>
      <w:tabs>
        <w:tab w:val="center" w:pos="4153"/>
        <w:tab w:val="right" w:pos="8306"/>
      </w:tabs>
      <w:snapToGrid w:val="0"/>
      <w:jc w:val="center"/>
    </w:pPr>
    <w:rPr>
      <w:rFonts w:eastAsiaTheme="minorEastAsia" w:cstheme="minorBidi"/>
      <w:sz w:val="18"/>
      <w:szCs w:val="18"/>
    </w:rPr>
  </w:style>
  <w:style w:type="paragraph" w:styleId="12">
    <w:name w:val="toc 1"/>
    <w:basedOn w:val="1"/>
    <w:next w:val="1"/>
    <w:qFormat/>
    <w:uiPriority w:val="39"/>
    <w:pPr>
      <w:spacing w:line="360" w:lineRule="auto"/>
    </w:pPr>
    <w:rPr>
      <w:rFonts w:hint="eastAsia" w:ascii="楷体_GB2312" w:hAnsi="Times New Roman" w:eastAsia="楷体_GB2312"/>
      <w:sz w:val="28"/>
      <w:szCs w:val="28"/>
    </w:rPr>
  </w:style>
  <w:style w:type="paragraph" w:styleId="13">
    <w:name w:val="footnote text"/>
    <w:basedOn w:val="1"/>
    <w:link w:val="48"/>
    <w:unhideWhenUsed/>
    <w:qFormat/>
    <w:uiPriority w:val="99"/>
    <w:pPr>
      <w:snapToGrid w:val="0"/>
      <w:jc w:val="left"/>
    </w:pPr>
    <w:rPr>
      <w:rFonts w:eastAsiaTheme="minorEastAsia" w:cstheme="minorBidi"/>
      <w:sz w:val="18"/>
    </w:rPr>
  </w:style>
  <w:style w:type="paragraph" w:styleId="14">
    <w:name w:val="toc 2"/>
    <w:basedOn w:val="1"/>
    <w:next w:val="1"/>
    <w:qFormat/>
    <w:uiPriority w:val="39"/>
    <w:pPr>
      <w:spacing w:line="360" w:lineRule="auto"/>
      <w:ind w:firstLine="560" w:firstLineChars="200"/>
    </w:pPr>
    <w:rPr>
      <w:rFonts w:hint="eastAsia" w:ascii="黑体" w:hAnsi="宋体" w:eastAsia="黑体"/>
      <w:sz w:val="28"/>
      <w:szCs w:val="28"/>
    </w:rPr>
  </w:style>
  <w:style w:type="paragraph" w:styleId="1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17">
    <w:name w:val="Strong"/>
    <w:basedOn w:val="16"/>
    <w:qFormat/>
    <w:uiPriority w:val="22"/>
    <w:rPr>
      <w:b/>
      <w:bCs/>
    </w:rPr>
  </w:style>
  <w:style w:type="character" w:styleId="18">
    <w:name w:val="page number"/>
    <w:basedOn w:val="16"/>
    <w:qFormat/>
    <w:uiPriority w:val="0"/>
  </w:style>
  <w:style w:type="character" w:styleId="19">
    <w:name w:val="Emphasis"/>
    <w:basedOn w:val="16"/>
    <w:qFormat/>
    <w:uiPriority w:val="20"/>
    <w:rPr>
      <w:i/>
      <w:iCs/>
    </w:rPr>
  </w:style>
  <w:style w:type="character" w:styleId="20">
    <w:name w:val="Hyperlink"/>
    <w:basedOn w:val="16"/>
    <w:qFormat/>
    <w:uiPriority w:val="99"/>
    <w:rPr>
      <w:color w:val="0000FF"/>
      <w:u w:val="single"/>
    </w:rPr>
  </w:style>
  <w:style w:type="character" w:styleId="21">
    <w:name w:val="annotation reference"/>
    <w:basedOn w:val="16"/>
    <w:unhideWhenUsed/>
    <w:qFormat/>
    <w:uiPriority w:val="99"/>
    <w:rPr>
      <w:sz w:val="21"/>
      <w:szCs w:val="21"/>
    </w:rPr>
  </w:style>
  <w:style w:type="character" w:styleId="22">
    <w:name w:val="footnote reference"/>
    <w:basedOn w:val="16"/>
    <w:unhideWhenUsed/>
    <w:qFormat/>
    <w:uiPriority w:val="99"/>
    <w:rPr>
      <w:rFonts w:hint="default"/>
      <w:sz w:val="24"/>
      <w:vertAlign w:val="superscript"/>
    </w:rPr>
  </w:style>
  <w:style w:type="character" w:customStyle="1" w:styleId="24">
    <w:name w:val="标题 1 Char"/>
    <w:basedOn w:val="16"/>
    <w:link w:val="3"/>
    <w:qFormat/>
    <w:uiPriority w:val="9"/>
    <w:rPr>
      <w:rFonts w:ascii="Calibri" w:hAnsi="Calibri" w:eastAsia="宋体" w:cs="Times New Roman"/>
      <w:b/>
      <w:kern w:val="44"/>
      <w:sz w:val="44"/>
      <w:szCs w:val="44"/>
    </w:rPr>
  </w:style>
  <w:style w:type="character" w:customStyle="1" w:styleId="25">
    <w:name w:val="标题 2 Char"/>
    <w:basedOn w:val="16"/>
    <w:link w:val="4"/>
    <w:qFormat/>
    <w:uiPriority w:val="9"/>
    <w:rPr>
      <w:rFonts w:ascii="等线 Light" w:hAnsi="等线 Light" w:eastAsia="等线 Light" w:cs="Times New Roman"/>
      <w:b/>
      <w:sz w:val="32"/>
      <w:szCs w:val="32"/>
    </w:rPr>
  </w:style>
  <w:style w:type="character" w:customStyle="1" w:styleId="26">
    <w:name w:val="标题 3 Char"/>
    <w:basedOn w:val="16"/>
    <w:link w:val="5"/>
    <w:qFormat/>
    <w:uiPriority w:val="9"/>
    <w:rPr>
      <w:rFonts w:ascii="等线" w:hAnsi="等线" w:eastAsia="等线" w:cs="Times New Roman"/>
      <w:b/>
      <w:sz w:val="32"/>
      <w:szCs w:val="32"/>
    </w:rPr>
  </w:style>
  <w:style w:type="character" w:customStyle="1" w:styleId="27">
    <w:name w:val="批注主题 Char"/>
    <w:basedOn w:val="28"/>
    <w:link w:val="6"/>
    <w:qFormat/>
    <w:uiPriority w:val="99"/>
    <w:rPr>
      <w:b/>
      <w:bCs/>
    </w:rPr>
  </w:style>
  <w:style w:type="character" w:customStyle="1" w:styleId="28">
    <w:name w:val="批注文字 Char"/>
    <w:basedOn w:val="16"/>
    <w:qFormat/>
    <w:uiPriority w:val="99"/>
    <w:rPr>
      <w:rFonts w:ascii="Calibri" w:hAnsi="Calibri"/>
      <w:kern w:val="2"/>
      <w:sz w:val="21"/>
      <w:szCs w:val="24"/>
    </w:rPr>
  </w:style>
  <w:style w:type="character" w:customStyle="1" w:styleId="29">
    <w:name w:val="16"/>
    <w:basedOn w:val="16"/>
    <w:qFormat/>
    <w:uiPriority w:val="0"/>
    <w:rPr>
      <w:rFonts w:hint="default" w:ascii="等线" w:hAnsi="等线" w:eastAsia="等线" w:cs="等线"/>
      <w:vertAlign w:val="superscript"/>
    </w:rPr>
  </w:style>
  <w:style w:type="character" w:customStyle="1" w:styleId="30">
    <w:name w:val="tj说明书-正文 Char Char"/>
    <w:link w:val="31"/>
    <w:qFormat/>
    <w:uiPriority w:val="0"/>
    <w:rPr>
      <w:rFonts w:ascii="宋体" w:hAnsi="宋体" w:cs="宋体"/>
    </w:rPr>
  </w:style>
  <w:style w:type="paragraph" w:customStyle="1" w:styleId="31">
    <w:name w:val="tj说明书-正文"/>
    <w:link w:val="30"/>
    <w:qFormat/>
    <w:uiPriority w:val="0"/>
    <w:pPr>
      <w:spacing w:line="360" w:lineRule="auto"/>
      <w:ind w:firstLine="200" w:firstLineChars="200"/>
    </w:pPr>
    <w:rPr>
      <w:rFonts w:ascii="宋体" w:hAnsi="宋体" w:cs="宋体" w:eastAsiaTheme="minorEastAsia"/>
      <w:kern w:val="2"/>
      <w:sz w:val="21"/>
      <w:szCs w:val="22"/>
      <w:lang w:val="en-US" w:eastAsia="zh-CN" w:bidi="ar-SA"/>
    </w:rPr>
  </w:style>
  <w:style w:type="character" w:customStyle="1" w:styleId="32">
    <w:name w:val="15"/>
    <w:basedOn w:val="16"/>
    <w:qFormat/>
    <w:uiPriority w:val="0"/>
    <w:rPr>
      <w:rFonts w:hint="default" w:ascii="等线" w:hAnsi="等线" w:eastAsia="等线" w:cs="等线"/>
      <w:color w:val="0563C1"/>
      <w:u w:val="single"/>
    </w:rPr>
  </w:style>
  <w:style w:type="character" w:customStyle="1" w:styleId="33">
    <w:name w:val="页脚 Char"/>
    <w:basedOn w:val="16"/>
    <w:link w:val="10"/>
    <w:qFormat/>
    <w:uiPriority w:val="0"/>
    <w:rPr>
      <w:rFonts w:ascii="Calibri" w:hAnsi="Calibri"/>
      <w:sz w:val="18"/>
      <w:szCs w:val="24"/>
    </w:rPr>
  </w:style>
  <w:style w:type="character" w:customStyle="1" w:styleId="34">
    <w:name w:val="10"/>
    <w:basedOn w:val="16"/>
    <w:qFormat/>
    <w:uiPriority w:val="0"/>
    <w:rPr>
      <w:rFonts w:hint="default" w:ascii="等线" w:hAnsi="等线" w:eastAsia="等线" w:cs="等线"/>
    </w:rPr>
  </w:style>
  <w:style w:type="character" w:customStyle="1" w:styleId="35">
    <w:name w:val="脚注文本 Char"/>
    <w:basedOn w:val="16"/>
    <w:link w:val="13"/>
    <w:qFormat/>
    <w:uiPriority w:val="99"/>
    <w:rPr>
      <w:rFonts w:ascii="Calibri" w:hAnsi="Calibri"/>
      <w:sz w:val="18"/>
      <w:szCs w:val="24"/>
    </w:rPr>
  </w:style>
  <w:style w:type="character" w:customStyle="1" w:styleId="36">
    <w:name w:val="GW-正文 Char"/>
    <w:link w:val="37"/>
    <w:qFormat/>
    <w:uiPriority w:val="0"/>
    <w:rPr>
      <w:rFonts w:eastAsia="仿宋_GB2312"/>
      <w:sz w:val="24"/>
      <w:szCs w:val="24"/>
    </w:rPr>
  </w:style>
  <w:style w:type="paragraph" w:customStyle="1" w:styleId="37">
    <w:name w:val="GW-正文"/>
    <w:basedOn w:val="1"/>
    <w:link w:val="36"/>
    <w:qFormat/>
    <w:uiPriority w:val="0"/>
    <w:pPr>
      <w:spacing w:line="360" w:lineRule="auto"/>
      <w:ind w:firstLine="200" w:firstLineChars="200"/>
    </w:pPr>
    <w:rPr>
      <w:rFonts w:eastAsia="仿宋_GB2312" w:asciiTheme="minorHAnsi" w:hAnsiTheme="minorHAnsi" w:cstheme="minorBidi"/>
      <w:sz w:val="24"/>
    </w:rPr>
  </w:style>
  <w:style w:type="character" w:customStyle="1" w:styleId="38">
    <w:name w:val="批注框文本 Char"/>
    <w:basedOn w:val="16"/>
    <w:link w:val="9"/>
    <w:qFormat/>
    <w:uiPriority w:val="99"/>
    <w:rPr>
      <w:rFonts w:ascii="Calibri" w:hAnsi="Calibri"/>
      <w:sz w:val="18"/>
      <w:szCs w:val="18"/>
    </w:rPr>
  </w:style>
  <w:style w:type="character" w:customStyle="1" w:styleId="39">
    <w:name w:val="NormalCharacter"/>
    <w:qFormat/>
    <w:uiPriority w:val="99"/>
  </w:style>
  <w:style w:type="character" w:customStyle="1" w:styleId="40">
    <w:name w:val="页眉 Char"/>
    <w:basedOn w:val="16"/>
    <w:link w:val="11"/>
    <w:qFormat/>
    <w:uiPriority w:val="99"/>
    <w:rPr>
      <w:rFonts w:ascii="Calibri" w:hAnsi="Calibri"/>
      <w:sz w:val="18"/>
      <w:szCs w:val="18"/>
    </w:rPr>
  </w:style>
  <w:style w:type="character" w:customStyle="1" w:styleId="41">
    <w:name w:val="tj说明书-标题3 Char Char"/>
    <w:link w:val="42"/>
    <w:qFormat/>
    <w:uiPriority w:val="0"/>
    <w:rPr>
      <w:rFonts w:ascii="黑体" w:hAnsi="黑体" w:eastAsia="黑体"/>
      <w:sz w:val="24"/>
      <w:szCs w:val="24"/>
      <w:lang w:val="zh-CN"/>
    </w:rPr>
  </w:style>
  <w:style w:type="paragraph" w:customStyle="1" w:styleId="42">
    <w:name w:val="tj说明书-标题3"/>
    <w:basedOn w:val="1"/>
    <w:next w:val="1"/>
    <w:link w:val="41"/>
    <w:qFormat/>
    <w:uiPriority w:val="0"/>
    <w:pPr>
      <w:numPr>
        <w:ilvl w:val="2"/>
        <w:numId w:val="1"/>
      </w:numPr>
      <w:spacing w:line="360" w:lineRule="auto"/>
      <w:outlineLvl w:val="2"/>
    </w:pPr>
    <w:rPr>
      <w:rFonts w:ascii="黑体" w:hAnsi="黑体" w:eastAsia="黑体" w:cstheme="minorBidi"/>
      <w:sz w:val="24"/>
      <w:lang w:val="zh-CN"/>
    </w:rPr>
  </w:style>
  <w:style w:type="character" w:customStyle="1" w:styleId="43">
    <w:name w:val="font81"/>
    <w:basedOn w:val="16"/>
    <w:qFormat/>
    <w:uiPriority w:val="0"/>
    <w:rPr>
      <w:rFonts w:ascii="方正仿宋_GBK" w:hAnsi="方正仿宋_GBK" w:eastAsia="方正仿宋_GBK" w:cs="方正仿宋_GBK"/>
      <w:b/>
      <w:color w:val="000000"/>
      <w:sz w:val="20"/>
      <w:szCs w:val="20"/>
      <w:u w:val="none"/>
    </w:rPr>
  </w:style>
  <w:style w:type="character" w:customStyle="1" w:styleId="44">
    <w:name w:val="font31"/>
    <w:basedOn w:val="16"/>
    <w:qFormat/>
    <w:uiPriority w:val="0"/>
    <w:rPr>
      <w:rFonts w:ascii="仿宋" w:hAnsi="仿宋" w:eastAsia="仿宋" w:cs="仿宋"/>
      <w:color w:val="000000"/>
      <w:sz w:val="22"/>
      <w:szCs w:val="22"/>
      <w:u w:val="none"/>
    </w:rPr>
  </w:style>
  <w:style w:type="character" w:customStyle="1" w:styleId="45">
    <w:name w:val="正文文本 Char"/>
    <w:basedOn w:val="16"/>
    <w:link w:val="2"/>
    <w:qFormat/>
    <w:uiPriority w:val="99"/>
    <w:rPr>
      <w:rFonts w:ascii="Calibri" w:hAnsi="Calibri"/>
      <w:szCs w:val="21"/>
    </w:rPr>
  </w:style>
  <w:style w:type="character" w:customStyle="1" w:styleId="46">
    <w:name w:val="页眉 Char1"/>
    <w:basedOn w:val="16"/>
    <w:link w:val="11"/>
    <w:qFormat/>
    <w:uiPriority w:val="99"/>
    <w:rPr>
      <w:rFonts w:ascii="Calibri" w:hAnsi="Calibri" w:eastAsia="宋体" w:cs="Times New Roman"/>
      <w:sz w:val="18"/>
      <w:szCs w:val="18"/>
    </w:rPr>
  </w:style>
  <w:style w:type="character" w:customStyle="1" w:styleId="47">
    <w:name w:val="批注框文本 Char1"/>
    <w:basedOn w:val="16"/>
    <w:link w:val="9"/>
    <w:semiHidden/>
    <w:qFormat/>
    <w:uiPriority w:val="99"/>
    <w:rPr>
      <w:rFonts w:ascii="Calibri" w:hAnsi="Calibri" w:eastAsia="宋体" w:cs="Times New Roman"/>
      <w:sz w:val="18"/>
      <w:szCs w:val="18"/>
    </w:rPr>
  </w:style>
  <w:style w:type="character" w:customStyle="1" w:styleId="48">
    <w:name w:val="脚注文本 Char1"/>
    <w:basedOn w:val="16"/>
    <w:link w:val="13"/>
    <w:semiHidden/>
    <w:qFormat/>
    <w:uiPriority w:val="99"/>
    <w:rPr>
      <w:rFonts w:ascii="Calibri" w:hAnsi="Calibri" w:eastAsia="宋体" w:cs="Times New Roman"/>
      <w:sz w:val="18"/>
      <w:szCs w:val="18"/>
    </w:rPr>
  </w:style>
  <w:style w:type="character" w:customStyle="1" w:styleId="49">
    <w:name w:val="页脚 Char1"/>
    <w:basedOn w:val="16"/>
    <w:link w:val="10"/>
    <w:qFormat/>
    <w:uiPriority w:val="0"/>
    <w:rPr>
      <w:rFonts w:ascii="Calibri" w:hAnsi="Calibri" w:eastAsia="宋体" w:cs="Times New Roman"/>
      <w:sz w:val="18"/>
      <w:szCs w:val="18"/>
    </w:rPr>
  </w:style>
  <w:style w:type="character" w:customStyle="1" w:styleId="50">
    <w:name w:val="批注文字 Char1"/>
    <w:basedOn w:val="16"/>
    <w:link w:val="7"/>
    <w:semiHidden/>
    <w:qFormat/>
    <w:uiPriority w:val="99"/>
    <w:rPr>
      <w:rFonts w:ascii="Calibri" w:hAnsi="Calibri" w:eastAsia="宋体" w:cs="Times New Roman"/>
      <w:szCs w:val="24"/>
    </w:rPr>
  </w:style>
  <w:style w:type="character" w:customStyle="1" w:styleId="51">
    <w:name w:val="批注主题 Char1"/>
    <w:basedOn w:val="50"/>
    <w:link w:val="6"/>
    <w:semiHidden/>
    <w:qFormat/>
    <w:uiPriority w:val="99"/>
    <w:rPr>
      <w:b/>
      <w:bCs/>
    </w:rPr>
  </w:style>
  <w:style w:type="paragraph" w:customStyle="1" w:styleId="52">
    <w:name w:val="修订1"/>
    <w:unhideWhenUsed/>
    <w:qFormat/>
    <w:uiPriority w:val="99"/>
    <w:rPr>
      <w:rFonts w:ascii="Calibri" w:hAnsi="Calibri" w:eastAsia="宋体" w:cs="Times New Roman"/>
      <w:kern w:val="2"/>
      <w:sz w:val="21"/>
      <w:szCs w:val="24"/>
      <w:lang w:val="en-US" w:eastAsia="zh-CN" w:bidi="ar-SA"/>
    </w:rPr>
  </w:style>
  <w:style w:type="character" w:customStyle="1" w:styleId="53">
    <w:name w:val="正文文本 Char1"/>
    <w:basedOn w:val="16"/>
    <w:link w:val="2"/>
    <w:qFormat/>
    <w:uiPriority w:val="99"/>
    <w:rPr>
      <w:rFonts w:ascii="Calibri" w:hAnsi="Calibri" w:eastAsia="宋体" w:cs="Times New Roman"/>
      <w:szCs w:val="24"/>
    </w:rPr>
  </w:style>
  <w:style w:type="paragraph" w:customStyle="1" w:styleId="54">
    <w:name w:val="tj说明书-标题2"/>
    <w:basedOn w:val="1"/>
    <w:next w:val="42"/>
    <w:qFormat/>
    <w:uiPriority w:val="0"/>
    <w:pPr>
      <w:numPr>
        <w:ilvl w:val="1"/>
        <w:numId w:val="1"/>
      </w:numPr>
      <w:spacing w:beforeLines="100" w:line="360" w:lineRule="auto"/>
      <w:outlineLvl w:val="1"/>
    </w:pPr>
    <w:rPr>
      <w:rFonts w:ascii="黑体" w:hAnsi="黑体" w:eastAsia="黑体"/>
      <w:sz w:val="28"/>
    </w:rPr>
  </w:style>
  <w:style w:type="paragraph" w:customStyle="1" w:styleId="55">
    <w:name w:val="TOC 标题1"/>
    <w:basedOn w:val="3"/>
    <w:next w:val="1"/>
    <w:unhideWhenUsed/>
    <w:qFormat/>
    <w:uiPriority w:val="39"/>
    <w:pPr>
      <w:widowControl/>
      <w:spacing w:before="240" w:after="0" w:line="259" w:lineRule="auto"/>
      <w:jc w:val="left"/>
      <w:outlineLvl w:val="9"/>
    </w:pPr>
    <w:rPr>
      <w:rFonts w:ascii="Cambria" w:hAnsi="Cambria"/>
      <w:b w:val="0"/>
      <w:color w:val="365F91"/>
      <w:kern w:val="0"/>
      <w:sz w:val="32"/>
      <w:szCs w:val="32"/>
    </w:rPr>
  </w:style>
  <w:style w:type="paragraph" w:customStyle="1" w:styleId="56">
    <w:name w:val="List Paragraph"/>
    <w:basedOn w:val="1"/>
    <w:qFormat/>
    <w:uiPriority w:val="34"/>
    <w:pPr>
      <w:ind w:firstLine="420" w:firstLineChars="200"/>
    </w:pPr>
  </w:style>
  <w:style w:type="paragraph" w:customStyle="1" w:styleId="57">
    <w:name w:val="newstitle"/>
    <w:basedOn w:val="1"/>
    <w:qFormat/>
    <w:uiPriority w:val="0"/>
    <w:pPr>
      <w:widowControl/>
      <w:spacing w:before="100" w:beforeAutospacing="1" w:after="100" w:afterAutospacing="1"/>
      <w:jc w:val="left"/>
    </w:pPr>
    <w:rPr>
      <w:rFonts w:ascii="宋体" w:hAnsi="宋体" w:cs="宋体"/>
      <w:kern w:val="0"/>
      <w:sz w:val="24"/>
    </w:rPr>
  </w:style>
  <w:style w:type="paragraph" w:customStyle="1" w:styleId="58">
    <w:name w:val="p0"/>
    <w:basedOn w:val="1"/>
    <w:qFormat/>
    <w:uiPriority w:val="0"/>
    <w:pPr>
      <w:widowControl/>
    </w:pPr>
    <w:rPr>
      <w:rFonts w:ascii="Times New Roman" w:hAnsi="Times New Roman"/>
      <w:kern w:val="0"/>
      <w:szCs w:val="21"/>
    </w:rPr>
  </w:style>
  <w:style w:type="paragraph" w:customStyle="1" w:styleId="59">
    <w:name w:val="Default"/>
    <w:qFormat/>
    <w:uiPriority w:val="0"/>
    <w:pPr>
      <w:widowControl w:val="0"/>
      <w:autoSpaceDE w:val="0"/>
      <w:autoSpaceDN w:val="0"/>
      <w:adjustRightInd w:val="0"/>
    </w:pPr>
    <w:rPr>
      <w:rFonts w:ascii="微软雅黑" w:hAnsi="Calibri" w:eastAsia="微软雅黑" w:cs="微软雅黑"/>
      <w:color w:val="000000"/>
      <w:sz w:val="24"/>
      <w:szCs w:val="24"/>
      <w:lang w:val="en-US" w:eastAsia="zh-CN" w:bidi="ar-SA"/>
    </w:rPr>
  </w:style>
  <w:style w:type="paragraph" w:customStyle="1" w:styleId="60">
    <w:name w:val="Char Char Char Char"/>
    <w:basedOn w:val="1"/>
    <w:qFormat/>
    <w:uiPriority w:val="0"/>
    <w:pPr>
      <w:widowControl/>
      <w:spacing w:after="160" w:line="240" w:lineRule="exact"/>
      <w:jc w:val="left"/>
    </w:pPr>
    <w:rPr>
      <w:rFonts w:ascii="Times New Roman" w:hAnsi="Times New Roman"/>
    </w:rPr>
  </w:style>
  <w:style w:type="paragraph" w:customStyle="1" w:styleId="61">
    <w:name w:val="修订11"/>
    <w:semiHidden/>
    <w:qFormat/>
    <w:uiPriority w:val="99"/>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77</Pages>
  <Words>5179</Words>
  <Characters>29525</Characters>
  <Lines>246</Lines>
  <Paragraphs>69</Paragraphs>
  <ScaleCrop>false</ScaleCrop>
  <LinksUpToDate>false</LinksUpToDate>
  <CharactersWithSpaces>34635</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2022-09-30T04:54:00Z</dcterms:created>
  <dc:creator>Lenovo</dc:creator>
  <cp:lastModifiedBy>Administrator</cp:lastModifiedBy>
  <cp:lastPrinted>2022-09-30T06:38:00Z</cp:lastPrinted>
  <dcterms:modified xsi:type="dcterms:W3CDTF">2022-10-12T09:43:09Z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y fmtid="{D5CDD505-2E9C-101B-9397-08002B2CF9AE}" pid="3" name="ICV">
    <vt:lpwstr>6352955A800E4DEAB8E7BE94D00B59E1</vt:lpwstr>
  </property>
</Properties>
</file>